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D2D">
      <w:pPr>
        <w:rPr>
          <w:b/>
          <w:bCs/>
          <w:sz w:val="36"/>
          <w:szCs w:val="36"/>
        </w:rPr>
      </w:pPr>
    </w:p>
    <w:p w14:paraId="0512C506">
      <w:pPr>
        <w:rPr>
          <w:sz w:val="36"/>
          <w:szCs w:val="36"/>
        </w:rPr>
      </w:pPr>
    </w:p>
    <w:p w14:paraId="45AECA6F">
      <w:pPr>
        <w:rPr>
          <w:sz w:val="36"/>
          <w:szCs w:val="36"/>
        </w:rPr>
      </w:pPr>
    </w:p>
    <w:p w14:paraId="6E6A5AFE">
      <w:pPr>
        <w:rPr>
          <w:sz w:val="36"/>
          <w:szCs w:val="36"/>
        </w:rPr>
      </w:pPr>
    </w:p>
    <w:p w14:paraId="37D67691">
      <w:pPr>
        <w:rPr>
          <w:sz w:val="36"/>
          <w:szCs w:val="36"/>
        </w:rPr>
      </w:pPr>
    </w:p>
    <w:p w14:paraId="3524E091">
      <w:pPr>
        <w:adjustRightInd w:val="0"/>
        <w:snapToGrid w:val="0"/>
        <w:spacing w:line="360" w:lineRule="auto"/>
        <w:jc w:val="center"/>
        <w:outlineLvl w:val="0"/>
        <w:rPr>
          <w:bCs/>
          <w:sz w:val="72"/>
          <w:szCs w:val="72"/>
        </w:rPr>
      </w:pPr>
      <w:r>
        <w:rPr>
          <w:bCs/>
          <w:sz w:val="72"/>
          <w:szCs w:val="72"/>
        </w:rPr>
        <w:t>建设项目环境影响报告表</w:t>
      </w:r>
    </w:p>
    <w:p w14:paraId="21F25C0C">
      <w:pPr>
        <w:adjustRightInd w:val="0"/>
        <w:snapToGrid w:val="0"/>
        <w:spacing w:line="360" w:lineRule="auto"/>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14:paraId="158EA89E">
      <w:pPr>
        <w:adjustRightInd w:val="0"/>
        <w:snapToGrid w:val="0"/>
        <w:spacing w:line="288" w:lineRule="auto"/>
        <w:jc w:val="center"/>
        <w:outlineLvl w:val="0"/>
        <w:rPr>
          <w:kern w:val="44"/>
          <w:sz w:val="44"/>
          <w:szCs w:val="44"/>
        </w:rPr>
      </w:pPr>
    </w:p>
    <w:p w14:paraId="16CAA8DA">
      <w:pPr>
        <w:adjustRightInd w:val="0"/>
        <w:snapToGrid w:val="0"/>
        <w:spacing w:line="288" w:lineRule="auto"/>
        <w:jc w:val="center"/>
        <w:outlineLvl w:val="0"/>
        <w:rPr>
          <w:kern w:val="44"/>
          <w:sz w:val="44"/>
          <w:szCs w:val="44"/>
        </w:rPr>
      </w:pPr>
    </w:p>
    <w:p w14:paraId="6B0D4786">
      <w:pPr>
        <w:jc w:val="center"/>
        <w:rPr>
          <w:sz w:val="52"/>
          <w:szCs w:val="52"/>
        </w:rPr>
      </w:pPr>
    </w:p>
    <w:p w14:paraId="2AD6B10A">
      <w:pPr>
        <w:ind w:firstLine="1040"/>
        <w:rPr>
          <w:sz w:val="44"/>
          <w:szCs w:val="44"/>
        </w:rPr>
      </w:pPr>
    </w:p>
    <w:p w14:paraId="2921A702">
      <w:pPr>
        <w:ind w:firstLine="1040"/>
        <w:rPr>
          <w:sz w:val="44"/>
          <w:szCs w:val="44"/>
        </w:rPr>
      </w:pPr>
    </w:p>
    <w:p w14:paraId="721237D3">
      <w:pPr>
        <w:adjustRightInd w:val="0"/>
        <w:snapToGrid w:val="0"/>
        <w:spacing w:line="360" w:lineRule="auto"/>
        <w:jc w:val="center"/>
        <w:rPr>
          <w:sz w:val="32"/>
          <w:szCs w:val="32"/>
          <w:u w:val="single"/>
        </w:rPr>
      </w:pPr>
      <w:r>
        <w:rPr>
          <w:sz w:val="36"/>
          <w:szCs w:val="36"/>
        </w:rPr>
        <w:t>项目名称</w:t>
      </w:r>
      <w:r>
        <w:rPr>
          <w:sz w:val="32"/>
          <w:szCs w:val="32"/>
        </w:rPr>
        <w:t>：</w:t>
      </w:r>
      <w:r>
        <w:rPr>
          <w:rFonts w:hint="eastAsia"/>
          <w:sz w:val="36"/>
          <w:szCs w:val="36"/>
          <w:u w:val="single"/>
        </w:rPr>
        <w:t>新疆晟地沃丰生物科技有限公司年产3500吨环保安全型复配农药加工项目</w:t>
      </w:r>
    </w:p>
    <w:p w14:paraId="15C68C60">
      <w:pPr>
        <w:adjustRightInd w:val="0"/>
        <w:snapToGrid w:val="0"/>
        <w:spacing w:line="360" w:lineRule="auto"/>
        <w:jc w:val="center"/>
        <w:rPr>
          <w:sz w:val="36"/>
          <w:szCs w:val="36"/>
          <w:u w:val="single"/>
        </w:rPr>
      </w:pPr>
      <w:r>
        <w:rPr>
          <w:sz w:val="36"/>
          <w:szCs w:val="36"/>
        </w:rPr>
        <w:t>建设单位（盖章）：</w:t>
      </w:r>
      <w:r>
        <w:rPr>
          <w:rFonts w:hint="eastAsia"/>
          <w:sz w:val="36"/>
          <w:szCs w:val="36"/>
          <w:u w:val="single"/>
        </w:rPr>
        <w:t>新疆晟地沃丰生物科技有限公司</w:t>
      </w:r>
    </w:p>
    <w:p w14:paraId="24AB84EE">
      <w:pPr>
        <w:adjustRightInd w:val="0"/>
        <w:snapToGrid w:val="0"/>
        <w:spacing w:line="360" w:lineRule="auto"/>
        <w:jc w:val="center"/>
        <w:rPr>
          <w:sz w:val="36"/>
          <w:szCs w:val="36"/>
          <w:u w:val="single"/>
        </w:rPr>
      </w:pPr>
      <w:r>
        <w:rPr>
          <w:sz w:val="36"/>
          <w:szCs w:val="36"/>
        </w:rPr>
        <w:t>编制日期：</w:t>
      </w:r>
      <w:r>
        <w:rPr>
          <w:sz w:val="36"/>
          <w:szCs w:val="36"/>
          <w:u w:val="single"/>
        </w:rPr>
        <w:t>202</w:t>
      </w:r>
      <w:r>
        <w:rPr>
          <w:rFonts w:hint="eastAsia"/>
          <w:sz w:val="36"/>
          <w:szCs w:val="36"/>
          <w:u w:val="single"/>
          <w:lang w:val="en-US" w:eastAsia="zh-CN"/>
        </w:rPr>
        <w:t>6</w:t>
      </w:r>
      <w:r>
        <w:rPr>
          <w:sz w:val="36"/>
          <w:szCs w:val="36"/>
          <w:u w:val="single"/>
        </w:rPr>
        <w:t>年</w:t>
      </w:r>
      <w:r>
        <w:rPr>
          <w:rFonts w:hint="eastAsia"/>
          <w:sz w:val="36"/>
          <w:szCs w:val="36"/>
          <w:u w:val="single"/>
          <w:lang w:val="en-US" w:eastAsia="zh-CN"/>
        </w:rPr>
        <w:t>1</w:t>
      </w:r>
      <w:r>
        <w:rPr>
          <w:sz w:val="36"/>
          <w:szCs w:val="36"/>
          <w:u w:val="single"/>
        </w:rPr>
        <w:t>月</w:t>
      </w:r>
    </w:p>
    <w:p w14:paraId="276F11EB">
      <w:pPr>
        <w:adjustRightInd w:val="0"/>
        <w:snapToGrid w:val="0"/>
        <w:spacing w:line="288" w:lineRule="auto"/>
        <w:ind w:firstLine="1040"/>
        <w:rPr>
          <w:sz w:val="36"/>
          <w:szCs w:val="36"/>
          <w:u w:val="single"/>
        </w:rPr>
      </w:pPr>
      <w:bookmarkStart w:id="0" w:name="_Hlk57884087"/>
    </w:p>
    <w:p w14:paraId="28598C99">
      <w:pPr>
        <w:adjustRightInd w:val="0"/>
        <w:snapToGrid w:val="0"/>
        <w:spacing w:line="288" w:lineRule="auto"/>
        <w:ind w:firstLine="1040"/>
        <w:rPr>
          <w:sz w:val="36"/>
          <w:szCs w:val="36"/>
        </w:rPr>
      </w:pPr>
    </w:p>
    <w:p w14:paraId="1B573FE9">
      <w:pPr>
        <w:adjustRightInd w:val="0"/>
        <w:snapToGrid w:val="0"/>
        <w:spacing w:line="288" w:lineRule="auto"/>
        <w:ind w:firstLine="1040"/>
        <w:rPr>
          <w:sz w:val="36"/>
          <w:szCs w:val="36"/>
        </w:rPr>
      </w:pPr>
    </w:p>
    <w:p w14:paraId="590ACB95">
      <w:pPr>
        <w:adjustRightInd w:val="0"/>
        <w:snapToGrid w:val="0"/>
        <w:spacing w:line="288" w:lineRule="auto"/>
        <w:ind w:firstLine="1040"/>
        <w:rPr>
          <w:sz w:val="36"/>
          <w:szCs w:val="36"/>
        </w:rPr>
      </w:pPr>
    </w:p>
    <w:p w14:paraId="5ED903AC">
      <w:pPr>
        <w:adjustRightInd w:val="0"/>
        <w:snapToGrid w:val="0"/>
        <w:spacing w:line="288" w:lineRule="auto"/>
        <w:ind w:firstLine="1040"/>
        <w:rPr>
          <w:sz w:val="36"/>
          <w:szCs w:val="36"/>
        </w:rPr>
      </w:pPr>
    </w:p>
    <w:bookmarkEnd w:id="0"/>
    <w:p w14:paraId="15D1657C">
      <w:pPr>
        <w:adjustRightInd w:val="0"/>
        <w:snapToGrid w:val="0"/>
        <w:spacing w:line="288" w:lineRule="auto"/>
        <w:jc w:val="center"/>
        <w:rPr>
          <w:sz w:val="36"/>
          <w:szCs w:val="36"/>
        </w:rPr>
      </w:pPr>
      <w:r>
        <w:rPr>
          <w:sz w:val="36"/>
          <w:szCs w:val="36"/>
        </w:rPr>
        <w:t>中华人民共和国生态环境部制</w:t>
      </w:r>
    </w:p>
    <w:p w14:paraId="7C815282">
      <w:pPr>
        <w:pStyle w:val="15"/>
        <w:jc w:val="center"/>
        <w:outlineLvl w:val="0"/>
        <w:rPr>
          <w:rFonts w:ascii="Times New Roman" w:hAnsi="Times New Roman"/>
          <w:snapToGrid w:val="0"/>
          <w:sz w:val="30"/>
          <w:szCs w:val="30"/>
        </w:rPr>
        <w:sectPr>
          <w:footerReference r:id="rId3" w:type="default"/>
          <w:pgSz w:w="11906" w:h="16838"/>
          <w:pgMar w:top="1701" w:right="1531" w:bottom="1701" w:left="1531" w:header="851" w:footer="1077" w:gutter="0"/>
          <w:cols w:space="720" w:num="1"/>
          <w:titlePg/>
          <w:docGrid w:linePitch="312" w:charSpace="0"/>
        </w:sectPr>
      </w:pPr>
    </w:p>
    <w:p w14:paraId="48BF34AE">
      <w:pPr>
        <w:pStyle w:val="15"/>
        <w:outlineLvl w:val="0"/>
        <w:rPr>
          <w:rFonts w:ascii="Times New Roman" w:hAnsi="Times New Roman"/>
          <w:snapToGrid w:val="0"/>
          <w:sz w:val="30"/>
          <w:szCs w:val="30"/>
        </w:rPr>
      </w:pPr>
    </w:p>
    <w:p w14:paraId="3033B926">
      <w:pPr>
        <w:pStyle w:val="15"/>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1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084"/>
        <w:gridCol w:w="1975"/>
        <w:gridCol w:w="2955"/>
      </w:tblGrid>
      <w:tr w14:paraId="31D64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856" w:type="dxa"/>
            <w:tcMar>
              <w:top w:w="16" w:type="dxa"/>
              <w:left w:w="16" w:type="dxa"/>
              <w:right w:w="16" w:type="dxa"/>
            </w:tcMar>
            <w:vAlign w:val="center"/>
          </w:tcPr>
          <w:p w14:paraId="0856AE55">
            <w:pPr>
              <w:adjustRightInd w:val="0"/>
              <w:snapToGrid w:val="0"/>
              <w:jc w:val="center"/>
              <w:rPr>
                <w:color w:val="auto"/>
                <w:szCs w:val="21"/>
              </w:rPr>
            </w:pPr>
            <w:r>
              <w:rPr>
                <w:color w:val="auto"/>
                <w:szCs w:val="21"/>
              </w:rPr>
              <w:t>建设项目名称</w:t>
            </w:r>
          </w:p>
        </w:tc>
        <w:tc>
          <w:tcPr>
            <w:tcW w:w="7014" w:type="dxa"/>
            <w:gridSpan w:val="3"/>
            <w:vAlign w:val="center"/>
          </w:tcPr>
          <w:p w14:paraId="2397BCD7">
            <w:pPr>
              <w:adjustRightInd w:val="0"/>
              <w:snapToGrid w:val="0"/>
              <w:jc w:val="center"/>
              <w:rPr>
                <w:color w:val="auto"/>
                <w:szCs w:val="21"/>
              </w:rPr>
            </w:pPr>
            <w:r>
              <w:rPr>
                <w:rFonts w:hint="eastAsia"/>
                <w:color w:val="auto"/>
                <w:szCs w:val="21"/>
              </w:rPr>
              <w:t>新疆晟地沃丰生物科技有限公司年产3500吨环保安全型复配农药加工项目</w:t>
            </w:r>
          </w:p>
        </w:tc>
      </w:tr>
      <w:tr w14:paraId="245B6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1856" w:type="dxa"/>
            <w:tcMar>
              <w:top w:w="16" w:type="dxa"/>
              <w:left w:w="16" w:type="dxa"/>
              <w:right w:w="16" w:type="dxa"/>
            </w:tcMar>
            <w:vAlign w:val="center"/>
          </w:tcPr>
          <w:p w14:paraId="2930C8D3">
            <w:pPr>
              <w:adjustRightInd w:val="0"/>
              <w:snapToGrid w:val="0"/>
              <w:jc w:val="center"/>
              <w:rPr>
                <w:color w:val="auto"/>
                <w:szCs w:val="21"/>
              </w:rPr>
            </w:pPr>
            <w:r>
              <w:rPr>
                <w:color w:val="auto"/>
                <w:szCs w:val="21"/>
              </w:rPr>
              <w:t>项目代码</w:t>
            </w:r>
          </w:p>
        </w:tc>
        <w:tc>
          <w:tcPr>
            <w:tcW w:w="7014" w:type="dxa"/>
            <w:gridSpan w:val="3"/>
            <w:vAlign w:val="center"/>
          </w:tcPr>
          <w:p w14:paraId="4CCE7AAB">
            <w:pPr>
              <w:adjustRightInd w:val="0"/>
              <w:snapToGrid w:val="0"/>
              <w:jc w:val="center"/>
              <w:rPr>
                <w:rFonts w:hint="default" w:eastAsia="宋体"/>
                <w:color w:val="auto"/>
                <w:szCs w:val="21"/>
                <w:lang w:val="en-US" w:eastAsia="zh-CN"/>
              </w:rPr>
            </w:pPr>
            <w:r>
              <w:rPr>
                <w:rFonts w:hint="eastAsia"/>
                <w:color w:val="auto"/>
                <w:szCs w:val="21"/>
                <w:lang w:val="en-US" w:eastAsia="zh-CN"/>
              </w:rPr>
              <w:t>2402-660791-04-01-662578</w:t>
            </w:r>
          </w:p>
        </w:tc>
      </w:tr>
      <w:tr w14:paraId="5D21C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72427B31">
            <w:pPr>
              <w:adjustRightInd w:val="0"/>
              <w:snapToGrid w:val="0"/>
              <w:jc w:val="center"/>
              <w:rPr>
                <w:color w:val="auto"/>
                <w:szCs w:val="21"/>
              </w:rPr>
            </w:pPr>
            <w:r>
              <w:rPr>
                <w:color w:val="auto"/>
                <w:szCs w:val="21"/>
              </w:rPr>
              <w:t>建设单位联系人</w:t>
            </w:r>
          </w:p>
        </w:tc>
        <w:tc>
          <w:tcPr>
            <w:tcW w:w="2084" w:type="dxa"/>
            <w:vAlign w:val="center"/>
          </w:tcPr>
          <w:p w14:paraId="71CEAB60">
            <w:pPr>
              <w:adjustRightInd w:val="0"/>
              <w:snapToGrid w:val="0"/>
              <w:jc w:val="center"/>
              <w:rPr>
                <w:color w:val="auto"/>
                <w:szCs w:val="21"/>
              </w:rPr>
            </w:pPr>
            <w:r>
              <w:rPr>
                <w:rFonts w:hint="eastAsia"/>
                <w:color w:val="auto"/>
                <w:szCs w:val="21"/>
              </w:rPr>
              <w:t>王满堂</w:t>
            </w:r>
          </w:p>
        </w:tc>
        <w:tc>
          <w:tcPr>
            <w:tcW w:w="1975" w:type="dxa"/>
            <w:vAlign w:val="center"/>
          </w:tcPr>
          <w:p w14:paraId="1C6B6065">
            <w:pPr>
              <w:adjustRightInd w:val="0"/>
              <w:snapToGrid w:val="0"/>
              <w:jc w:val="center"/>
              <w:rPr>
                <w:color w:val="auto"/>
                <w:szCs w:val="21"/>
              </w:rPr>
            </w:pPr>
            <w:r>
              <w:rPr>
                <w:color w:val="auto"/>
                <w:szCs w:val="21"/>
              </w:rPr>
              <w:t>联系方式</w:t>
            </w:r>
          </w:p>
        </w:tc>
        <w:tc>
          <w:tcPr>
            <w:tcW w:w="2955" w:type="dxa"/>
            <w:vAlign w:val="center"/>
          </w:tcPr>
          <w:p w14:paraId="276CDC24">
            <w:pPr>
              <w:adjustRightInd w:val="0"/>
              <w:snapToGrid w:val="0"/>
              <w:jc w:val="center"/>
              <w:rPr>
                <w:color w:val="auto"/>
                <w:szCs w:val="21"/>
              </w:rPr>
            </w:pPr>
            <w:r>
              <w:rPr>
                <w:rFonts w:hint="eastAsia"/>
                <w:color w:val="auto"/>
                <w:szCs w:val="21"/>
                <w:lang w:val="en-US" w:eastAsia="zh-CN"/>
              </w:rPr>
              <w:t>17715119116</w:t>
            </w:r>
          </w:p>
        </w:tc>
      </w:tr>
      <w:tr w14:paraId="6743B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63BBE90F">
            <w:pPr>
              <w:adjustRightInd w:val="0"/>
              <w:snapToGrid w:val="0"/>
              <w:jc w:val="center"/>
              <w:rPr>
                <w:color w:val="auto"/>
                <w:szCs w:val="21"/>
              </w:rPr>
            </w:pPr>
            <w:r>
              <w:rPr>
                <w:color w:val="auto"/>
                <w:szCs w:val="21"/>
              </w:rPr>
              <w:t>建设地点</w:t>
            </w:r>
          </w:p>
        </w:tc>
        <w:tc>
          <w:tcPr>
            <w:tcW w:w="7014" w:type="dxa"/>
            <w:gridSpan w:val="3"/>
            <w:vAlign w:val="center"/>
          </w:tcPr>
          <w:p w14:paraId="5B772930">
            <w:pPr>
              <w:adjustRightInd w:val="0"/>
              <w:snapToGrid w:val="0"/>
              <w:jc w:val="center"/>
              <w:rPr>
                <w:rFonts w:hint="default" w:eastAsia="宋体"/>
                <w:color w:val="auto"/>
                <w:szCs w:val="21"/>
                <w:u w:val="single"/>
                <w:lang w:val="en-US" w:eastAsia="zh-CN"/>
              </w:rPr>
            </w:pPr>
            <w:r>
              <w:rPr>
                <w:rFonts w:hint="eastAsia"/>
                <w:color w:val="auto"/>
                <w:szCs w:val="21"/>
                <w:lang w:val="en-US" w:eastAsia="zh-CN"/>
              </w:rPr>
              <w:t>第七师胡杨河经济技术开发区西环路以东、高泉西路以北</w:t>
            </w:r>
          </w:p>
        </w:tc>
      </w:tr>
      <w:tr w14:paraId="67C9A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856" w:type="dxa"/>
            <w:tcMar>
              <w:top w:w="16" w:type="dxa"/>
              <w:left w:w="16" w:type="dxa"/>
              <w:right w:w="16" w:type="dxa"/>
            </w:tcMar>
            <w:vAlign w:val="center"/>
          </w:tcPr>
          <w:p w14:paraId="1A9F2CF6">
            <w:pPr>
              <w:adjustRightInd w:val="0"/>
              <w:snapToGrid w:val="0"/>
              <w:jc w:val="center"/>
              <w:rPr>
                <w:color w:val="auto"/>
                <w:szCs w:val="21"/>
              </w:rPr>
            </w:pPr>
            <w:r>
              <w:rPr>
                <w:color w:val="auto"/>
                <w:szCs w:val="21"/>
              </w:rPr>
              <w:t>地理坐标</w:t>
            </w:r>
          </w:p>
        </w:tc>
        <w:tc>
          <w:tcPr>
            <w:tcW w:w="7014" w:type="dxa"/>
            <w:gridSpan w:val="3"/>
            <w:vAlign w:val="center"/>
          </w:tcPr>
          <w:p w14:paraId="32B9D06D">
            <w:pPr>
              <w:jc w:val="center"/>
              <w:rPr>
                <w:color w:val="auto"/>
                <w:szCs w:val="21"/>
              </w:rPr>
            </w:pPr>
            <w:r>
              <w:rPr>
                <w:color w:val="auto"/>
                <w:szCs w:val="21"/>
              </w:rPr>
              <w:t>（</w:t>
            </w:r>
            <w:r>
              <w:rPr>
                <w:rFonts w:hint="eastAsia"/>
                <w:color w:val="auto"/>
                <w:szCs w:val="21"/>
              </w:rPr>
              <w:t>东经</w:t>
            </w:r>
            <w:r>
              <w:rPr>
                <w:color w:val="auto"/>
                <w:szCs w:val="21"/>
                <w:u w:val="single"/>
              </w:rPr>
              <w:t>84</w:t>
            </w:r>
            <w:r>
              <w:rPr>
                <w:color w:val="auto"/>
                <w:szCs w:val="21"/>
              </w:rPr>
              <w:t>度</w:t>
            </w:r>
            <w:r>
              <w:rPr>
                <w:rFonts w:hint="eastAsia"/>
                <w:color w:val="auto"/>
                <w:szCs w:val="21"/>
                <w:u w:val="single"/>
                <w:lang w:val="en-US" w:eastAsia="zh-CN"/>
              </w:rPr>
              <w:t>51</w:t>
            </w:r>
            <w:r>
              <w:rPr>
                <w:color w:val="auto"/>
                <w:szCs w:val="21"/>
              </w:rPr>
              <w:t>分</w:t>
            </w:r>
            <w:r>
              <w:rPr>
                <w:rFonts w:hint="eastAsia"/>
                <w:color w:val="auto"/>
                <w:szCs w:val="21"/>
                <w:u w:val="single"/>
              </w:rPr>
              <w:t>29.307</w:t>
            </w:r>
            <w:r>
              <w:rPr>
                <w:color w:val="auto"/>
                <w:szCs w:val="21"/>
              </w:rPr>
              <w:t>秒，</w:t>
            </w:r>
            <w:r>
              <w:rPr>
                <w:rFonts w:hint="eastAsia"/>
                <w:color w:val="auto"/>
                <w:szCs w:val="21"/>
              </w:rPr>
              <w:t>北纬</w:t>
            </w:r>
            <w:r>
              <w:rPr>
                <w:color w:val="auto"/>
                <w:szCs w:val="21"/>
                <w:u w:val="single"/>
              </w:rPr>
              <w:t>44</w:t>
            </w:r>
            <w:r>
              <w:rPr>
                <w:color w:val="auto"/>
                <w:szCs w:val="21"/>
              </w:rPr>
              <w:t>度</w:t>
            </w:r>
            <w:r>
              <w:rPr>
                <w:rFonts w:hint="eastAsia"/>
                <w:color w:val="auto"/>
                <w:szCs w:val="21"/>
                <w:u w:val="single"/>
                <w:lang w:val="en-US" w:eastAsia="zh-CN"/>
              </w:rPr>
              <w:t>50</w:t>
            </w:r>
            <w:r>
              <w:rPr>
                <w:color w:val="auto"/>
                <w:szCs w:val="21"/>
              </w:rPr>
              <w:t>分</w:t>
            </w:r>
            <w:r>
              <w:rPr>
                <w:rFonts w:hint="eastAsia"/>
                <w:color w:val="auto"/>
                <w:szCs w:val="21"/>
                <w:u w:val="single"/>
              </w:rPr>
              <w:t>11.680</w:t>
            </w:r>
            <w:r>
              <w:rPr>
                <w:color w:val="auto"/>
                <w:szCs w:val="21"/>
              </w:rPr>
              <w:t>秒）</w:t>
            </w:r>
          </w:p>
        </w:tc>
      </w:tr>
      <w:tr w14:paraId="3B87A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tcMar>
              <w:top w:w="16" w:type="dxa"/>
              <w:left w:w="16" w:type="dxa"/>
              <w:right w:w="16" w:type="dxa"/>
            </w:tcMar>
            <w:vAlign w:val="center"/>
          </w:tcPr>
          <w:p w14:paraId="15CC8251">
            <w:pPr>
              <w:adjustRightInd w:val="0"/>
              <w:snapToGrid w:val="0"/>
              <w:jc w:val="center"/>
              <w:rPr>
                <w:color w:val="auto"/>
                <w:szCs w:val="21"/>
              </w:rPr>
            </w:pPr>
            <w:r>
              <w:rPr>
                <w:color w:val="auto"/>
                <w:szCs w:val="21"/>
              </w:rPr>
              <w:t>国民经济</w:t>
            </w:r>
          </w:p>
          <w:p w14:paraId="013A5DBF">
            <w:pPr>
              <w:adjustRightInd w:val="0"/>
              <w:snapToGrid w:val="0"/>
              <w:jc w:val="center"/>
              <w:rPr>
                <w:color w:val="auto"/>
                <w:szCs w:val="21"/>
              </w:rPr>
            </w:pPr>
            <w:r>
              <w:rPr>
                <w:color w:val="auto"/>
                <w:szCs w:val="21"/>
              </w:rPr>
              <w:t>行业类别</w:t>
            </w:r>
          </w:p>
        </w:tc>
        <w:tc>
          <w:tcPr>
            <w:tcW w:w="2084" w:type="dxa"/>
            <w:vAlign w:val="center"/>
          </w:tcPr>
          <w:p w14:paraId="0187D5DF">
            <w:pPr>
              <w:adjustRightInd w:val="0"/>
              <w:snapToGrid w:val="0"/>
              <w:jc w:val="center"/>
              <w:rPr>
                <w:color w:val="auto"/>
                <w:szCs w:val="21"/>
              </w:rPr>
            </w:pPr>
            <w:r>
              <w:rPr>
                <w:rFonts w:hint="eastAsia"/>
                <w:color w:val="auto"/>
                <w:szCs w:val="21"/>
              </w:rPr>
              <w:t>C2631化学农药制造</w:t>
            </w:r>
          </w:p>
        </w:tc>
        <w:tc>
          <w:tcPr>
            <w:tcW w:w="1975" w:type="dxa"/>
            <w:vAlign w:val="center"/>
          </w:tcPr>
          <w:p w14:paraId="724B04F3">
            <w:pPr>
              <w:adjustRightInd w:val="0"/>
              <w:snapToGrid w:val="0"/>
              <w:jc w:val="center"/>
              <w:rPr>
                <w:color w:val="auto"/>
                <w:szCs w:val="21"/>
              </w:rPr>
            </w:pPr>
            <w:bookmarkStart w:id="1" w:name="_Hlk49843745"/>
            <w:r>
              <w:rPr>
                <w:color w:val="auto"/>
                <w:szCs w:val="21"/>
              </w:rPr>
              <w:t>建设项目</w:t>
            </w:r>
          </w:p>
          <w:p w14:paraId="07A46183">
            <w:pPr>
              <w:adjustRightInd w:val="0"/>
              <w:snapToGrid w:val="0"/>
              <w:jc w:val="center"/>
              <w:rPr>
                <w:color w:val="auto"/>
                <w:szCs w:val="21"/>
              </w:rPr>
            </w:pPr>
            <w:r>
              <w:rPr>
                <w:color w:val="auto"/>
                <w:szCs w:val="21"/>
              </w:rPr>
              <w:t>行业类别</w:t>
            </w:r>
            <w:bookmarkEnd w:id="1"/>
          </w:p>
        </w:tc>
        <w:tc>
          <w:tcPr>
            <w:tcW w:w="2955" w:type="dxa"/>
            <w:vAlign w:val="center"/>
          </w:tcPr>
          <w:p w14:paraId="10DEEC70">
            <w:pPr>
              <w:adjustRightInd w:val="0"/>
              <w:snapToGrid w:val="0"/>
              <w:jc w:val="center"/>
              <w:rPr>
                <w:color w:val="auto"/>
                <w:szCs w:val="21"/>
              </w:rPr>
            </w:pPr>
            <w:r>
              <w:rPr>
                <w:rFonts w:hint="eastAsia"/>
                <w:color w:val="auto"/>
                <w:szCs w:val="21"/>
              </w:rPr>
              <w:t>二十三、化学原料和化学制品制造业26-44农药制造263－单纯物理分离、物理提纯、混合、分装的（不产生废水或挥发性有机物的除外）</w:t>
            </w:r>
          </w:p>
        </w:tc>
      </w:tr>
      <w:tr w14:paraId="21ECA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tcMar>
              <w:top w:w="16" w:type="dxa"/>
              <w:left w:w="16" w:type="dxa"/>
              <w:right w:w="16" w:type="dxa"/>
            </w:tcMar>
            <w:vAlign w:val="center"/>
          </w:tcPr>
          <w:p w14:paraId="60AD6D78">
            <w:pPr>
              <w:adjustRightInd w:val="0"/>
              <w:snapToGrid w:val="0"/>
              <w:jc w:val="center"/>
              <w:rPr>
                <w:color w:val="auto"/>
                <w:szCs w:val="21"/>
              </w:rPr>
            </w:pPr>
            <w:r>
              <w:rPr>
                <w:color w:val="auto"/>
                <w:szCs w:val="21"/>
              </w:rPr>
              <w:t>建设性质</w:t>
            </w:r>
          </w:p>
        </w:tc>
        <w:tc>
          <w:tcPr>
            <w:tcW w:w="2084" w:type="dxa"/>
            <w:vAlign w:val="center"/>
          </w:tcPr>
          <w:p w14:paraId="50742140">
            <w:pPr>
              <w:jc w:val="left"/>
              <w:rPr>
                <w:color w:val="auto"/>
                <w:szCs w:val="21"/>
              </w:rPr>
            </w:pPr>
            <w:r>
              <w:rPr>
                <w:color w:val="auto"/>
                <w:szCs w:val="21"/>
              </w:rPr>
              <w:sym w:font="Wingdings 2" w:char="0052"/>
            </w:r>
            <w:r>
              <w:rPr>
                <w:color w:val="auto"/>
                <w:szCs w:val="21"/>
              </w:rPr>
              <w:t>新建</w:t>
            </w:r>
          </w:p>
          <w:p w14:paraId="215CC421">
            <w:pPr>
              <w:jc w:val="left"/>
              <w:rPr>
                <w:color w:val="auto"/>
                <w:szCs w:val="21"/>
              </w:rPr>
            </w:pPr>
            <w:r>
              <w:rPr>
                <w:rFonts w:hint="eastAsia"/>
                <w:color w:val="auto"/>
                <w:szCs w:val="21"/>
                <w:lang w:eastAsia="zh-CN"/>
              </w:rPr>
              <w:t>□</w:t>
            </w:r>
            <w:r>
              <w:rPr>
                <w:color w:val="auto"/>
                <w:szCs w:val="21"/>
              </w:rPr>
              <w:t>改建</w:t>
            </w:r>
          </w:p>
          <w:p w14:paraId="73776B65">
            <w:pPr>
              <w:jc w:val="left"/>
              <w:rPr>
                <w:color w:val="auto"/>
                <w:szCs w:val="21"/>
              </w:rPr>
            </w:pPr>
            <w:r>
              <w:rPr>
                <w:rFonts w:hint="eastAsia"/>
                <w:color w:val="auto"/>
                <w:szCs w:val="21"/>
                <w:lang w:eastAsia="zh-CN"/>
              </w:rPr>
              <w:t>□</w:t>
            </w:r>
            <w:r>
              <w:rPr>
                <w:color w:val="auto"/>
                <w:szCs w:val="21"/>
              </w:rPr>
              <w:t>扩建</w:t>
            </w:r>
          </w:p>
          <w:p w14:paraId="0ED20334">
            <w:pPr>
              <w:jc w:val="left"/>
              <w:rPr>
                <w:color w:val="auto"/>
                <w:szCs w:val="21"/>
              </w:rPr>
            </w:pPr>
            <w:r>
              <w:rPr>
                <w:rFonts w:hint="eastAsia"/>
                <w:color w:val="auto"/>
                <w:szCs w:val="21"/>
                <w:lang w:eastAsia="zh-CN"/>
              </w:rPr>
              <w:t>□</w:t>
            </w:r>
            <w:r>
              <w:rPr>
                <w:color w:val="auto"/>
                <w:szCs w:val="21"/>
              </w:rPr>
              <w:t>技术改造</w:t>
            </w:r>
          </w:p>
        </w:tc>
        <w:tc>
          <w:tcPr>
            <w:tcW w:w="1975" w:type="dxa"/>
            <w:vAlign w:val="center"/>
          </w:tcPr>
          <w:p w14:paraId="08EBF93A">
            <w:pPr>
              <w:adjustRightInd w:val="0"/>
              <w:snapToGrid w:val="0"/>
              <w:jc w:val="left"/>
              <w:rPr>
                <w:color w:val="auto"/>
                <w:szCs w:val="21"/>
              </w:rPr>
            </w:pPr>
            <w:r>
              <w:rPr>
                <w:color w:val="auto"/>
                <w:szCs w:val="21"/>
              </w:rPr>
              <w:t>建设项目</w:t>
            </w:r>
          </w:p>
          <w:p w14:paraId="57E51F38">
            <w:pPr>
              <w:adjustRightInd w:val="0"/>
              <w:snapToGrid w:val="0"/>
              <w:jc w:val="left"/>
              <w:rPr>
                <w:color w:val="auto"/>
                <w:szCs w:val="21"/>
              </w:rPr>
            </w:pPr>
            <w:r>
              <w:rPr>
                <w:color w:val="auto"/>
                <w:szCs w:val="21"/>
              </w:rPr>
              <w:t>申报情形</w:t>
            </w:r>
          </w:p>
        </w:tc>
        <w:tc>
          <w:tcPr>
            <w:tcW w:w="2955" w:type="dxa"/>
            <w:vAlign w:val="center"/>
          </w:tcPr>
          <w:p w14:paraId="63EEBD27">
            <w:pPr>
              <w:jc w:val="left"/>
              <w:rPr>
                <w:color w:val="auto"/>
                <w:szCs w:val="21"/>
              </w:rPr>
            </w:pPr>
            <w:r>
              <w:rPr>
                <w:color w:val="auto"/>
                <w:szCs w:val="21"/>
              </w:rPr>
              <w:sym w:font="Wingdings 2" w:char="0052"/>
            </w:r>
            <w:r>
              <w:rPr>
                <w:color w:val="auto"/>
                <w:szCs w:val="21"/>
              </w:rPr>
              <w:t>首次申报项目</w:t>
            </w:r>
          </w:p>
          <w:p w14:paraId="0D440431">
            <w:pPr>
              <w:pStyle w:val="45"/>
              <w:spacing w:line="240" w:lineRule="auto"/>
              <w:ind w:firstLine="0" w:firstLineChars="0"/>
              <w:jc w:val="left"/>
              <w:rPr>
                <w:rFonts w:ascii="Times New Roman" w:hAnsi="Times New Roman" w:cs="Times New Roman"/>
                <w:color w:val="auto"/>
              </w:rPr>
            </w:pPr>
            <w:r>
              <w:rPr>
                <w:rFonts w:hint="eastAsia" w:ascii="Times New Roman" w:hAnsi="Times New Roman" w:cs="Times New Roman"/>
                <w:color w:val="auto"/>
                <w:lang w:eastAsia="zh-CN"/>
              </w:rPr>
              <w:t>□</w:t>
            </w:r>
            <w:r>
              <w:rPr>
                <w:rFonts w:ascii="Times New Roman" w:hAnsi="Times New Roman" w:cs="Times New Roman"/>
                <w:color w:val="auto"/>
              </w:rPr>
              <w:t>不予批准后再次申报项目</w:t>
            </w:r>
          </w:p>
          <w:p w14:paraId="5A1CD426">
            <w:pPr>
              <w:jc w:val="left"/>
              <w:rPr>
                <w:color w:val="auto"/>
                <w:szCs w:val="21"/>
              </w:rPr>
            </w:pPr>
            <w:r>
              <w:rPr>
                <w:color w:val="auto"/>
                <w:szCs w:val="21"/>
              </w:rPr>
              <w:sym w:font="Wingdings 2" w:char="00A3"/>
            </w:r>
            <w:r>
              <w:rPr>
                <w:color w:val="auto"/>
                <w:szCs w:val="21"/>
              </w:rPr>
              <w:t>超五年重新审核项目</w:t>
            </w:r>
          </w:p>
          <w:p w14:paraId="01B98483">
            <w:pPr>
              <w:jc w:val="left"/>
              <w:rPr>
                <w:color w:val="auto"/>
                <w:szCs w:val="21"/>
              </w:rPr>
            </w:pPr>
            <w:r>
              <w:rPr>
                <w:rFonts w:hint="eastAsia"/>
                <w:color w:val="auto"/>
                <w:szCs w:val="21"/>
                <w:lang w:eastAsia="zh-CN"/>
              </w:rPr>
              <w:t>□</w:t>
            </w:r>
            <w:r>
              <w:rPr>
                <w:color w:val="auto"/>
                <w:szCs w:val="21"/>
              </w:rPr>
              <w:t>重大变动重新报批项目</w:t>
            </w:r>
          </w:p>
        </w:tc>
      </w:tr>
      <w:tr w14:paraId="1A0E7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tcMar>
              <w:top w:w="16" w:type="dxa"/>
              <w:left w:w="16" w:type="dxa"/>
              <w:right w:w="16" w:type="dxa"/>
            </w:tcMar>
            <w:vAlign w:val="center"/>
          </w:tcPr>
          <w:p w14:paraId="50F1F1D8">
            <w:pPr>
              <w:adjustRightInd w:val="0"/>
              <w:snapToGrid w:val="0"/>
              <w:jc w:val="center"/>
              <w:rPr>
                <w:color w:val="auto"/>
                <w:szCs w:val="21"/>
              </w:rPr>
            </w:pPr>
            <w:r>
              <w:rPr>
                <w:color w:val="auto"/>
                <w:szCs w:val="21"/>
              </w:rPr>
              <w:t>项目审批（核准/</w:t>
            </w:r>
          </w:p>
          <w:p w14:paraId="48C6E39B">
            <w:pPr>
              <w:adjustRightInd w:val="0"/>
              <w:snapToGrid w:val="0"/>
              <w:jc w:val="center"/>
              <w:rPr>
                <w:color w:val="auto"/>
                <w:szCs w:val="21"/>
              </w:rPr>
            </w:pPr>
            <w:r>
              <w:rPr>
                <w:color w:val="auto"/>
                <w:szCs w:val="21"/>
              </w:rPr>
              <w:t>备案）部门（选填）</w:t>
            </w:r>
          </w:p>
        </w:tc>
        <w:tc>
          <w:tcPr>
            <w:tcW w:w="2084" w:type="dxa"/>
            <w:vAlign w:val="center"/>
          </w:tcPr>
          <w:p w14:paraId="50EFB8BF">
            <w:pPr>
              <w:jc w:val="center"/>
              <w:rPr>
                <w:rFonts w:hint="default" w:eastAsia="宋体"/>
                <w:color w:val="auto"/>
                <w:szCs w:val="21"/>
                <w:lang w:val="en-US" w:eastAsia="zh-CN"/>
              </w:rPr>
            </w:pPr>
            <w:r>
              <w:rPr>
                <w:rFonts w:hint="eastAsia"/>
                <w:color w:val="auto"/>
                <w:szCs w:val="21"/>
                <w:lang w:val="en-US" w:eastAsia="zh-CN"/>
              </w:rPr>
              <w:t>胡杨河经济技术开发区经济发展局</w:t>
            </w:r>
          </w:p>
        </w:tc>
        <w:tc>
          <w:tcPr>
            <w:tcW w:w="1975" w:type="dxa"/>
            <w:vAlign w:val="center"/>
          </w:tcPr>
          <w:p w14:paraId="1554B4CF">
            <w:pPr>
              <w:jc w:val="center"/>
              <w:rPr>
                <w:color w:val="auto"/>
                <w:szCs w:val="21"/>
              </w:rPr>
            </w:pPr>
            <w:r>
              <w:rPr>
                <w:color w:val="auto"/>
                <w:szCs w:val="21"/>
              </w:rPr>
              <w:t>项目审批（核准/</w:t>
            </w:r>
          </w:p>
          <w:p w14:paraId="08591898">
            <w:pPr>
              <w:jc w:val="center"/>
              <w:rPr>
                <w:color w:val="auto"/>
                <w:szCs w:val="21"/>
              </w:rPr>
            </w:pPr>
            <w:r>
              <w:rPr>
                <w:color w:val="auto"/>
                <w:szCs w:val="21"/>
              </w:rPr>
              <w:t>备案）文号（选填）</w:t>
            </w:r>
          </w:p>
        </w:tc>
        <w:tc>
          <w:tcPr>
            <w:tcW w:w="2955" w:type="dxa"/>
            <w:vAlign w:val="center"/>
          </w:tcPr>
          <w:p w14:paraId="75610B4B">
            <w:pPr>
              <w:jc w:val="center"/>
              <w:rPr>
                <w:rFonts w:hint="default" w:eastAsia="宋体"/>
                <w:color w:val="auto"/>
                <w:szCs w:val="21"/>
                <w:lang w:val="en-US" w:eastAsia="zh-CN"/>
              </w:rPr>
            </w:pPr>
            <w:r>
              <w:rPr>
                <w:rFonts w:hint="eastAsia"/>
                <w:color w:val="auto"/>
                <w:szCs w:val="21"/>
                <w:lang w:val="en-US" w:eastAsia="zh-CN"/>
              </w:rPr>
              <w:t>经发局备〔2024〕012号</w:t>
            </w:r>
          </w:p>
        </w:tc>
      </w:tr>
      <w:tr w14:paraId="1BA6D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74E91426">
            <w:pPr>
              <w:adjustRightInd w:val="0"/>
              <w:snapToGrid w:val="0"/>
              <w:jc w:val="center"/>
              <w:rPr>
                <w:color w:val="auto"/>
                <w:szCs w:val="21"/>
              </w:rPr>
            </w:pPr>
            <w:r>
              <w:rPr>
                <w:color w:val="auto"/>
                <w:szCs w:val="21"/>
              </w:rPr>
              <w:t>总投资（万元）</w:t>
            </w:r>
          </w:p>
        </w:tc>
        <w:tc>
          <w:tcPr>
            <w:tcW w:w="2084" w:type="dxa"/>
            <w:vAlign w:val="center"/>
          </w:tcPr>
          <w:p w14:paraId="351BCE74">
            <w:pPr>
              <w:jc w:val="center"/>
              <w:rPr>
                <w:rFonts w:hint="default" w:eastAsia="宋体"/>
                <w:color w:val="auto"/>
                <w:szCs w:val="21"/>
                <w:lang w:val="en-US" w:eastAsia="zh-CN"/>
              </w:rPr>
            </w:pPr>
            <w:r>
              <w:rPr>
                <w:rFonts w:hint="eastAsia"/>
                <w:color w:val="auto"/>
                <w:szCs w:val="21"/>
                <w:lang w:val="en-US" w:eastAsia="zh-CN"/>
              </w:rPr>
              <w:t>35644.17</w:t>
            </w:r>
          </w:p>
        </w:tc>
        <w:tc>
          <w:tcPr>
            <w:tcW w:w="1975" w:type="dxa"/>
            <w:tcMar>
              <w:top w:w="16" w:type="dxa"/>
              <w:left w:w="16" w:type="dxa"/>
              <w:right w:w="16" w:type="dxa"/>
            </w:tcMar>
            <w:vAlign w:val="center"/>
          </w:tcPr>
          <w:p w14:paraId="208EC50D">
            <w:pPr>
              <w:jc w:val="center"/>
              <w:rPr>
                <w:color w:val="auto"/>
                <w:szCs w:val="21"/>
              </w:rPr>
            </w:pPr>
            <w:r>
              <w:rPr>
                <w:color w:val="auto"/>
                <w:szCs w:val="21"/>
              </w:rPr>
              <w:t>环保投资（万元）</w:t>
            </w:r>
          </w:p>
        </w:tc>
        <w:tc>
          <w:tcPr>
            <w:tcW w:w="2955" w:type="dxa"/>
            <w:vAlign w:val="center"/>
          </w:tcPr>
          <w:p w14:paraId="5870C957">
            <w:pPr>
              <w:jc w:val="center"/>
              <w:rPr>
                <w:rFonts w:hint="default" w:eastAsia="宋体"/>
                <w:color w:val="auto"/>
                <w:szCs w:val="21"/>
                <w:lang w:val="en-US" w:eastAsia="zh-CN"/>
              </w:rPr>
            </w:pPr>
            <w:r>
              <w:rPr>
                <w:rFonts w:hint="eastAsia"/>
                <w:color w:val="auto"/>
                <w:szCs w:val="21"/>
                <w:lang w:val="en-US" w:eastAsia="zh-CN"/>
              </w:rPr>
              <w:t>115</w:t>
            </w:r>
          </w:p>
        </w:tc>
      </w:tr>
      <w:tr w14:paraId="24A97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6731C032">
            <w:pPr>
              <w:adjustRightInd w:val="0"/>
              <w:snapToGrid w:val="0"/>
              <w:jc w:val="center"/>
              <w:rPr>
                <w:color w:val="auto"/>
                <w:szCs w:val="21"/>
              </w:rPr>
            </w:pPr>
            <w:r>
              <w:rPr>
                <w:color w:val="auto"/>
                <w:szCs w:val="21"/>
              </w:rPr>
              <w:t>环保投资占比（%）</w:t>
            </w:r>
          </w:p>
        </w:tc>
        <w:tc>
          <w:tcPr>
            <w:tcW w:w="2084" w:type="dxa"/>
            <w:vAlign w:val="center"/>
          </w:tcPr>
          <w:p w14:paraId="5FA1DA46">
            <w:pPr>
              <w:jc w:val="center"/>
              <w:rPr>
                <w:rFonts w:hint="default" w:eastAsia="宋体"/>
                <w:color w:val="auto"/>
                <w:szCs w:val="21"/>
                <w:lang w:val="en-US" w:eastAsia="zh-CN"/>
              </w:rPr>
            </w:pPr>
            <w:r>
              <w:rPr>
                <w:rFonts w:hint="eastAsia"/>
                <w:color w:val="auto"/>
                <w:szCs w:val="21"/>
                <w:lang w:val="en-US" w:eastAsia="zh-CN"/>
              </w:rPr>
              <w:t>0.32</w:t>
            </w:r>
          </w:p>
        </w:tc>
        <w:tc>
          <w:tcPr>
            <w:tcW w:w="1975" w:type="dxa"/>
            <w:tcMar>
              <w:top w:w="16" w:type="dxa"/>
              <w:left w:w="16" w:type="dxa"/>
              <w:right w:w="16" w:type="dxa"/>
            </w:tcMar>
            <w:vAlign w:val="center"/>
          </w:tcPr>
          <w:p w14:paraId="22E10A9A">
            <w:pPr>
              <w:jc w:val="center"/>
              <w:rPr>
                <w:color w:val="auto"/>
                <w:szCs w:val="21"/>
              </w:rPr>
            </w:pPr>
            <w:r>
              <w:rPr>
                <w:color w:val="auto"/>
                <w:szCs w:val="21"/>
              </w:rPr>
              <w:t>施工工期</w:t>
            </w:r>
          </w:p>
        </w:tc>
        <w:tc>
          <w:tcPr>
            <w:tcW w:w="2955" w:type="dxa"/>
            <w:vAlign w:val="center"/>
          </w:tcPr>
          <w:p w14:paraId="3CCE8B5C">
            <w:pPr>
              <w:jc w:val="center"/>
              <w:rPr>
                <w:color w:val="auto"/>
                <w:szCs w:val="21"/>
              </w:rPr>
            </w:pPr>
            <w:r>
              <w:rPr>
                <w:rFonts w:hint="eastAsia"/>
                <w:color w:val="auto"/>
                <w:szCs w:val="21"/>
                <w:lang w:val="en-US" w:eastAsia="zh-CN"/>
              </w:rPr>
              <w:t>12</w:t>
            </w:r>
            <w:r>
              <w:rPr>
                <w:color w:val="auto"/>
                <w:szCs w:val="21"/>
              </w:rPr>
              <w:t>个月</w:t>
            </w:r>
          </w:p>
        </w:tc>
      </w:tr>
      <w:tr w14:paraId="52D2C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14:paraId="11346460">
            <w:pPr>
              <w:adjustRightInd w:val="0"/>
              <w:snapToGrid w:val="0"/>
              <w:jc w:val="center"/>
              <w:rPr>
                <w:color w:val="auto"/>
                <w:szCs w:val="21"/>
              </w:rPr>
            </w:pPr>
            <w:r>
              <w:rPr>
                <w:color w:val="auto"/>
                <w:szCs w:val="21"/>
              </w:rPr>
              <w:t>是否开工建设</w:t>
            </w:r>
          </w:p>
        </w:tc>
        <w:tc>
          <w:tcPr>
            <w:tcW w:w="2084" w:type="dxa"/>
            <w:vAlign w:val="center"/>
          </w:tcPr>
          <w:p w14:paraId="173EF77F">
            <w:pPr>
              <w:jc w:val="left"/>
              <w:rPr>
                <w:color w:val="auto"/>
                <w:szCs w:val="21"/>
              </w:rPr>
            </w:pPr>
            <w:r>
              <w:rPr>
                <w:color w:val="auto"/>
                <w:szCs w:val="21"/>
              </w:rPr>
              <w:sym w:font="Wingdings 2" w:char="0052"/>
            </w:r>
            <w:r>
              <w:rPr>
                <w:color w:val="auto"/>
                <w:szCs w:val="21"/>
              </w:rPr>
              <w:t>否</w:t>
            </w:r>
          </w:p>
          <w:p w14:paraId="7FC8B3AF">
            <w:pPr>
              <w:jc w:val="left"/>
              <w:rPr>
                <w:color w:val="auto"/>
                <w:szCs w:val="21"/>
              </w:rPr>
            </w:pPr>
            <w:r>
              <w:rPr>
                <w:rFonts w:hint="eastAsia"/>
                <w:color w:val="auto"/>
                <w:szCs w:val="21"/>
                <w:lang w:eastAsia="zh-CN"/>
              </w:rPr>
              <w:t>□</w:t>
            </w:r>
            <w:r>
              <w:rPr>
                <w:color w:val="auto"/>
                <w:szCs w:val="21"/>
              </w:rPr>
              <w:t>是：</w:t>
            </w:r>
          </w:p>
        </w:tc>
        <w:tc>
          <w:tcPr>
            <w:tcW w:w="1975" w:type="dxa"/>
            <w:tcMar>
              <w:top w:w="16" w:type="dxa"/>
              <w:left w:w="16" w:type="dxa"/>
              <w:right w:w="16" w:type="dxa"/>
            </w:tcMar>
            <w:vAlign w:val="center"/>
          </w:tcPr>
          <w:p w14:paraId="084B2588">
            <w:pPr>
              <w:jc w:val="center"/>
              <w:rPr>
                <w:color w:val="auto"/>
                <w:szCs w:val="21"/>
              </w:rPr>
            </w:pPr>
            <w:r>
              <w:rPr>
                <w:color w:val="auto"/>
                <w:szCs w:val="21"/>
              </w:rPr>
              <w:t>用地（用海）</w:t>
            </w:r>
          </w:p>
          <w:p w14:paraId="7DA49400">
            <w:pPr>
              <w:jc w:val="center"/>
              <w:rPr>
                <w:color w:val="auto"/>
                <w:szCs w:val="21"/>
              </w:rPr>
            </w:pPr>
            <w:r>
              <w:rPr>
                <w:color w:val="auto"/>
                <w:szCs w:val="21"/>
              </w:rPr>
              <w:t>面积（m</w:t>
            </w:r>
            <w:r>
              <w:rPr>
                <w:color w:val="auto"/>
                <w:szCs w:val="21"/>
                <w:vertAlign w:val="superscript"/>
              </w:rPr>
              <w:t>2</w:t>
            </w:r>
            <w:r>
              <w:rPr>
                <w:color w:val="auto"/>
                <w:szCs w:val="21"/>
              </w:rPr>
              <w:t>）</w:t>
            </w:r>
          </w:p>
        </w:tc>
        <w:tc>
          <w:tcPr>
            <w:tcW w:w="2955" w:type="dxa"/>
            <w:vAlign w:val="center"/>
          </w:tcPr>
          <w:p w14:paraId="2580416E">
            <w:pPr>
              <w:jc w:val="center"/>
              <w:rPr>
                <w:rFonts w:hint="default" w:eastAsia="宋体"/>
                <w:color w:val="auto"/>
                <w:szCs w:val="21"/>
                <w:lang w:val="en-US" w:eastAsia="zh-CN"/>
              </w:rPr>
            </w:pPr>
            <w:r>
              <w:rPr>
                <w:rFonts w:hint="eastAsia"/>
                <w:color w:val="auto"/>
                <w:szCs w:val="21"/>
                <w:lang w:val="en-US" w:eastAsia="zh-CN"/>
              </w:rPr>
              <w:t>33379.41</w:t>
            </w:r>
          </w:p>
        </w:tc>
      </w:tr>
      <w:tr w14:paraId="732EE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56" w:type="dxa"/>
            <w:vAlign w:val="center"/>
          </w:tcPr>
          <w:p w14:paraId="44C36810">
            <w:pPr>
              <w:autoSpaceDE w:val="0"/>
              <w:autoSpaceDN w:val="0"/>
              <w:adjustRightInd w:val="0"/>
              <w:snapToGrid w:val="0"/>
              <w:jc w:val="center"/>
              <w:rPr>
                <w:color w:val="auto"/>
                <w:kern w:val="0"/>
                <w:szCs w:val="21"/>
              </w:rPr>
            </w:pPr>
            <w:r>
              <w:rPr>
                <w:color w:val="auto"/>
                <w:kern w:val="0"/>
                <w:szCs w:val="21"/>
              </w:rPr>
              <w:t>专项评价设置情况</w:t>
            </w:r>
          </w:p>
        </w:tc>
        <w:tc>
          <w:tcPr>
            <w:tcW w:w="7014" w:type="dxa"/>
            <w:gridSpan w:val="3"/>
            <w:vAlign w:val="center"/>
          </w:tcPr>
          <w:p w14:paraId="2C838412">
            <w:pPr>
              <w:pStyle w:val="18"/>
              <w:rPr>
                <w:color w:val="auto"/>
              </w:rPr>
            </w:pPr>
            <w:r>
              <w:rPr>
                <w:color w:val="auto"/>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本项目大气、地表水、环境风险、生态和海洋专项评价具体设置情况见表1-1。</w:t>
            </w:r>
          </w:p>
          <w:p w14:paraId="134CBD0D">
            <w:pPr>
              <w:autoSpaceDE w:val="0"/>
              <w:autoSpaceDN w:val="0"/>
              <w:adjustRightInd w:val="0"/>
              <w:snapToGrid w:val="0"/>
              <w:jc w:val="center"/>
              <w:rPr>
                <w:b/>
                <w:bCs/>
                <w:color w:val="auto"/>
                <w:kern w:val="0"/>
                <w:szCs w:val="21"/>
              </w:rPr>
            </w:pPr>
            <w:r>
              <w:rPr>
                <w:b/>
                <w:bCs/>
                <w:color w:val="auto"/>
                <w:kern w:val="0"/>
                <w:szCs w:val="21"/>
              </w:rPr>
              <w:t>表1-1专项评价设置原则表</w:t>
            </w:r>
          </w:p>
          <w:tbl>
            <w:tblPr>
              <w:tblStyle w:val="1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963"/>
              <w:gridCol w:w="2012"/>
              <w:gridCol w:w="1087"/>
            </w:tblGrid>
            <w:tr w14:paraId="2237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14:paraId="100119C7">
                  <w:pPr>
                    <w:pStyle w:val="42"/>
                    <w:rPr>
                      <w:b/>
                      <w:bCs/>
                      <w:color w:val="auto"/>
                      <w:sz w:val="21"/>
                      <w:szCs w:val="21"/>
                    </w:rPr>
                  </w:pPr>
                  <w:r>
                    <w:rPr>
                      <w:b/>
                      <w:bCs/>
                      <w:color w:val="auto"/>
                      <w:sz w:val="21"/>
                      <w:szCs w:val="21"/>
                    </w:rPr>
                    <w:t>专项评价类别</w:t>
                  </w:r>
                </w:p>
              </w:tc>
              <w:tc>
                <w:tcPr>
                  <w:tcW w:w="2963" w:type="dxa"/>
                  <w:tcBorders>
                    <w:tl2br w:val="nil"/>
                    <w:tr2bl w:val="nil"/>
                  </w:tcBorders>
                  <w:vAlign w:val="center"/>
                </w:tcPr>
                <w:p w14:paraId="3A4CEC0B">
                  <w:pPr>
                    <w:pStyle w:val="42"/>
                    <w:rPr>
                      <w:b/>
                      <w:bCs/>
                      <w:color w:val="auto"/>
                      <w:sz w:val="21"/>
                      <w:szCs w:val="21"/>
                    </w:rPr>
                  </w:pPr>
                  <w:r>
                    <w:rPr>
                      <w:b/>
                      <w:bCs/>
                      <w:color w:val="auto"/>
                      <w:sz w:val="21"/>
                      <w:szCs w:val="21"/>
                    </w:rPr>
                    <w:t>设置原则</w:t>
                  </w:r>
                </w:p>
              </w:tc>
              <w:tc>
                <w:tcPr>
                  <w:tcW w:w="2012" w:type="dxa"/>
                  <w:tcBorders>
                    <w:tl2br w:val="nil"/>
                    <w:tr2bl w:val="nil"/>
                  </w:tcBorders>
                  <w:vAlign w:val="center"/>
                </w:tcPr>
                <w:p w14:paraId="0094AB67">
                  <w:pPr>
                    <w:pStyle w:val="42"/>
                    <w:rPr>
                      <w:b/>
                      <w:bCs/>
                      <w:color w:val="auto"/>
                      <w:sz w:val="21"/>
                      <w:szCs w:val="21"/>
                    </w:rPr>
                  </w:pPr>
                  <w:r>
                    <w:rPr>
                      <w:b/>
                      <w:bCs/>
                      <w:color w:val="auto"/>
                      <w:sz w:val="21"/>
                      <w:szCs w:val="21"/>
                    </w:rPr>
                    <w:t>本项目概况</w:t>
                  </w:r>
                </w:p>
              </w:tc>
              <w:tc>
                <w:tcPr>
                  <w:tcW w:w="1087" w:type="dxa"/>
                  <w:tcBorders>
                    <w:tl2br w:val="nil"/>
                    <w:tr2bl w:val="nil"/>
                  </w:tcBorders>
                  <w:vAlign w:val="center"/>
                </w:tcPr>
                <w:p w14:paraId="6EF26D14">
                  <w:pPr>
                    <w:pStyle w:val="42"/>
                    <w:rPr>
                      <w:b/>
                      <w:bCs/>
                      <w:color w:val="auto"/>
                      <w:sz w:val="21"/>
                      <w:szCs w:val="21"/>
                    </w:rPr>
                  </w:pPr>
                  <w:r>
                    <w:rPr>
                      <w:b/>
                      <w:bCs/>
                      <w:color w:val="auto"/>
                      <w:sz w:val="21"/>
                      <w:szCs w:val="21"/>
                    </w:rPr>
                    <w:t>对照结果</w:t>
                  </w:r>
                </w:p>
              </w:tc>
            </w:tr>
            <w:tr w14:paraId="33AB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14:paraId="34D13F88">
                  <w:pPr>
                    <w:pStyle w:val="42"/>
                    <w:rPr>
                      <w:color w:val="auto"/>
                      <w:sz w:val="21"/>
                      <w:szCs w:val="21"/>
                    </w:rPr>
                  </w:pPr>
                  <w:r>
                    <w:rPr>
                      <w:color w:val="auto"/>
                      <w:sz w:val="21"/>
                      <w:szCs w:val="21"/>
                    </w:rPr>
                    <w:t>大气</w:t>
                  </w:r>
                </w:p>
              </w:tc>
              <w:tc>
                <w:tcPr>
                  <w:tcW w:w="2963" w:type="dxa"/>
                  <w:tcBorders>
                    <w:tl2br w:val="nil"/>
                    <w:tr2bl w:val="nil"/>
                  </w:tcBorders>
                  <w:vAlign w:val="center"/>
                </w:tcPr>
                <w:p w14:paraId="31F64D64">
                  <w:pPr>
                    <w:pStyle w:val="42"/>
                    <w:rPr>
                      <w:color w:val="auto"/>
                      <w:sz w:val="21"/>
                      <w:szCs w:val="21"/>
                    </w:rPr>
                  </w:pPr>
                  <w:r>
                    <w:rPr>
                      <w:color w:val="auto"/>
                      <w:sz w:val="21"/>
                      <w:szCs w:val="21"/>
                    </w:rPr>
                    <w:t>排放废气含有毒有害污染物</w:t>
                  </w:r>
                  <w:r>
                    <w:rPr>
                      <w:color w:val="auto"/>
                      <w:sz w:val="21"/>
                      <w:szCs w:val="21"/>
                      <w:vertAlign w:val="superscript"/>
                    </w:rPr>
                    <w:t>1</w:t>
                  </w:r>
                  <w:r>
                    <w:rPr>
                      <w:color w:val="auto"/>
                      <w:sz w:val="21"/>
                      <w:szCs w:val="21"/>
                    </w:rPr>
                    <w:t>、二噁英、苯并[a]芘、氰化物、氯气且厂界外500米范围内有环境空气保护目标</w:t>
                  </w:r>
                  <w:r>
                    <w:rPr>
                      <w:color w:val="auto"/>
                      <w:sz w:val="21"/>
                      <w:szCs w:val="21"/>
                      <w:vertAlign w:val="superscript"/>
                    </w:rPr>
                    <w:t>2</w:t>
                  </w:r>
                  <w:r>
                    <w:rPr>
                      <w:color w:val="auto"/>
                      <w:sz w:val="21"/>
                      <w:szCs w:val="21"/>
                    </w:rPr>
                    <w:t>的建设项目。</w:t>
                  </w:r>
                </w:p>
              </w:tc>
              <w:tc>
                <w:tcPr>
                  <w:tcW w:w="2012" w:type="dxa"/>
                  <w:tcBorders>
                    <w:tl2br w:val="nil"/>
                    <w:tr2bl w:val="nil"/>
                  </w:tcBorders>
                  <w:vAlign w:val="center"/>
                </w:tcPr>
                <w:p w14:paraId="4B435D34">
                  <w:pPr>
                    <w:pStyle w:val="42"/>
                    <w:rPr>
                      <w:color w:val="auto"/>
                      <w:sz w:val="21"/>
                      <w:szCs w:val="21"/>
                    </w:rPr>
                  </w:pPr>
                  <w:r>
                    <w:rPr>
                      <w:color w:val="auto"/>
                      <w:sz w:val="21"/>
                      <w:szCs w:val="21"/>
                    </w:rPr>
                    <w:t>项目不涉及有毒有害污染物、二噁英、苯并[a]芘、氰化物、氯气的排放。</w:t>
                  </w:r>
                </w:p>
              </w:tc>
              <w:tc>
                <w:tcPr>
                  <w:tcW w:w="1087" w:type="dxa"/>
                  <w:tcBorders>
                    <w:tl2br w:val="nil"/>
                    <w:tr2bl w:val="nil"/>
                  </w:tcBorders>
                  <w:vAlign w:val="center"/>
                </w:tcPr>
                <w:p w14:paraId="40389502">
                  <w:pPr>
                    <w:pStyle w:val="42"/>
                    <w:rPr>
                      <w:color w:val="auto"/>
                      <w:sz w:val="21"/>
                      <w:szCs w:val="21"/>
                    </w:rPr>
                  </w:pPr>
                  <w:r>
                    <w:rPr>
                      <w:color w:val="auto"/>
                      <w:sz w:val="21"/>
                      <w:szCs w:val="21"/>
                    </w:rPr>
                    <w:t>无需设置专项评价。</w:t>
                  </w:r>
                </w:p>
              </w:tc>
            </w:tr>
            <w:tr w14:paraId="236C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14:paraId="3E933B1C">
                  <w:pPr>
                    <w:pStyle w:val="42"/>
                    <w:rPr>
                      <w:color w:val="auto"/>
                      <w:sz w:val="21"/>
                      <w:szCs w:val="21"/>
                    </w:rPr>
                  </w:pPr>
                  <w:r>
                    <w:rPr>
                      <w:color w:val="auto"/>
                      <w:sz w:val="21"/>
                      <w:szCs w:val="21"/>
                    </w:rPr>
                    <w:t>地表水</w:t>
                  </w:r>
                </w:p>
              </w:tc>
              <w:tc>
                <w:tcPr>
                  <w:tcW w:w="2963" w:type="dxa"/>
                  <w:tcBorders>
                    <w:tl2br w:val="nil"/>
                    <w:tr2bl w:val="nil"/>
                  </w:tcBorders>
                  <w:vAlign w:val="center"/>
                </w:tcPr>
                <w:p w14:paraId="1E95B452">
                  <w:pPr>
                    <w:pStyle w:val="42"/>
                    <w:rPr>
                      <w:color w:val="auto"/>
                      <w:sz w:val="21"/>
                      <w:szCs w:val="21"/>
                    </w:rPr>
                  </w:pPr>
                  <w:r>
                    <w:rPr>
                      <w:color w:val="auto"/>
                      <w:sz w:val="21"/>
                      <w:szCs w:val="21"/>
                    </w:rPr>
                    <w:t>新增工业废水直排建设项目（槽罐车外送污水处理厂的除外）；新增废水直排的污水集中处理厂。</w:t>
                  </w:r>
                </w:p>
              </w:tc>
              <w:tc>
                <w:tcPr>
                  <w:tcW w:w="2012" w:type="dxa"/>
                  <w:tcBorders>
                    <w:tl2br w:val="nil"/>
                    <w:tr2bl w:val="nil"/>
                  </w:tcBorders>
                  <w:vAlign w:val="center"/>
                </w:tcPr>
                <w:p w14:paraId="66E3058C">
                  <w:pPr>
                    <w:pStyle w:val="42"/>
                    <w:rPr>
                      <w:color w:val="auto"/>
                      <w:sz w:val="21"/>
                      <w:szCs w:val="21"/>
                    </w:rPr>
                  </w:pPr>
                  <w:r>
                    <w:rPr>
                      <w:color w:val="auto"/>
                      <w:sz w:val="21"/>
                      <w:szCs w:val="21"/>
                    </w:rPr>
                    <w:t>本项目不涉及工业废水直排</w:t>
                  </w:r>
                </w:p>
              </w:tc>
              <w:tc>
                <w:tcPr>
                  <w:tcW w:w="1087" w:type="dxa"/>
                  <w:tcBorders>
                    <w:tl2br w:val="nil"/>
                    <w:tr2bl w:val="nil"/>
                  </w:tcBorders>
                  <w:vAlign w:val="center"/>
                </w:tcPr>
                <w:p w14:paraId="6FB85157">
                  <w:pPr>
                    <w:pStyle w:val="42"/>
                    <w:rPr>
                      <w:color w:val="auto"/>
                      <w:sz w:val="21"/>
                      <w:szCs w:val="21"/>
                    </w:rPr>
                  </w:pPr>
                  <w:r>
                    <w:rPr>
                      <w:color w:val="auto"/>
                      <w:sz w:val="21"/>
                      <w:szCs w:val="21"/>
                    </w:rPr>
                    <w:t>无需设置专项评价。</w:t>
                  </w:r>
                </w:p>
              </w:tc>
            </w:tr>
            <w:tr w14:paraId="4008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14:paraId="1EF8F945">
                  <w:pPr>
                    <w:pStyle w:val="42"/>
                    <w:rPr>
                      <w:color w:val="auto"/>
                      <w:sz w:val="21"/>
                      <w:szCs w:val="21"/>
                    </w:rPr>
                  </w:pPr>
                  <w:r>
                    <w:rPr>
                      <w:color w:val="auto"/>
                      <w:sz w:val="21"/>
                      <w:szCs w:val="21"/>
                    </w:rPr>
                    <w:t>环境风险</w:t>
                  </w:r>
                </w:p>
              </w:tc>
              <w:tc>
                <w:tcPr>
                  <w:tcW w:w="2963" w:type="dxa"/>
                  <w:tcBorders>
                    <w:tl2br w:val="nil"/>
                    <w:tr2bl w:val="nil"/>
                  </w:tcBorders>
                  <w:vAlign w:val="center"/>
                </w:tcPr>
                <w:p w14:paraId="19916728">
                  <w:pPr>
                    <w:pStyle w:val="42"/>
                    <w:rPr>
                      <w:color w:val="auto"/>
                      <w:sz w:val="21"/>
                      <w:szCs w:val="21"/>
                    </w:rPr>
                  </w:pPr>
                  <w:r>
                    <w:rPr>
                      <w:color w:val="auto"/>
                      <w:sz w:val="21"/>
                      <w:szCs w:val="21"/>
                    </w:rPr>
                    <w:t>有毒有害和易燃易爆危险物质存储量超过临界量</w:t>
                  </w:r>
                  <w:r>
                    <w:rPr>
                      <w:color w:val="auto"/>
                      <w:sz w:val="21"/>
                      <w:szCs w:val="21"/>
                      <w:vertAlign w:val="superscript"/>
                    </w:rPr>
                    <w:t>3</w:t>
                  </w:r>
                  <w:r>
                    <w:rPr>
                      <w:color w:val="auto"/>
                      <w:sz w:val="21"/>
                      <w:szCs w:val="21"/>
                    </w:rPr>
                    <w:t>的建设项目。</w:t>
                  </w:r>
                </w:p>
              </w:tc>
              <w:tc>
                <w:tcPr>
                  <w:tcW w:w="2012" w:type="dxa"/>
                  <w:tcBorders>
                    <w:tl2br w:val="nil"/>
                    <w:tr2bl w:val="nil"/>
                  </w:tcBorders>
                  <w:vAlign w:val="center"/>
                </w:tcPr>
                <w:p w14:paraId="3BAF6D12">
                  <w:pPr>
                    <w:pStyle w:val="42"/>
                    <w:rPr>
                      <w:color w:val="auto"/>
                      <w:sz w:val="21"/>
                      <w:szCs w:val="21"/>
                    </w:rPr>
                  </w:pPr>
                  <w:r>
                    <w:rPr>
                      <w:color w:val="auto"/>
                      <w:sz w:val="21"/>
                      <w:szCs w:val="21"/>
                    </w:rPr>
                    <w:t>本项目有毒有害物质和易燃易爆危险物质存储量未超过临界量。</w:t>
                  </w:r>
                </w:p>
              </w:tc>
              <w:tc>
                <w:tcPr>
                  <w:tcW w:w="1087" w:type="dxa"/>
                  <w:tcBorders>
                    <w:tl2br w:val="nil"/>
                    <w:tr2bl w:val="nil"/>
                  </w:tcBorders>
                  <w:vAlign w:val="center"/>
                </w:tcPr>
                <w:p w14:paraId="12AEECAF">
                  <w:pPr>
                    <w:pStyle w:val="42"/>
                    <w:rPr>
                      <w:color w:val="auto"/>
                      <w:sz w:val="21"/>
                      <w:szCs w:val="21"/>
                    </w:rPr>
                  </w:pPr>
                  <w:r>
                    <w:rPr>
                      <w:color w:val="auto"/>
                      <w:sz w:val="21"/>
                      <w:szCs w:val="21"/>
                    </w:rPr>
                    <w:t>无需设置专项评价。</w:t>
                  </w:r>
                </w:p>
              </w:tc>
            </w:tr>
            <w:tr w14:paraId="5DD5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14:paraId="459957D8">
                  <w:pPr>
                    <w:pStyle w:val="42"/>
                    <w:rPr>
                      <w:color w:val="auto"/>
                      <w:sz w:val="21"/>
                      <w:szCs w:val="21"/>
                    </w:rPr>
                  </w:pPr>
                  <w:r>
                    <w:rPr>
                      <w:color w:val="auto"/>
                      <w:sz w:val="21"/>
                      <w:szCs w:val="21"/>
                    </w:rPr>
                    <w:t>生态</w:t>
                  </w:r>
                </w:p>
              </w:tc>
              <w:tc>
                <w:tcPr>
                  <w:tcW w:w="2963" w:type="dxa"/>
                  <w:tcBorders>
                    <w:tl2br w:val="nil"/>
                    <w:tr2bl w:val="nil"/>
                  </w:tcBorders>
                  <w:vAlign w:val="center"/>
                </w:tcPr>
                <w:p w14:paraId="34185BFD">
                  <w:pPr>
                    <w:pStyle w:val="42"/>
                    <w:rPr>
                      <w:color w:val="auto"/>
                      <w:sz w:val="21"/>
                      <w:szCs w:val="21"/>
                    </w:rPr>
                  </w:pPr>
                  <w:r>
                    <w:rPr>
                      <w:color w:val="auto"/>
                      <w:sz w:val="21"/>
                      <w:szCs w:val="21"/>
                    </w:rPr>
                    <w:t>取水口下游500米范围内有重要水生生物的自然产卵场、索饵场、越冬场和洄游通道的新增河道取水的污染类建设项目。</w:t>
                  </w:r>
                </w:p>
              </w:tc>
              <w:tc>
                <w:tcPr>
                  <w:tcW w:w="2012" w:type="dxa"/>
                  <w:tcBorders>
                    <w:tl2br w:val="nil"/>
                    <w:tr2bl w:val="nil"/>
                  </w:tcBorders>
                  <w:vAlign w:val="center"/>
                </w:tcPr>
                <w:p w14:paraId="697354D1">
                  <w:pPr>
                    <w:pStyle w:val="42"/>
                    <w:rPr>
                      <w:color w:val="auto"/>
                      <w:sz w:val="21"/>
                      <w:szCs w:val="21"/>
                    </w:rPr>
                  </w:pPr>
                  <w:r>
                    <w:rPr>
                      <w:color w:val="auto"/>
                      <w:sz w:val="21"/>
                      <w:szCs w:val="21"/>
                    </w:rPr>
                    <w:t>本项目由市政供水，不涉及取水口。</w:t>
                  </w:r>
                </w:p>
              </w:tc>
              <w:tc>
                <w:tcPr>
                  <w:tcW w:w="1087" w:type="dxa"/>
                  <w:tcBorders>
                    <w:tl2br w:val="nil"/>
                    <w:tr2bl w:val="nil"/>
                  </w:tcBorders>
                  <w:vAlign w:val="center"/>
                </w:tcPr>
                <w:p w14:paraId="5322CC04">
                  <w:pPr>
                    <w:pStyle w:val="42"/>
                    <w:rPr>
                      <w:color w:val="auto"/>
                      <w:sz w:val="21"/>
                      <w:szCs w:val="21"/>
                    </w:rPr>
                  </w:pPr>
                  <w:r>
                    <w:rPr>
                      <w:color w:val="auto"/>
                      <w:sz w:val="21"/>
                      <w:szCs w:val="21"/>
                    </w:rPr>
                    <w:t>无需设置专项评价。</w:t>
                  </w:r>
                </w:p>
              </w:tc>
            </w:tr>
            <w:tr w14:paraId="3B52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l2br w:val="nil"/>
                    <w:tr2bl w:val="nil"/>
                  </w:tcBorders>
                  <w:vAlign w:val="center"/>
                </w:tcPr>
                <w:p w14:paraId="3FACEF13">
                  <w:pPr>
                    <w:pStyle w:val="42"/>
                    <w:rPr>
                      <w:color w:val="auto"/>
                      <w:sz w:val="21"/>
                      <w:szCs w:val="21"/>
                    </w:rPr>
                  </w:pPr>
                  <w:r>
                    <w:rPr>
                      <w:color w:val="auto"/>
                      <w:sz w:val="21"/>
                      <w:szCs w:val="21"/>
                    </w:rPr>
                    <w:t>海洋</w:t>
                  </w:r>
                </w:p>
              </w:tc>
              <w:tc>
                <w:tcPr>
                  <w:tcW w:w="2963" w:type="dxa"/>
                  <w:tcBorders>
                    <w:tl2br w:val="nil"/>
                    <w:tr2bl w:val="nil"/>
                  </w:tcBorders>
                  <w:vAlign w:val="center"/>
                </w:tcPr>
                <w:p w14:paraId="773B216D">
                  <w:pPr>
                    <w:pStyle w:val="42"/>
                    <w:rPr>
                      <w:color w:val="auto"/>
                      <w:sz w:val="21"/>
                      <w:szCs w:val="21"/>
                    </w:rPr>
                  </w:pPr>
                  <w:r>
                    <w:rPr>
                      <w:color w:val="auto"/>
                      <w:sz w:val="21"/>
                      <w:szCs w:val="21"/>
                    </w:rPr>
                    <w:t>直接向海排放污染物的海洋工程建设项目</w:t>
                  </w:r>
                </w:p>
              </w:tc>
              <w:tc>
                <w:tcPr>
                  <w:tcW w:w="2012" w:type="dxa"/>
                  <w:tcBorders>
                    <w:tl2br w:val="nil"/>
                    <w:tr2bl w:val="nil"/>
                  </w:tcBorders>
                  <w:vAlign w:val="center"/>
                </w:tcPr>
                <w:p w14:paraId="5B8C55B3">
                  <w:pPr>
                    <w:pStyle w:val="42"/>
                    <w:rPr>
                      <w:color w:val="auto"/>
                      <w:sz w:val="21"/>
                      <w:szCs w:val="21"/>
                    </w:rPr>
                  </w:pPr>
                  <w:r>
                    <w:rPr>
                      <w:color w:val="auto"/>
                      <w:sz w:val="21"/>
                      <w:szCs w:val="21"/>
                    </w:rPr>
                    <w:t>本项目不属于直接向海排放污染物的海洋工程建设项目</w:t>
                  </w:r>
                </w:p>
              </w:tc>
              <w:tc>
                <w:tcPr>
                  <w:tcW w:w="1087" w:type="dxa"/>
                  <w:tcBorders>
                    <w:tl2br w:val="nil"/>
                    <w:tr2bl w:val="nil"/>
                  </w:tcBorders>
                  <w:vAlign w:val="center"/>
                </w:tcPr>
                <w:p w14:paraId="62AA6BF3">
                  <w:pPr>
                    <w:pStyle w:val="42"/>
                    <w:rPr>
                      <w:color w:val="auto"/>
                      <w:sz w:val="21"/>
                      <w:szCs w:val="21"/>
                    </w:rPr>
                  </w:pPr>
                  <w:r>
                    <w:rPr>
                      <w:color w:val="auto"/>
                      <w:sz w:val="21"/>
                      <w:szCs w:val="21"/>
                    </w:rPr>
                    <w:t>无需设置专项评价</w:t>
                  </w:r>
                </w:p>
              </w:tc>
            </w:tr>
          </w:tbl>
          <w:p w14:paraId="3938D251">
            <w:pPr>
              <w:pStyle w:val="45"/>
              <w:ind w:firstLine="422"/>
              <w:rPr>
                <w:rFonts w:ascii="Times New Roman" w:hAnsi="Times New Roman" w:cs="Times New Roman"/>
                <w:b/>
                <w:bCs/>
                <w:color w:val="auto"/>
              </w:rPr>
            </w:pPr>
            <w:r>
              <w:rPr>
                <w:rFonts w:ascii="Times New Roman" w:hAnsi="Times New Roman" w:cs="Times New Roman"/>
                <w:b/>
                <w:bCs/>
                <w:color w:val="auto"/>
              </w:rPr>
              <w:t>由上表可知，本项目无需设置专项评价。</w:t>
            </w:r>
          </w:p>
        </w:tc>
      </w:tr>
      <w:tr w14:paraId="4528A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56" w:type="dxa"/>
            <w:vAlign w:val="center"/>
          </w:tcPr>
          <w:p w14:paraId="49BEAE03">
            <w:pPr>
              <w:autoSpaceDE w:val="0"/>
              <w:autoSpaceDN w:val="0"/>
              <w:adjustRightInd w:val="0"/>
              <w:snapToGrid w:val="0"/>
              <w:jc w:val="center"/>
              <w:rPr>
                <w:color w:val="auto"/>
                <w:kern w:val="0"/>
                <w:szCs w:val="21"/>
              </w:rPr>
            </w:pPr>
            <w:r>
              <w:rPr>
                <w:color w:val="auto"/>
                <w:szCs w:val="21"/>
              </w:rPr>
              <w:t>规划情况</w:t>
            </w:r>
          </w:p>
        </w:tc>
        <w:tc>
          <w:tcPr>
            <w:tcW w:w="7014" w:type="dxa"/>
            <w:gridSpan w:val="3"/>
            <w:vAlign w:val="center"/>
          </w:tcPr>
          <w:p w14:paraId="22F04482">
            <w:pPr>
              <w:autoSpaceDE w:val="0"/>
              <w:autoSpaceDN w:val="0"/>
              <w:adjustRightInd w:val="0"/>
              <w:snapToGrid w:val="0"/>
              <w:spacing w:line="360" w:lineRule="auto"/>
              <w:ind w:firstLine="422" w:firstLineChars="200"/>
              <w:rPr>
                <w:rStyle w:val="44"/>
                <w:rFonts w:hint="default" w:ascii="Times New Roman" w:hAnsi="Times New Roman" w:eastAsia="宋体" w:cs="Times New Roman"/>
                <w:color w:val="auto"/>
                <w:lang w:val="en-US" w:eastAsia="zh-CN" w:bidi="ar-SA"/>
              </w:rPr>
            </w:pPr>
            <w:r>
              <w:rPr>
                <w:rStyle w:val="44"/>
                <w:rFonts w:hint="default" w:ascii="Times New Roman" w:hAnsi="Times New Roman" w:cs="Times New Roman"/>
                <w:b/>
                <w:bCs/>
                <w:color w:val="auto"/>
              </w:rPr>
              <w:t>规划名称：</w:t>
            </w:r>
            <w:r>
              <w:rPr>
                <w:rStyle w:val="44"/>
                <w:rFonts w:hint="default" w:ascii="Times New Roman" w:hAnsi="Times New Roman" w:eastAsia="宋体" w:cs="Times New Roman"/>
                <w:color w:val="auto"/>
                <w:lang w:val="en-US" w:eastAsia="zh-CN" w:bidi="ar-SA"/>
              </w:rPr>
              <w:t>《胡杨河经济技术开发区总体规划（2021-2035年）》</w:t>
            </w:r>
          </w:p>
          <w:p w14:paraId="212E029C">
            <w:pPr>
              <w:pStyle w:val="18"/>
              <w:ind w:firstLine="422"/>
              <w:rPr>
                <w:rStyle w:val="44"/>
                <w:rFonts w:hint="eastAsia" w:ascii="Times New Roman" w:hAnsi="Times New Roman" w:eastAsia="宋体" w:cs="Times New Roman"/>
                <w:b/>
                <w:bCs/>
                <w:color w:val="auto"/>
                <w:lang w:eastAsia="zh-CN"/>
              </w:rPr>
            </w:pPr>
            <w:r>
              <w:rPr>
                <w:rStyle w:val="44"/>
                <w:rFonts w:hint="default" w:ascii="Times New Roman" w:hAnsi="Times New Roman" w:cs="Times New Roman"/>
                <w:b/>
                <w:bCs/>
                <w:color w:val="auto"/>
              </w:rPr>
              <w:t>审批部门：</w:t>
            </w:r>
            <w:r>
              <w:rPr>
                <w:rStyle w:val="44"/>
                <w:rFonts w:hint="eastAsia" w:cs="Times New Roman"/>
                <w:color w:val="auto"/>
                <w:lang w:val="en-US" w:eastAsia="zh-CN"/>
              </w:rPr>
              <w:t>/</w:t>
            </w:r>
          </w:p>
          <w:p w14:paraId="58D13167">
            <w:pPr>
              <w:autoSpaceDE w:val="0"/>
              <w:autoSpaceDN w:val="0"/>
              <w:adjustRightInd w:val="0"/>
              <w:snapToGrid w:val="0"/>
              <w:spacing w:line="360" w:lineRule="auto"/>
              <w:ind w:firstLine="422" w:firstLineChars="200"/>
              <w:rPr>
                <w:rFonts w:hint="eastAsia" w:ascii="Times New Roman" w:hAnsi="Times New Roman" w:eastAsia="宋体" w:cs="Times New Roman"/>
                <w:color w:val="auto"/>
                <w:lang w:eastAsia="zh-CN"/>
              </w:rPr>
            </w:pPr>
            <w:r>
              <w:rPr>
                <w:rStyle w:val="44"/>
                <w:rFonts w:hint="default" w:ascii="Times New Roman" w:hAnsi="Times New Roman" w:cs="Times New Roman"/>
                <w:b/>
                <w:bCs/>
                <w:color w:val="auto"/>
              </w:rPr>
              <w:t>审批文号：</w:t>
            </w:r>
            <w:r>
              <w:rPr>
                <w:rStyle w:val="44"/>
                <w:rFonts w:hint="eastAsia" w:cs="Times New Roman"/>
                <w:color w:val="auto"/>
                <w:lang w:val="en-US" w:eastAsia="zh-CN"/>
              </w:rPr>
              <w:t>/</w:t>
            </w:r>
          </w:p>
        </w:tc>
      </w:tr>
      <w:tr w14:paraId="4C03D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56" w:type="dxa"/>
            <w:vAlign w:val="center"/>
          </w:tcPr>
          <w:p w14:paraId="5E36DC22">
            <w:pPr>
              <w:adjustRightInd w:val="0"/>
              <w:snapToGrid w:val="0"/>
              <w:jc w:val="center"/>
              <w:rPr>
                <w:color w:val="auto"/>
                <w:szCs w:val="21"/>
              </w:rPr>
            </w:pPr>
            <w:r>
              <w:rPr>
                <w:color w:val="auto"/>
                <w:szCs w:val="21"/>
              </w:rPr>
              <w:t>规划环境影响</w:t>
            </w:r>
          </w:p>
          <w:p w14:paraId="2889017D">
            <w:pPr>
              <w:adjustRightInd w:val="0"/>
              <w:snapToGrid w:val="0"/>
              <w:jc w:val="center"/>
              <w:rPr>
                <w:color w:val="auto"/>
                <w:kern w:val="0"/>
                <w:szCs w:val="21"/>
              </w:rPr>
            </w:pPr>
            <w:r>
              <w:rPr>
                <w:color w:val="auto"/>
                <w:szCs w:val="21"/>
              </w:rPr>
              <w:t>评价情况</w:t>
            </w:r>
          </w:p>
        </w:tc>
        <w:tc>
          <w:tcPr>
            <w:tcW w:w="7014" w:type="dxa"/>
            <w:gridSpan w:val="3"/>
            <w:vAlign w:val="center"/>
          </w:tcPr>
          <w:p w14:paraId="36E3E6C2">
            <w:pPr>
              <w:pStyle w:val="18"/>
              <w:ind w:firstLine="422"/>
              <w:rPr>
                <w:rStyle w:val="44"/>
                <w:rFonts w:hint="default" w:ascii="Times New Roman" w:hAnsi="Times New Roman" w:cs="Times New Roman"/>
                <w:color w:val="auto"/>
              </w:rPr>
            </w:pPr>
            <w:r>
              <w:rPr>
                <w:rStyle w:val="44"/>
                <w:rFonts w:hint="default" w:ascii="Times New Roman" w:hAnsi="Times New Roman" w:cs="Times New Roman"/>
                <w:b/>
                <w:bCs/>
                <w:color w:val="auto"/>
              </w:rPr>
              <w:t>规划环评名称：</w:t>
            </w:r>
            <w:r>
              <w:rPr>
                <w:rStyle w:val="44"/>
                <w:rFonts w:hint="default" w:ascii="Times New Roman" w:hAnsi="Times New Roman" w:cs="Times New Roman"/>
                <w:color w:val="auto"/>
              </w:rPr>
              <w:t>《胡杨河经济技术开发区总体规划（2021-2035年）环境影响报告书》</w:t>
            </w:r>
          </w:p>
          <w:p w14:paraId="3F5D5B19">
            <w:pPr>
              <w:pStyle w:val="18"/>
              <w:ind w:firstLine="422"/>
              <w:rPr>
                <w:rStyle w:val="44"/>
                <w:rFonts w:hint="default" w:ascii="Times New Roman" w:hAnsi="Times New Roman" w:cs="Times New Roman"/>
                <w:b/>
                <w:bCs/>
                <w:color w:val="auto"/>
              </w:rPr>
            </w:pPr>
            <w:r>
              <w:rPr>
                <w:rStyle w:val="44"/>
                <w:rFonts w:hint="default" w:ascii="Times New Roman" w:hAnsi="Times New Roman" w:cs="Times New Roman"/>
                <w:b/>
                <w:bCs/>
                <w:color w:val="auto"/>
              </w:rPr>
              <w:t>审批部门：</w:t>
            </w:r>
            <w:r>
              <w:rPr>
                <w:rStyle w:val="44"/>
                <w:rFonts w:hint="default" w:ascii="Times New Roman" w:hAnsi="Times New Roman" w:cs="Times New Roman"/>
                <w:color w:val="auto"/>
              </w:rPr>
              <w:t>新疆生产建设兵团生态环境局</w:t>
            </w:r>
          </w:p>
          <w:p w14:paraId="17AB67AE">
            <w:pPr>
              <w:pStyle w:val="18"/>
              <w:ind w:firstLine="422"/>
              <w:rPr>
                <w:rFonts w:hint="default" w:ascii="Times New Roman" w:hAnsi="Times New Roman" w:cs="Times New Roman"/>
                <w:color w:val="auto"/>
              </w:rPr>
            </w:pPr>
            <w:r>
              <w:rPr>
                <w:rStyle w:val="44"/>
                <w:rFonts w:hint="default" w:ascii="Times New Roman" w:hAnsi="Times New Roman" w:cs="Times New Roman"/>
                <w:b/>
                <w:bCs/>
                <w:color w:val="auto"/>
              </w:rPr>
              <w:t>审批文号：</w:t>
            </w:r>
            <w:r>
              <w:rPr>
                <w:rStyle w:val="44"/>
                <w:rFonts w:hint="default" w:ascii="Times New Roman" w:hAnsi="Times New Roman" w:cs="Times New Roman"/>
                <w:color w:val="auto"/>
              </w:rPr>
              <w:t>《关于胡杨河经济技术开发区总体规划（2021-2035年）环境影响报告书的审查意见》（兵环审</w:t>
            </w:r>
            <w:r>
              <w:rPr>
                <w:rStyle w:val="44"/>
                <w:rFonts w:hint="eastAsia" w:cs="Times New Roman"/>
                <w:color w:val="auto"/>
                <w:lang w:eastAsia="zh-CN"/>
              </w:rPr>
              <w:t>〔2022〕2号</w:t>
            </w:r>
            <w:r>
              <w:rPr>
                <w:rStyle w:val="44"/>
                <w:rFonts w:hint="default" w:ascii="Times New Roman" w:hAnsi="Times New Roman" w:cs="Times New Roman"/>
                <w:color w:val="auto"/>
              </w:rPr>
              <w:t>）</w:t>
            </w:r>
          </w:p>
        </w:tc>
      </w:tr>
      <w:tr w14:paraId="7778D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56" w:type="dxa"/>
            <w:vAlign w:val="center"/>
          </w:tcPr>
          <w:p w14:paraId="22313867">
            <w:pPr>
              <w:autoSpaceDE w:val="0"/>
              <w:autoSpaceDN w:val="0"/>
              <w:adjustRightInd w:val="0"/>
              <w:snapToGrid w:val="0"/>
              <w:jc w:val="center"/>
              <w:rPr>
                <w:color w:val="auto"/>
                <w:kern w:val="0"/>
                <w:szCs w:val="21"/>
              </w:rPr>
            </w:pPr>
            <w:r>
              <w:rPr>
                <w:color w:val="auto"/>
                <w:kern w:val="0"/>
                <w:szCs w:val="21"/>
              </w:rPr>
              <w:t>规划及规划环境</w:t>
            </w:r>
          </w:p>
          <w:p w14:paraId="0306016B">
            <w:pPr>
              <w:autoSpaceDE w:val="0"/>
              <w:autoSpaceDN w:val="0"/>
              <w:adjustRightInd w:val="0"/>
              <w:snapToGrid w:val="0"/>
              <w:jc w:val="center"/>
              <w:rPr>
                <w:color w:val="auto"/>
                <w:kern w:val="0"/>
                <w:szCs w:val="21"/>
              </w:rPr>
            </w:pPr>
            <w:r>
              <w:rPr>
                <w:color w:val="auto"/>
                <w:kern w:val="0"/>
                <w:szCs w:val="21"/>
              </w:rPr>
              <w:t>影响评价符合性分析</w:t>
            </w:r>
          </w:p>
        </w:tc>
        <w:tc>
          <w:tcPr>
            <w:tcW w:w="7014" w:type="dxa"/>
            <w:gridSpan w:val="3"/>
            <w:vAlign w:val="center"/>
          </w:tcPr>
          <w:p w14:paraId="3867ED64">
            <w:pPr>
              <w:pStyle w:val="18"/>
              <w:rPr>
                <w:b/>
                <w:bCs/>
                <w:color w:val="auto"/>
              </w:rPr>
            </w:pPr>
            <w:r>
              <w:rPr>
                <w:b/>
                <w:bCs/>
                <w:color w:val="auto"/>
              </w:rPr>
              <w:t>1、与</w:t>
            </w:r>
            <w:r>
              <w:rPr>
                <w:rFonts w:hint="eastAsia"/>
                <w:b/>
                <w:bCs/>
                <w:color w:val="auto"/>
              </w:rPr>
              <w:t>《胡杨河经济技术开发区总体规划（2021-2035年）》</w:t>
            </w:r>
            <w:r>
              <w:rPr>
                <w:b/>
                <w:bCs/>
                <w:color w:val="auto"/>
              </w:rPr>
              <w:t>符合性分析</w:t>
            </w:r>
          </w:p>
          <w:p w14:paraId="6A4B4BBD">
            <w:pPr>
              <w:pStyle w:val="18"/>
              <w:rPr>
                <w:rFonts w:hint="eastAsia"/>
                <w:color w:val="auto"/>
              </w:rPr>
            </w:pPr>
            <w:r>
              <w:rPr>
                <w:rFonts w:hint="eastAsia"/>
                <w:color w:val="auto"/>
              </w:rPr>
              <w:t>根据《胡杨河经济技术开发总体规划》（2021-2035）：①2021年，兵团级五五工业园区整合师市自设的胡杨河纺织工业园区组成胡杨河经济技术开发区，胡杨河经济技术开发区整合后面积为71.59km</w:t>
            </w:r>
            <w:r>
              <w:rPr>
                <w:rFonts w:hint="eastAsia"/>
                <w:color w:val="auto"/>
                <w:highlight w:val="none"/>
                <w:vertAlign w:val="superscript"/>
              </w:rPr>
              <w:t>2</w:t>
            </w:r>
            <w:r>
              <w:rPr>
                <w:rFonts w:hint="eastAsia"/>
                <w:color w:val="auto"/>
              </w:rPr>
              <w:t>，具体包括南园区53.82km</w:t>
            </w:r>
            <w:r>
              <w:rPr>
                <w:rFonts w:hint="eastAsia"/>
                <w:color w:val="auto"/>
                <w:highlight w:val="none"/>
                <w:vertAlign w:val="superscript"/>
              </w:rPr>
              <w:t>2</w:t>
            </w:r>
            <w:r>
              <w:rPr>
                <w:rFonts w:hint="eastAsia"/>
                <w:color w:val="auto"/>
              </w:rPr>
              <w:t>、北园区14.47km</w:t>
            </w:r>
            <w:r>
              <w:rPr>
                <w:rFonts w:hint="eastAsia"/>
                <w:color w:val="auto"/>
                <w:highlight w:val="none"/>
                <w:vertAlign w:val="superscript"/>
              </w:rPr>
              <w:t>2</w:t>
            </w:r>
            <w:r>
              <w:rPr>
                <w:rFonts w:hint="eastAsia"/>
                <w:color w:val="auto"/>
              </w:rPr>
              <w:t>、胡杨河纺织工业园区3.30km</w:t>
            </w:r>
            <w:r>
              <w:rPr>
                <w:rFonts w:hint="eastAsia"/>
                <w:color w:val="auto"/>
                <w:highlight w:val="none"/>
                <w:vertAlign w:val="superscript"/>
              </w:rPr>
              <w:t>2</w:t>
            </w:r>
            <w:r>
              <w:rPr>
                <w:rFonts w:hint="eastAsia"/>
                <w:color w:val="auto"/>
              </w:rPr>
              <w:t>。</w:t>
            </w:r>
          </w:p>
          <w:p w14:paraId="42BB2C73">
            <w:pPr>
              <w:pStyle w:val="18"/>
              <w:rPr>
                <w:rFonts w:hint="eastAsia"/>
                <w:color w:val="auto"/>
              </w:rPr>
            </w:pPr>
            <w:r>
              <w:rPr>
                <w:rFonts w:hint="eastAsia"/>
                <w:color w:val="auto"/>
              </w:rPr>
              <w:t>②发展定位：结合七师本地基础能源价格低、资源种类齐全的优势，利用新型、实用技术，将煤炭、石化原料、玉米等优势基础资源转化为高附加值的化工产品，实现产业链的充分延伸。引进建设一批规模大、产品附加值高、市场前景好的新型化工项目，实现“</w:t>
            </w:r>
            <w:r>
              <w:rPr>
                <w:rFonts w:hint="eastAsia"/>
                <w:b/>
                <w:bCs/>
                <w:color w:val="auto"/>
              </w:rPr>
              <w:t>以化工、新材料、纺织三个主导产业，以装备制造、特色农产品加工、新型建材为辅助产业</w:t>
            </w:r>
            <w:r>
              <w:rPr>
                <w:rFonts w:hint="eastAsia"/>
                <w:color w:val="auto"/>
              </w:rPr>
              <w:t>”的新型产业基地，打造“一带一路”经济带上重要化工新材料产品加工集聚区，现代装备制造产业及创新科技产业作为开发区高新科技发展区，城镇服务业与仓储物流业作为生产配套产业，合理引导胡杨河经济技术开发区向“专、精、特、新”的方向发展，实现工业化与城镇化并举。</w:t>
            </w:r>
          </w:p>
          <w:p w14:paraId="397DFC00">
            <w:pPr>
              <w:pStyle w:val="18"/>
              <w:rPr>
                <w:rFonts w:hint="eastAsia"/>
                <w:color w:val="auto"/>
              </w:rPr>
            </w:pPr>
            <w:r>
              <w:rPr>
                <w:rFonts w:hint="eastAsia"/>
                <w:color w:val="auto"/>
              </w:rPr>
              <w:t>③南园区规划范围及产业布局：南园区位于129团五五新镇东南侧与胡杨河市东北侧，规划范围北至奎克高速立交</w:t>
            </w:r>
            <w:r>
              <w:rPr>
                <w:rFonts w:hint="eastAsia"/>
                <w:color w:val="auto"/>
                <w:lang w:eastAsia="zh-CN"/>
              </w:rPr>
              <w:t>（</w:t>
            </w:r>
            <w:r>
              <w:rPr>
                <w:rFonts w:hint="eastAsia"/>
                <w:color w:val="auto"/>
              </w:rPr>
              <w:t>奎车公路、奎克高速公路交汇处</w:t>
            </w:r>
            <w:r>
              <w:rPr>
                <w:rFonts w:hint="eastAsia"/>
                <w:color w:val="auto"/>
                <w:lang w:eastAsia="zh-CN"/>
              </w:rPr>
              <w:t>）</w:t>
            </w:r>
            <w:r>
              <w:rPr>
                <w:rFonts w:hint="eastAsia"/>
                <w:color w:val="auto"/>
              </w:rPr>
              <w:t>，南至130团20连耕地，东邻130团公益工业林，西到奎北铁路，规划面积53.82平方公里。</w:t>
            </w:r>
            <w:r>
              <w:rPr>
                <w:rFonts w:hint="eastAsia"/>
                <w:b/>
                <w:bCs/>
                <w:color w:val="auto"/>
              </w:rPr>
              <w:t>着力发展精细化工、新材料为主导产业；新型建材、仓储物流业为辅助产业</w:t>
            </w:r>
            <w:r>
              <w:rPr>
                <w:rFonts w:hint="eastAsia"/>
                <w:color w:val="auto"/>
              </w:rPr>
              <w:t>；装备制造业、创新科技产业、农产品加工、电子元器件产业作为淮安援疆产城融合发展产业。</w:t>
            </w:r>
          </w:p>
          <w:p w14:paraId="6282C48A">
            <w:pPr>
              <w:pStyle w:val="18"/>
              <w:rPr>
                <w:b/>
                <w:bCs/>
                <w:color w:val="auto"/>
              </w:rPr>
            </w:pPr>
            <w:r>
              <w:rPr>
                <w:rFonts w:hint="eastAsia"/>
                <w:b/>
                <w:bCs/>
                <w:color w:val="auto"/>
                <w:lang w:val="en-US" w:eastAsia="zh-CN"/>
              </w:rPr>
              <w:t>本项目为C2631化学农药制造，选址于第七师胡杨河经济技术开发区西环路以东、高泉西路以北（南区），属于规划的产业及用地范围，符合《胡杨河经济技术开发区总体规划（2021-2035年）》。</w:t>
            </w:r>
          </w:p>
          <w:p w14:paraId="0A3B35F8">
            <w:pPr>
              <w:pStyle w:val="18"/>
              <w:rPr>
                <w:b/>
                <w:bCs/>
                <w:color w:val="auto"/>
              </w:rPr>
            </w:pPr>
            <w:r>
              <w:rPr>
                <w:b/>
                <w:bCs/>
                <w:color w:val="auto"/>
              </w:rPr>
              <w:t>2、与</w:t>
            </w:r>
            <w:r>
              <w:rPr>
                <w:rFonts w:hint="eastAsia"/>
                <w:b/>
                <w:bCs/>
                <w:color w:val="auto"/>
              </w:rPr>
              <w:t>《胡杨河经济技术开发区总体规划（2021-2035年）环境影响报告书》以及审查意见</w:t>
            </w:r>
            <w:r>
              <w:rPr>
                <w:b/>
                <w:bCs/>
                <w:color w:val="auto"/>
              </w:rPr>
              <w:t>符合性分析</w:t>
            </w:r>
          </w:p>
          <w:p w14:paraId="37FBE07E">
            <w:pPr>
              <w:pStyle w:val="18"/>
              <w:rPr>
                <w:b/>
                <w:bCs/>
                <w:color w:val="auto"/>
              </w:rPr>
            </w:pPr>
            <w:r>
              <w:rPr>
                <w:rFonts w:hint="eastAsia"/>
                <w:b/>
                <w:bCs/>
                <w:color w:val="auto"/>
              </w:rPr>
              <w:t>2.1与《胡杨河经济技术开发区总体规划（2021-2035年）环境影响报告书》相符性</w:t>
            </w:r>
          </w:p>
          <w:p w14:paraId="6513378C">
            <w:pPr>
              <w:pStyle w:val="18"/>
              <w:rPr>
                <w:rFonts w:hint="eastAsia"/>
                <w:b w:val="0"/>
                <w:bCs w:val="0"/>
                <w:color w:val="auto"/>
              </w:rPr>
            </w:pPr>
            <w:r>
              <w:rPr>
                <w:rFonts w:hint="eastAsia"/>
                <w:b w:val="0"/>
                <w:bCs w:val="0"/>
                <w:color w:val="auto"/>
              </w:rPr>
              <w:t>南园区规划3个产业功能区：</w:t>
            </w:r>
          </w:p>
          <w:p w14:paraId="1D5D8728">
            <w:pPr>
              <w:pStyle w:val="18"/>
              <w:rPr>
                <w:rFonts w:hint="eastAsia"/>
                <w:b w:val="0"/>
                <w:bCs w:val="0"/>
                <w:color w:val="auto"/>
              </w:rPr>
            </w:pPr>
            <w:r>
              <w:rPr>
                <w:rFonts w:hint="eastAsia"/>
                <w:b w:val="0"/>
                <w:bCs w:val="0"/>
                <w:color w:val="auto"/>
              </w:rPr>
              <w:t>（1）精细化工、新材料、新型建材产业区：布置在园区中北部，工业用地面积2585公顷。</w:t>
            </w:r>
          </w:p>
          <w:p w14:paraId="007A2C05">
            <w:pPr>
              <w:pStyle w:val="18"/>
              <w:rPr>
                <w:rFonts w:hint="eastAsia"/>
                <w:b w:val="0"/>
                <w:bCs w:val="0"/>
                <w:color w:val="auto"/>
              </w:rPr>
            </w:pPr>
            <w:r>
              <w:rPr>
                <w:rFonts w:hint="eastAsia"/>
                <w:b w:val="0"/>
                <w:bCs w:val="0"/>
                <w:color w:val="auto"/>
              </w:rPr>
              <w:t>（2）创新科技、装备制造、农产品加工、电子元器件产业区：规划布置3个独立区域，其中1个区域（以下简称“创新科技、装备制造、农产品加工、电子元器件区Ⅰ区”）位于规划仓储物流区（奎克高速以西）的南侧，另外1个区域（以下简称创新科技、装备制造、农产品加工、电子元器件区Ⅱ区）位于规划仓储物流区（奎克高速以东）的南侧，二块区域用地面积合计2430公顷。第3个区域（以下简称“创新科技、装备制造、农产品加工、电子元器件区Ⅲ区）位于规划精细化工、新材料、新型建材产业区的南侧，用地面积2190公顷，规划创新科技、装备制造、农产品加工、电子元器件区Ⅲ区与规划精细化工、新材料、新型建材产业区之间现状建有300m宽的防护林带。</w:t>
            </w:r>
          </w:p>
          <w:p w14:paraId="63AB45B5">
            <w:pPr>
              <w:pStyle w:val="18"/>
              <w:rPr>
                <w:rFonts w:hint="eastAsia"/>
                <w:b w:val="0"/>
                <w:bCs w:val="0"/>
                <w:color w:val="auto"/>
              </w:rPr>
            </w:pPr>
            <w:r>
              <w:rPr>
                <w:rFonts w:hint="eastAsia"/>
                <w:b w:val="0"/>
                <w:bCs w:val="0"/>
                <w:color w:val="auto"/>
              </w:rPr>
              <w:t>（3）现代仓储物流区：依托奎北铁路五五新镇高速公路五五新镇互通式立交布置。规划布置2个独立区域，其中1个区域（以下简称“现代仓储物流区Ⅰ区”）位于奎车公路以南，奎北铁路以东，奎克高速以西，规划创新科技、装备制造、农产品加工区Ⅰ区以北；另外1个区域（以下简称“现代仓储物流区Ⅱ区”）位于规划精细化工、新材料、新型建材产业区西北侧。现代仓储物流区占地面积363公顷。</w:t>
            </w:r>
          </w:p>
          <w:p w14:paraId="76BC3861">
            <w:pPr>
              <w:pStyle w:val="18"/>
              <w:rPr>
                <w:rFonts w:hint="default"/>
                <w:b/>
                <w:bCs/>
                <w:color w:val="auto"/>
                <w:lang w:val="en-US"/>
              </w:rPr>
            </w:pPr>
            <w:r>
              <w:rPr>
                <w:rFonts w:hint="eastAsia"/>
                <w:b/>
                <w:bCs/>
                <w:color w:val="auto"/>
              </w:rPr>
              <w:t>本项目位于胡杨河经济技术开发区南园区</w:t>
            </w:r>
            <w:r>
              <w:rPr>
                <w:rFonts w:hint="eastAsia"/>
                <w:b/>
                <w:bCs/>
                <w:color w:val="auto"/>
                <w:lang w:val="en-US" w:eastAsia="zh-CN"/>
              </w:rPr>
              <w:t>-煤、盐、油、精细化工及新材料产业区，项目属于园区规划产业，属于划定的园区用地。</w:t>
            </w:r>
          </w:p>
          <w:p w14:paraId="56738AC5">
            <w:pPr>
              <w:pStyle w:val="18"/>
              <w:rPr>
                <w:b/>
                <w:bCs/>
                <w:color w:val="auto"/>
              </w:rPr>
            </w:pPr>
            <w:r>
              <w:rPr>
                <w:rFonts w:hint="eastAsia"/>
                <w:b/>
                <w:bCs/>
                <w:color w:val="auto"/>
              </w:rPr>
              <w:t>2.2与《胡杨河经济技术开发区总体规划（2021-2035年）环境影响报告书》审查意见相符性</w:t>
            </w:r>
          </w:p>
          <w:p w14:paraId="13B6900D">
            <w:pPr>
              <w:pStyle w:val="18"/>
              <w:rPr>
                <w:color w:val="auto"/>
              </w:rPr>
            </w:pPr>
            <w:r>
              <w:rPr>
                <w:color w:val="auto"/>
              </w:rPr>
              <w:t>项目与</w:t>
            </w:r>
            <w:r>
              <w:rPr>
                <w:rFonts w:hint="eastAsia"/>
                <w:color w:val="auto"/>
              </w:rPr>
              <w:t>《胡杨河经济技术开发区总体规划（2021-2035年）环境影响报告书》</w:t>
            </w:r>
            <w:r>
              <w:rPr>
                <w:rFonts w:hint="eastAsia"/>
                <w:color w:val="auto"/>
                <w:lang w:val="en-US" w:eastAsia="zh-CN"/>
              </w:rPr>
              <w:t>审查意见</w:t>
            </w:r>
            <w:r>
              <w:rPr>
                <w:color w:val="auto"/>
              </w:rPr>
              <w:t>符合性分析见下表。</w:t>
            </w:r>
          </w:p>
          <w:p w14:paraId="5C3A14AD">
            <w:pPr>
              <w:autoSpaceDE w:val="0"/>
              <w:autoSpaceDN w:val="0"/>
              <w:adjustRightInd w:val="0"/>
              <w:snapToGrid w:val="0"/>
              <w:jc w:val="center"/>
              <w:rPr>
                <w:b/>
                <w:bCs/>
                <w:color w:val="auto"/>
                <w:kern w:val="0"/>
                <w:szCs w:val="21"/>
              </w:rPr>
            </w:pPr>
            <w:r>
              <w:rPr>
                <w:b/>
                <w:bCs/>
                <w:color w:val="auto"/>
                <w:kern w:val="0"/>
                <w:szCs w:val="21"/>
              </w:rPr>
              <w:t>表1-3项目与规划环评审查意见符合性分析</w:t>
            </w:r>
          </w:p>
          <w:tbl>
            <w:tblPr>
              <w:tblStyle w:val="19"/>
              <w:tblW w:w="6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
              <w:gridCol w:w="4609"/>
              <w:gridCol w:w="1515"/>
              <w:gridCol w:w="550"/>
            </w:tblGrid>
            <w:tr w14:paraId="1980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9" w:type="dxa"/>
                  <w:gridSpan w:val="2"/>
                  <w:noWrap w:val="0"/>
                  <w:vAlign w:val="center"/>
                </w:tcPr>
                <w:p w14:paraId="3DED6700">
                  <w:pPr>
                    <w:pStyle w:val="42"/>
                    <w:rPr>
                      <w:color w:val="auto"/>
                      <w:sz w:val="21"/>
                      <w:szCs w:val="21"/>
                    </w:rPr>
                  </w:pPr>
                  <w:r>
                    <w:rPr>
                      <w:color w:val="auto"/>
                      <w:sz w:val="21"/>
                      <w:szCs w:val="21"/>
                    </w:rPr>
                    <w:t>审查意见</w:t>
                  </w:r>
                </w:p>
              </w:tc>
              <w:tc>
                <w:tcPr>
                  <w:tcW w:w="1515" w:type="dxa"/>
                  <w:noWrap w:val="0"/>
                  <w:vAlign w:val="center"/>
                </w:tcPr>
                <w:p w14:paraId="09CE8149">
                  <w:pPr>
                    <w:pStyle w:val="42"/>
                    <w:rPr>
                      <w:color w:val="auto"/>
                      <w:sz w:val="21"/>
                      <w:szCs w:val="21"/>
                    </w:rPr>
                  </w:pPr>
                  <w:r>
                    <w:rPr>
                      <w:color w:val="auto"/>
                      <w:sz w:val="21"/>
                      <w:szCs w:val="21"/>
                    </w:rPr>
                    <w:t>本项目情况</w:t>
                  </w:r>
                </w:p>
              </w:tc>
              <w:tc>
                <w:tcPr>
                  <w:tcW w:w="550" w:type="dxa"/>
                  <w:noWrap w:val="0"/>
                  <w:vAlign w:val="center"/>
                </w:tcPr>
                <w:p w14:paraId="3BCEED91">
                  <w:pPr>
                    <w:pStyle w:val="42"/>
                    <w:rPr>
                      <w:color w:val="auto"/>
                      <w:sz w:val="21"/>
                      <w:szCs w:val="21"/>
                    </w:rPr>
                  </w:pPr>
                  <w:r>
                    <w:rPr>
                      <w:color w:val="auto"/>
                      <w:sz w:val="21"/>
                      <w:szCs w:val="21"/>
                    </w:rPr>
                    <w:t>符合性</w:t>
                  </w:r>
                </w:p>
              </w:tc>
            </w:tr>
            <w:tr w14:paraId="1B55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dxa"/>
                  <w:noWrap w:val="0"/>
                  <w:vAlign w:val="center"/>
                </w:tcPr>
                <w:p w14:paraId="06332948">
                  <w:pPr>
                    <w:pStyle w:val="42"/>
                    <w:rPr>
                      <w:color w:val="auto"/>
                      <w:sz w:val="21"/>
                      <w:szCs w:val="21"/>
                    </w:rPr>
                  </w:pPr>
                  <w:r>
                    <w:rPr>
                      <w:color w:val="auto"/>
                      <w:sz w:val="21"/>
                      <w:szCs w:val="21"/>
                    </w:rPr>
                    <w:t>1</w:t>
                  </w:r>
                </w:p>
              </w:tc>
              <w:tc>
                <w:tcPr>
                  <w:tcW w:w="4609" w:type="dxa"/>
                  <w:noWrap w:val="0"/>
                  <w:vAlign w:val="center"/>
                </w:tcPr>
                <w:p w14:paraId="4371C02B">
                  <w:pPr>
                    <w:pStyle w:val="42"/>
                    <w:rPr>
                      <w:color w:val="auto"/>
                      <w:sz w:val="21"/>
                      <w:szCs w:val="21"/>
                    </w:rPr>
                  </w:pPr>
                  <w:r>
                    <w:rPr>
                      <w:color w:val="auto"/>
                      <w:sz w:val="21"/>
                      <w:szCs w:val="21"/>
                    </w:rPr>
                    <w:t>优化开发区产业结构和布局，坚持绿色发展。坚持以环境质量改善为核心，遵循环保优先和绿色发展原则，结合区域实际及上位规划，依据所在产业区块功能及环保要求，确保产业区块的完整性和延续性，按照新兵函</w:t>
                  </w:r>
                  <w:r>
                    <w:rPr>
                      <w:rFonts w:hint="eastAsia"/>
                      <w:color w:val="auto"/>
                      <w:sz w:val="21"/>
                      <w:szCs w:val="21"/>
                      <w:lang w:eastAsia="zh-CN"/>
                    </w:rPr>
                    <w:t>〔2020〕24号</w:t>
                  </w:r>
                  <w:r>
                    <w:rPr>
                      <w:color w:val="auto"/>
                      <w:sz w:val="21"/>
                      <w:szCs w:val="21"/>
                    </w:rPr>
                    <w:t>文件批复的主导产业，合理确定开发区产业结构和布局，不同功能区之间应设置必要的缓冲带。严格按照《关于公布第一批兵团化工园区名单的通知》（新兵发</w:t>
                  </w:r>
                  <w:r>
                    <w:rPr>
                      <w:rFonts w:hint="eastAsia"/>
                      <w:color w:val="auto"/>
                      <w:sz w:val="21"/>
                      <w:szCs w:val="21"/>
                      <w:lang w:eastAsia="zh-CN"/>
                    </w:rPr>
                    <w:t>〔</w:t>
                  </w:r>
                  <w:r>
                    <w:rPr>
                      <w:color w:val="auto"/>
                      <w:sz w:val="21"/>
                      <w:szCs w:val="21"/>
                    </w:rPr>
                    <w:t>2021）8号</w:t>
                  </w:r>
                  <w:r>
                    <w:rPr>
                      <w:rFonts w:hint="eastAsia"/>
                      <w:color w:val="auto"/>
                      <w:sz w:val="21"/>
                      <w:szCs w:val="21"/>
                      <w:lang w:eastAsia="zh-CN"/>
                    </w:rPr>
                    <w:t>）</w:t>
                  </w:r>
                  <w:r>
                    <w:rPr>
                      <w:color w:val="auto"/>
                      <w:sz w:val="21"/>
                      <w:szCs w:val="21"/>
                    </w:rPr>
                    <w:t>中确定的化工区范围布局化工产业。南园区不再布局资源型源头加工类产业，禁止新建、扩建以原煤、原油、重油等为原料的化工产业项目，通过产业链引导化工区块向精细化工、新材料产业方向发展。避免开发区内各园区产业重复布局，纺织园区不再布局电子元器件产业。结合生态环境管控、环境风险防控要求，对开发区企业实现清单式管理，制定产业发展负面清单和东西部产业转移优先准入清单，根据开发区产业结构和产业链，结合资源利用上线、环境质量底线，完善生态环境准入清单。</w:t>
                  </w:r>
                </w:p>
              </w:tc>
              <w:tc>
                <w:tcPr>
                  <w:tcW w:w="1515" w:type="dxa"/>
                  <w:noWrap w:val="0"/>
                  <w:vAlign w:val="center"/>
                </w:tcPr>
                <w:p w14:paraId="668E10A8">
                  <w:pPr>
                    <w:pStyle w:val="42"/>
                    <w:rPr>
                      <w:color w:val="auto"/>
                      <w:sz w:val="21"/>
                      <w:szCs w:val="21"/>
                    </w:rPr>
                  </w:pPr>
                  <w:r>
                    <w:rPr>
                      <w:color w:val="auto"/>
                      <w:sz w:val="21"/>
                      <w:szCs w:val="21"/>
                    </w:rPr>
                    <w:t>本项目不属于新建、扩建以原煤、原油、重油等为原料的化工产业项目；项目建设符合胡杨河经济技术开发区南园区的空间布局和产业规划，符合南园区的占地要求；项目建设符合胡杨河市生态环境准入清单要求。</w:t>
                  </w:r>
                </w:p>
              </w:tc>
              <w:tc>
                <w:tcPr>
                  <w:tcW w:w="550" w:type="dxa"/>
                  <w:noWrap w:val="0"/>
                  <w:vAlign w:val="center"/>
                </w:tcPr>
                <w:p w14:paraId="2D9B6DEE">
                  <w:pPr>
                    <w:pStyle w:val="42"/>
                    <w:rPr>
                      <w:color w:val="auto"/>
                      <w:sz w:val="21"/>
                      <w:szCs w:val="21"/>
                    </w:rPr>
                  </w:pPr>
                  <w:r>
                    <w:rPr>
                      <w:color w:val="auto"/>
                      <w:sz w:val="21"/>
                      <w:szCs w:val="21"/>
                    </w:rPr>
                    <w:t>符合</w:t>
                  </w:r>
                </w:p>
              </w:tc>
            </w:tr>
            <w:tr w14:paraId="2787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dxa"/>
                  <w:noWrap w:val="0"/>
                  <w:vAlign w:val="center"/>
                </w:tcPr>
                <w:p w14:paraId="2167FAE4">
                  <w:pPr>
                    <w:pStyle w:val="42"/>
                    <w:rPr>
                      <w:color w:val="auto"/>
                      <w:sz w:val="21"/>
                      <w:szCs w:val="21"/>
                    </w:rPr>
                  </w:pPr>
                  <w:r>
                    <w:rPr>
                      <w:color w:val="auto"/>
                      <w:sz w:val="21"/>
                      <w:szCs w:val="21"/>
                    </w:rPr>
                    <w:t>2</w:t>
                  </w:r>
                </w:p>
              </w:tc>
              <w:tc>
                <w:tcPr>
                  <w:tcW w:w="4609" w:type="dxa"/>
                  <w:noWrap w:val="0"/>
                  <w:vAlign w:val="center"/>
                </w:tcPr>
                <w:p w14:paraId="3870B00B">
                  <w:pPr>
                    <w:pStyle w:val="42"/>
                    <w:rPr>
                      <w:color w:val="auto"/>
                      <w:sz w:val="21"/>
                      <w:szCs w:val="21"/>
                    </w:rPr>
                  </w:pPr>
                  <w:r>
                    <w:rPr>
                      <w:color w:val="auto"/>
                      <w:sz w:val="21"/>
                      <w:szCs w:val="21"/>
                    </w:rPr>
                    <w:t>严格控制“两高”行业发展规模，优化规划布局、产业结构与实施时序。通过积极转变生产和生活方式、调整能源消费结构、加强资源节约，统筹协调推进</w:t>
                  </w:r>
                  <w:r>
                    <w:rPr>
                      <w:rFonts w:hint="eastAsia"/>
                      <w:color w:val="auto"/>
                      <w:sz w:val="21"/>
                      <w:szCs w:val="21"/>
                      <w:lang w:eastAsia="zh-CN"/>
                    </w:rPr>
                    <w:t>经济</w:t>
                  </w:r>
                  <w:r>
                    <w:rPr>
                      <w:color w:val="auto"/>
                      <w:sz w:val="21"/>
                      <w:szCs w:val="21"/>
                    </w:rPr>
                    <w:t>社会发展。深入开展应对气候变化工作，切实增强控制温室气体排放能力。促进经济绿色低碳可持续发展，引导重点行业向绿色低碳方向转型，针对开发区规划从碳排放产业规模、结构调整、原料替代、能源利用效率提升、绿色清洁能源利用、废物节能与低碳化处置等方面提出节能、减煤和碳减排建议，推动减污治污减碳协同共治。对于生产技术落后、清洁生产水平偏低和不符合开发区规划的现状企业，采取逐步退出机制。</w:t>
                  </w:r>
                </w:p>
              </w:tc>
              <w:tc>
                <w:tcPr>
                  <w:tcW w:w="1515" w:type="dxa"/>
                  <w:noWrap w:val="0"/>
                  <w:vAlign w:val="center"/>
                </w:tcPr>
                <w:p w14:paraId="7404EC64">
                  <w:pPr>
                    <w:pStyle w:val="42"/>
                    <w:rPr>
                      <w:color w:val="auto"/>
                      <w:sz w:val="21"/>
                      <w:szCs w:val="21"/>
                    </w:rPr>
                  </w:pPr>
                  <w:r>
                    <w:rPr>
                      <w:color w:val="auto"/>
                      <w:sz w:val="21"/>
                      <w:szCs w:val="21"/>
                    </w:rPr>
                    <w:t>项目选址位于胡杨河经济技术开发区内，不属于生态红线保护区，属于重点管控单元；项目建设符合胡杨河市</w:t>
                  </w:r>
                  <w:r>
                    <w:rPr>
                      <w:rFonts w:hint="eastAsia"/>
                      <w:color w:val="auto"/>
                      <w:sz w:val="21"/>
                      <w:szCs w:val="21"/>
                      <w:lang w:val="en-US" w:eastAsia="zh-CN"/>
                    </w:rPr>
                    <w:t>分区管控</w:t>
                  </w:r>
                  <w:r>
                    <w:rPr>
                      <w:color w:val="auto"/>
                      <w:sz w:val="21"/>
                      <w:szCs w:val="21"/>
                    </w:rPr>
                    <w:t>的要求</w:t>
                  </w:r>
                </w:p>
              </w:tc>
              <w:tc>
                <w:tcPr>
                  <w:tcW w:w="550" w:type="dxa"/>
                  <w:noWrap w:val="0"/>
                  <w:vAlign w:val="center"/>
                </w:tcPr>
                <w:p w14:paraId="381495B6">
                  <w:pPr>
                    <w:pStyle w:val="42"/>
                    <w:rPr>
                      <w:color w:val="auto"/>
                      <w:sz w:val="21"/>
                      <w:szCs w:val="21"/>
                    </w:rPr>
                  </w:pPr>
                  <w:r>
                    <w:rPr>
                      <w:color w:val="auto"/>
                      <w:sz w:val="21"/>
                      <w:szCs w:val="21"/>
                    </w:rPr>
                    <w:t>符合</w:t>
                  </w:r>
                </w:p>
              </w:tc>
            </w:tr>
            <w:tr w14:paraId="7527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dxa"/>
                  <w:noWrap w:val="0"/>
                  <w:vAlign w:val="center"/>
                </w:tcPr>
                <w:p w14:paraId="623B73D1">
                  <w:pPr>
                    <w:pStyle w:val="42"/>
                    <w:rPr>
                      <w:color w:val="auto"/>
                      <w:sz w:val="21"/>
                      <w:szCs w:val="21"/>
                    </w:rPr>
                  </w:pPr>
                  <w:r>
                    <w:rPr>
                      <w:color w:val="auto"/>
                      <w:sz w:val="21"/>
                      <w:szCs w:val="21"/>
                    </w:rPr>
                    <w:t>3</w:t>
                  </w:r>
                </w:p>
              </w:tc>
              <w:tc>
                <w:tcPr>
                  <w:tcW w:w="4609" w:type="dxa"/>
                  <w:noWrap w:val="0"/>
                  <w:vAlign w:val="center"/>
                </w:tcPr>
                <w:p w14:paraId="5C291A82">
                  <w:pPr>
                    <w:pStyle w:val="42"/>
                    <w:rPr>
                      <w:color w:val="auto"/>
                      <w:sz w:val="21"/>
                      <w:szCs w:val="21"/>
                    </w:rPr>
                  </w:pPr>
                  <w:r>
                    <w:rPr>
                      <w:color w:val="auto"/>
                      <w:sz w:val="21"/>
                      <w:szCs w:val="21"/>
                    </w:rPr>
                    <w:t>严守生态保护红线，加强空间管控。进一步优化开发区的空间布局，通过优化开发区产业空间布局、调整土地用途等方式，</w:t>
                  </w:r>
                  <w:r>
                    <w:rPr>
                      <w:rFonts w:hint="eastAsia"/>
                      <w:color w:val="auto"/>
                      <w:sz w:val="21"/>
                      <w:szCs w:val="21"/>
                      <w:lang w:eastAsia="zh-CN"/>
                    </w:rPr>
                    <w:t>完善</w:t>
                  </w:r>
                  <w:r>
                    <w:rPr>
                      <w:color w:val="auto"/>
                      <w:sz w:val="21"/>
                      <w:szCs w:val="21"/>
                    </w:rPr>
                    <w:t>生态保障空间要求。重点关注大气污染综合治理、保护区域大气环境质量、开发区周边地表水水体水质、区域地下水环境、</w:t>
                  </w:r>
                  <w:r>
                    <w:rPr>
                      <w:rFonts w:hint="eastAsia"/>
                      <w:color w:val="auto"/>
                      <w:sz w:val="21"/>
                      <w:szCs w:val="21"/>
                      <w:lang w:eastAsia="zh-CN"/>
                    </w:rPr>
                    <w:t>土壤环境</w:t>
                  </w:r>
                  <w:r>
                    <w:rPr>
                      <w:color w:val="auto"/>
                      <w:sz w:val="21"/>
                      <w:szCs w:val="21"/>
                    </w:rPr>
                    <w:t>、生态环境，对开发区内企业提出具体管控要求衔接兵团和师市“三线一单”成果，落实、细化开发区所在生态环境管控单元的管控要求，保障规划实施不突破区域生态保护红线环境质量底线和资源利用上线。做好与师市国土空间规划的衔接从全局的角度以资源承载能力和国土空间开发适宜性评价来支撑开发区规划实施。</w:t>
                  </w:r>
                </w:p>
              </w:tc>
              <w:tc>
                <w:tcPr>
                  <w:tcW w:w="1515" w:type="dxa"/>
                  <w:noWrap w:val="0"/>
                  <w:vAlign w:val="center"/>
                </w:tcPr>
                <w:p w14:paraId="4B61699D">
                  <w:pPr>
                    <w:pStyle w:val="42"/>
                    <w:rPr>
                      <w:rFonts w:hint="default"/>
                      <w:color w:val="auto"/>
                      <w:sz w:val="21"/>
                      <w:szCs w:val="21"/>
                      <w:lang w:val="en-US" w:eastAsia="zh-CN"/>
                    </w:rPr>
                  </w:pPr>
                  <w:r>
                    <w:rPr>
                      <w:color w:val="auto"/>
                      <w:sz w:val="21"/>
                      <w:szCs w:val="21"/>
                    </w:rPr>
                    <w:t>项目严格落实总量管控要求，废气经处理后可实现达标排放，项目符合</w:t>
                  </w:r>
                  <w:r>
                    <w:rPr>
                      <w:rFonts w:hint="eastAsia"/>
                      <w:color w:val="auto"/>
                      <w:sz w:val="21"/>
                      <w:szCs w:val="21"/>
                      <w:lang w:val="en-US" w:eastAsia="zh-CN"/>
                    </w:rPr>
                    <w:t>分区管控要求</w:t>
                  </w:r>
                </w:p>
              </w:tc>
              <w:tc>
                <w:tcPr>
                  <w:tcW w:w="550" w:type="dxa"/>
                  <w:noWrap w:val="0"/>
                  <w:vAlign w:val="center"/>
                </w:tcPr>
                <w:p w14:paraId="30438745">
                  <w:pPr>
                    <w:pStyle w:val="42"/>
                    <w:rPr>
                      <w:color w:val="auto"/>
                      <w:sz w:val="21"/>
                      <w:szCs w:val="21"/>
                    </w:rPr>
                  </w:pPr>
                  <w:r>
                    <w:rPr>
                      <w:color w:val="auto"/>
                      <w:sz w:val="21"/>
                      <w:szCs w:val="21"/>
                    </w:rPr>
                    <w:t>符合</w:t>
                  </w:r>
                </w:p>
              </w:tc>
            </w:tr>
            <w:tr w14:paraId="3C57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dxa"/>
                  <w:noWrap w:val="0"/>
                  <w:vAlign w:val="center"/>
                </w:tcPr>
                <w:p w14:paraId="5E90CA7B">
                  <w:pPr>
                    <w:pStyle w:val="42"/>
                    <w:rPr>
                      <w:color w:val="auto"/>
                      <w:sz w:val="21"/>
                      <w:szCs w:val="21"/>
                    </w:rPr>
                  </w:pPr>
                  <w:r>
                    <w:rPr>
                      <w:color w:val="auto"/>
                      <w:sz w:val="21"/>
                      <w:szCs w:val="21"/>
                    </w:rPr>
                    <w:t>4</w:t>
                  </w:r>
                </w:p>
              </w:tc>
              <w:tc>
                <w:tcPr>
                  <w:tcW w:w="4609" w:type="dxa"/>
                  <w:noWrap w:val="0"/>
                  <w:vAlign w:val="center"/>
                </w:tcPr>
                <w:p w14:paraId="2E94E340">
                  <w:pPr>
                    <w:pStyle w:val="42"/>
                    <w:rPr>
                      <w:color w:val="auto"/>
                      <w:sz w:val="21"/>
                      <w:szCs w:val="21"/>
                    </w:rPr>
                  </w:pPr>
                  <w:r>
                    <w:rPr>
                      <w:color w:val="auto"/>
                      <w:sz w:val="21"/>
                      <w:szCs w:val="21"/>
                    </w:rPr>
                    <w:t>坚守环境质量底线，严格污染物总量管控，对标《自治区严禁“三高”项目进新疆推进经济高质量发展实施方案》严格开发区项目准入。依据规划区域及周边环境质量改善目标建立开发区污染物削减台账，落实重点行业区域削减措施，纳入日常环境管理工作，建立考核机制，并与排污许可制度衔接，确保区域环境质量有效改善。推进现有企业工艺技术和污染治理技术改造，各类污染物排放须满足国家及自治区最新污染物排放标准要求。</w:t>
                  </w:r>
                </w:p>
              </w:tc>
              <w:tc>
                <w:tcPr>
                  <w:tcW w:w="1515" w:type="dxa"/>
                  <w:noWrap w:val="0"/>
                  <w:vAlign w:val="center"/>
                </w:tcPr>
                <w:p w14:paraId="0790DF04">
                  <w:pPr>
                    <w:pStyle w:val="42"/>
                    <w:rPr>
                      <w:color w:val="auto"/>
                      <w:sz w:val="21"/>
                      <w:szCs w:val="21"/>
                    </w:rPr>
                  </w:pPr>
                  <w:r>
                    <w:rPr>
                      <w:color w:val="auto"/>
                      <w:sz w:val="21"/>
                      <w:szCs w:val="21"/>
                    </w:rPr>
                    <w:t>项目建设符合胡杨河经济技术开发区南园区生态环境准入清单要求，严格落实污染物总量控制，可以实现各污染物达标排放</w:t>
                  </w:r>
                </w:p>
              </w:tc>
              <w:tc>
                <w:tcPr>
                  <w:tcW w:w="550" w:type="dxa"/>
                  <w:noWrap w:val="0"/>
                  <w:vAlign w:val="center"/>
                </w:tcPr>
                <w:p w14:paraId="5803AA7E">
                  <w:pPr>
                    <w:pStyle w:val="42"/>
                    <w:rPr>
                      <w:color w:val="auto"/>
                      <w:sz w:val="21"/>
                      <w:szCs w:val="21"/>
                    </w:rPr>
                  </w:pPr>
                  <w:r>
                    <w:rPr>
                      <w:color w:val="auto"/>
                      <w:sz w:val="21"/>
                      <w:szCs w:val="21"/>
                    </w:rPr>
                    <w:t>符合</w:t>
                  </w:r>
                </w:p>
              </w:tc>
            </w:tr>
            <w:tr w14:paraId="09FE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dxa"/>
                  <w:noWrap w:val="0"/>
                  <w:vAlign w:val="center"/>
                </w:tcPr>
                <w:p w14:paraId="48017DC8">
                  <w:pPr>
                    <w:pStyle w:val="42"/>
                    <w:rPr>
                      <w:color w:val="auto"/>
                      <w:sz w:val="21"/>
                      <w:szCs w:val="21"/>
                    </w:rPr>
                  </w:pPr>
                  <w:r>
                    <w:rPr>
                      <w:color w:val="auto"/>
                      <w:sz w:val="21"/>
                      <w:szCs w:val="21"/>
                    </w:rPr>
                    <w:t>5</w:t>
                  </w:r>
                </w:p>
              </w:tc>
              <w:tc>
                <w:tcPr>
                  <w:tcW w:w="4609" w:type="dxa"/>
                  <w:noWrap w:val="0"/>
                  <w:vAlign w:val="center"/>
                </w:tcPr>
                <w:p w14:paraId="20E0D237">
                  <w:pPr>
                    <w:pStyle w:val="42"/>
                    <w:rPr>
                      <w:color w:val="auto"/>
                      <w:sz w:val="21"/>
                      <w:szCs w:val="21"/>
                    </w:rPr>
                  </w:pPr>
                  <w:r>
                    <w:rPr>
                      <w:color w:val="auto"/>
                      <w:sz w:val="21"/>
                      <w:szCs w:val="21"/>
                    </w:rPr>
                    <w:t>严格能源消耗总量和消耗强度“双控”，坚持“以水定产以水定量”，严格入园产业和项目的生态环境准入。严格按照规划产业布局入驻企业，结合区域发展定位、开发布局、生态环境保护目标，实行入园企业环保准入审核制度，不符合产业政策、行业准入条件、生态环境准入清单及自治区党委明令禁止的“三高”项目一律不得入驻园区。引进项目的生产工艺、设备、污染治理技术，以及单位产品能耗、物耗、污染物排放和资源利用效率均需达到同行业国内先进水平，积极推进产业的技术进步和园区循环化改造，构建绿色、低碳园区。开发区水资源利用不得突破《新疆用水总量控制方案》确定的第七师水资源利用上线指标，土地。</w:t>
                  </w:r>
                </w:p>
              </w:tc>
              <w:tc>
                <w:tcPr>
                  <w:tcW w:w="1515" w:type="dxa"/>
                  <w:noWrap w:val="0"/>
                  <w:vAlign w:val="center"/>
                </w:tcPr>
                <w:p w14:paraId="3910CD72">
                  <w:pPr>
                    <w:pStyle w:val="42"/>
                    <w:rPr>
                      <w:color w:val="auto"/>
                      <w:sz w:val="21"/>
                      <w:szCs w:val="21"/>
                    </w:rPr>
                  </w:pPr>
                  <w:r>
                    <w:rPr>
                      <w:color w:val="auto"/>
                      <w:sz w:val="21"/>
                      <w:szCs w:val="21"/>
                    </w:rPr>
                    <w:t>项目废气经处理后可实现达标排放，废水经厂区预处理后接入市政污水管网通入园区污水处理厂处理；经比对，项目建设符合胡杨河经济技术开发区南园区的空间布局和产业规划</w:t>
                  </w:r>
                </w:p>
              </w:tc>
              <w:tc>
                <w:tcPr>
                  <w:tcW w:w="550" w:type="dxa"/>
                  <w:noWrap w:val="0"/>
                  <w:vAlign w:val="center"/>
                </w:tcPr>
                <w:p w14:paraId="2788C953">
                  <w:pPr>
                    <w:pStyle w:val="42"/>
                    <w:rPr>
                      <w:color w:val="auto"/>
                      <w:sz w:val="21"/>
                      <w:szCs w:val="21"/>
                    </w:rPr>
                  </w:pPr>
                  <w:r>
                    <w:rPr>
                      <w:color w:val="auto"/>
                      <w:sz w:val="21"/>
                      <w:szCs w:val="21"/>
                    </w:rPr>
                    <w:t>符合</w:t>
                  </w:r>
                </w:p>
              </w:tc>
            </w:tr>
            <w:tr w14:paraId="1A42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0" w:type="dxa"/>
                  <w:noWrap w:val="0"/>
                  <w:vAlign w:val="center"/>
                </w:tcPr>
                <w:p w14:paraId="24B385FD">
                  <w:pPr>
                    <w:pStyle w:val="42"/>
                    <w:rPr>
                      <w:color w:val="auto"/>
                      <w:sz w:val="21"/>
                      <w:szCs w:val="21"/>
                    </w:rPr>
                  </w:pPr>
                  <w:r>
                    <w:rPr>
                      <w:color w:val="auto"/>
                      <w:sz w:val="21"/>
                      <w:szCs w:val="21"/>
                    </w:rPr>
                    <w:t>6</w:t>
                  </w:r>
                </w:p>
              </w:tc>
              <w:tc>
                <w:tcPr>
                  <w:tcW w:w="4609" w:type="dxa"/>
                  <w:noWrap w:val="0"/>
                  <w:vAlign w:val="center"/>
                </w:tcPr>
                <w:p w14:paraId="5364F464">
                  <w:pPr>
                    <w:pStyle w:val="42"/>
                    <w:rPr>
                      <w:color w:val="auto"/>
                      <w:sz w:val="21"/>
                      <w:szCs w:val="21"/>
                    </w:rPr>
                  </w:pPr>
                  <w:r>
                    <w:rPr>
                      <w:color w:val="auto"/>
                      <w:sz w:val="21"/>
                      <w:szCs w:val="21"/>
                    </w:rPr>
                    <w:t>强化开发区环境风险管理，强化应急响应联动机制，保障城市人居环境安全和生态环境安全。配备应急物资，定期开展应急演习，不断完善环境风险应急预案，防控开发区储运中可能引发的环境风险。</w:t>
                  </w:r>
                </w:p>
              </w:tc>
              <w:tc>
                <w:tcPr>
                  <w:tcW w:w="1515" w:type="dxa"/>
                  <w:noWrap w:val="0"/>
                  <w:vAlign w:val="center"/>
                </w:tcPr>
                <w:p w14:paraId="0BFC1637">
                  <w:pPr>
                    <w:pStyle w:val="42"/>
                    <w:rPr>
                      <w:color w:val="auto"/>
                      <w:sz w:val="21"/>
                      <w:szCs w:val="21"/>
                    </w:rPr>
                  </w:pPr>
                  <w:r>
                    <w:rPr>
                      <w:color w:val="auto"/>
                      <w:sz w:val="21"/>
                      <w:szCs w:val="21"/>
                    </w:rPr>
                    <w:t>环评建议，项目营运期按</w:t>
                  </w:r>
                  <w:r>
                    <w:rPr>
                      <w:rFonts w:hint="eastAsia"/>
                      <w:color w:val="auto"/>
                      <w:sz w:val="21"/>
                      <w:szCs w:val="21"/>
                      <w:lang w:eastAsia="zh-CN"/>
                    </w:rPr>
                    <w:t>要求</w:t>
                  </w:r>
                  <w:r>
                    <w:rPr>
                      <w:color w:val="auto"/>
                      <w:sz w:val="21"/>
                      <w:szCs w:val="21"/>
                    </w:rPr>
                    <w:t>配置应急物资，定期开展应急演练，制定突发环境事件应急预案</w:t>
                  </w:r>
                </w:p>
              </w:tc>
              <w:tc>
                <w:tcPr>
                  <w:tcW w:w="550" w:type="dxa"/>
                  <w:noWrap w:val="0"/>
                  <w:vAlign w:val="center"/>
                </w:tcPr>
                <w:p w14:paraId="2C0368EF">
                  <w:pPr>
                    <w:pStyle w:val="42"/>
                    <w:rPr>
                      <w:color w:val="auto"/>
                      <w:sz w:val="21"/>
                      <w:szCs w:val="21"/>
                    </w:rPr>
                  </w:pPr>
                  <w:r>
                    <w:rPr>
                      <w:color w:val="auto"/>
                      <w:sz w:val="21"/>
                      <w:szCs w:val="21"/>
                    </w:rPr>
                    <w:t>符合</w:t>
                  </w:r>
                </w:p>
              </w:tc>
            </w:tr>
          </w:tbl>
          <w:p w14:paraId="033DCB90">
            <w:pPr>
              <w:pStyle w:val="18"/>
              <w:rPr>
                <w:color w:val="auto"/>
              </w:rPr>
            </w:pPr>
            <w:r>
              <w:rPr>
                <w:rFonts w:hint="eastAsia"/>
                <w:color w:val="auto"/>
              </w:rPr>
              <w:t>由上分析可知，项目营运期采取本环评提出的相关污染防治措施后，各项污染物均可实现达标排放，项目建设符合《胡杨河经济技术开发区总体规划（2021-2035年）环境影响报告书》及审查意见的相关</w:t>
            </w:r>
            <w:r>
              <w:rPr>
                <w:rFonts w:hint="eastAsia"/>
                <w:color w:val="auto"/>
                <w:lang w:eastAsia="zh-CN"/>
              </w:rPr>
              <w:t>要求</w:t>
            </w:r>
            <w:r>
              <w:rPr>
                <w:color w:val="auto"/>
              </w:rPr>
              <w:t>。</w:t>
            </w:r>
          </w:p>
        </w:tc>
      </w:tr>
      <w:tr w14:paraId="67DDF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vAlign w:val="center"/>
          </w:tcPr>
          <w:p w14:paraId="4C57731B">
            <w:pPr>
              <w:autoSpaceDE w:val="0"/>
              <w:autoSpaceDN w:val="0"/>
              <w:adjustRightInd w:val="0"/>
              <w:snapToGrid w:val="0"/>
              <w:jc w:val="center"/>
              <w:rPr>
                <w:color w:val="auto"/>
                <w:kern w:val="0"/>
                <w:szCs w:val="21"/>
              </w:rPr>
            </w:pPr>
            <w:r>
              <w:rPr>
                <w:color w:val="auto"/>
                <w:kern w:val="0"/>
                <w:szCs w:val="21"/>
              </w:rPr>
              <w:t>其他符合性分析</w:t>
            </w:r>
          </w:p>
        </w:tc>
        <w:tc>
          <w:tcPr>
            <w:tcW w:w="7014" w:type="dxa"/>
            <w:gridSpan w:val="3"/>
            <w:vAlign w:val="center"/>
          </w:tcPr>
          <w:p w14:paraId="345F6DED">
            <w:pPr>
              <w:spacing w:line="360" w:lineRule="auto"/>
              <w:ind w:firstLine="422" w:firstLineChars="200"/>
              <w:rPr>
                <w:b/>
                <w:bCs/>
                <w:color w:val="auto"/>
              </w:rPr>
            </w:pPr>
            <w:r>
              <w:rPr>
                <w:b/>
                <w:bCs/>
                <w:color w:val="auto"/>
              </w:rPr>
              <w:t>1</w:t>
            </w:r>
            <w:r>
              <w:rPr>
                <w:rFonts w:hint="eastAsia"/>
                <w:b/>
                <w:bCs/>
                <w:color w:val="auto"/>
                <w:lang w:eastAsia="zh-CN"/>
              </w:rPr>
              <w:t>、</w:t>
            </w:r>
            <w:r>
              <w:rPr>
                <w:b/>
                <w:bCs/>
                <w:color w:val="auto"/>
              </w:rPr>
              <w:t>“</w:t>
            </w:r>
            <w:r>
              <w:rPr>
                <w:rFonts w:hint="eastAsia"/>
                <w:b/>
                <w:bCs/>
                <w:color w:val="auto"/>
              </w:rPr>
              <w:t>生态环境分区管控</w:t>
            </w:r>
            <w:r>
              <w:rPr>
                <w:b/>
                <w:bCs/>
                <w:color w:val="auto"/>
              </w:rPr>
              <w:t>”符合性分析</w:t>
            </w:r>
          </w:p>
          <w:p w14:paraId="4730AC5B">
            <w:pPr>
              <w:spacing w:line="360" w:lineRule="auto"/>
              <w:ind w:firstLine="422" w:firstLineChars="200"/>
              <w:rPr>
                <w:b/>
                <w:bCs/>
                <w:color w:val="auto"/>
              </w:rPr>
            </w:pPr>
            <w:r>
              <w:rPr>
                <w:rFonts w:hint="eastAsia"/>
                <w:b/>
                <w:bCs/>
                <w:color w:val="auto"/>
              </w:rPr>
              <w:t>（1）与《新疆生产建设兵团2023年度生态环境分区管控动态更新成果公告》符合性分析</w:t>
            </w:r>
          </w:p>
          <w:p w14:paraId="0B97D372">
            <w:pPr>
              <w:spacing w:line="360" w:lineRule="auto"/>
              <w:ind w:firstLine="420" w:firstLineChars="200"/>
              <w:rPr>
                <w:rFonts w:hint="eastAsia"/>
                <w:b w:val="0"/>
                <w:bCs w:val="0"/>
                <w:color w:val="auto"/>
              </w:rPr>
            </w:pPr>
            <w:r>
              <w:rPr>
                <w:rFonts w:hint="eastAsia"/>
                <w:b w:val="0"/>
                <w:bCs w:val="0"/>
                <w:color w:val="auto"/>
              </w:rPr>
              <w:t>根据2023年度动态更新后《新疆生产建设兵团2023年度生态环境分区管控动态更新成果公告》</w:t>
            </w:r>
            <w:r>
              <w:rPr>
                <w:rFonts w:hint="eastAsia"/>
                <w:b w:val="0"/>
                <w:bCs w:val="0"/>
                <w:color w:val="auto"/>
                <w:lang w:eastAsia="zh-CN"/>
              </w:rPr>
              <w:t>，</w:t>
            </w:r>
            <w:r>
              <w:rPr>
                <w:rFonts w:hint="eastAsia"/>
                <w:b w:val="0"/>
                <w:bCs w:val="0"/>
                <w:color w:val="auto"/>
              </w:rPr>
              <w:t>其中第七师共划定了</w:t>
            </w:r>
            <w:r>
              <w:rPr>
                <w:rFonts w:hint="eastAsia"/>
                <w:b w:val="0"/>
                <w:bCs w:val="0"/>
                <w:color w:val="auto"/>
                <w:lang w:val="en-US" w:eastAsia="zh-CN"/>
              </w:rPr>
              <w:t>59</w:t>
            </w:r>
            <w:r>
              <w:rPr>
                <w:rFonts w:hint="eastAsia"/>
                <w:b w:val="0"/>
                <w:bCs w:val="0"/>
                <w:color w:val="auto"/>
              </w:rPr>
              <w:t>个管控单元，包括优先保护</w:t>
            </w:r>
            <w:r>
              <w:rPr>
                <w:rFonts w:hint="eastAsia"/>
                <w:b w:val="0"/>
                <w:bCs w:val="0"/>
                <w:color w:val="auto"/>
                <w:lang w:val="en-US" w:eastAsia="zh-CN"/>
              </w:rPr>
              <w:t>16</w:t>
            </w:r>
            <w:r>
              <w:rPr>
                <w:rFonts w:hint="eastAsia"/>
                <w:b w:val="0"/>
                <w:bCs w:val="0"/>
                <w:color w:val="auto"/>
              </w:rPr>
              <w:t>个，重点管控</w:t>
            </w:r>
            <w:r>
              <w:rPr>
                <w:rFonts w:hint="eastAsia"/>
                <w:b w:val="0"/>
                <w:bCs w:val="0"/>
                <w:color w:val="auto"/>
                <w:lang w:val="en-US" w:eastAsia="zh-CN"/>
              </w:rPr>
              <w:t>31</w:t>
            </w:r>
            <w:r>
              <w:rPr>
                <w:rFonts w:hint="eastAsia"/>
                <w:b w:val="0"/>
                <w:bCs w:val="0"/>
                <w:color w:val="auto"/>
              </w:rPr>
              <w:t>个，一般管控</w:t>
            </w:r>
            <w:r>
              <w:rPr>
                <w:rFonts w:hint="eastAsia"/>
                <w:b w:val="0"/>
                <w:bCs w:val="0"/>
                <w:color w:val="auto"/>
                <w:lang w:val="en-US" w:eastAsia="zh-CN"/>
              </w:rPr>
              <w:t>12</w:t>
            </w:r>
            <w:r>
              <w:rPr>
                <w:rFonts w:hint="eastAsia"/>
                <w:b w:val="0"/>
                <w:bCs w:val="0"/>
                <w:color w:val="auto"/>
              </w:rPr>
              <w:t>个。根据对照新疆生产建设兵团环境管控单元图可知，本项目位于重点管控单元。</w:t>
            </w:r>
          </w:p>
          <w:p w14:paraId="3D3DA255">
            <w:pPr>
              <w:spacing w:line="360" w:lineRule="auto"/>
              <w:ind w:firstLine="422" w:firstLineChars="200"/>
              <w:rPr>
                <w:rFonts w:hint="default" w:eastAsia="宋体"/>
                <w:b/>
                <w:bCs/>
                <w:color w:val="auto"/>
                <w:lang w:val="en-US" w:eastAsia="zh-CN"/>
              </w:rPr>
            </w:pPr>
            <w:r>
              <w:rPr>
                <w:rFonts w:hint="eastAsia"/>
                <w:b/>
                <w:bCs/>
                <w:color w:val="auto"/>
                <w:lang w:val="en-US" w:eastAsia="zh-CN"/>
              </w:rPr>
              <w:t>本项目位于重点管控单元，项目属于工业园区内新建生产企业，通过各处理措施能实现污染物达标排放，符合重点管控单元要求。</w:t>
            </w:r>
          </w:p>
          <w:p w14:paraId="67A08522">
            <w:pPr>
              <w:spacing w:line="360" w:lineRule="auto"/>
              <w:ind w:firstLine="422" w:firstLineChars="200"/>
              <w:rPr>
                <w:b/>
                <w:bCs/>
                <w:color w:val="auto"/>
              </w:rPr>
            </w:pPr>
            <w:r>
              <w:rPr>
                <w:b/>
                <w:bCs/>
                <w:color w:val="auto"/>
              </w:rPr>
              <w:t>（</w:t>
            </w:r>
            <w:r>
              <w:rPr>
                <w:rFonts w:hint="eastAsia"/>
                <w:b/>
                <w:bCs/>
                <w:color w:val="auto"/>
                <w:lang w:val="en-US" w:eastAsia="zh-CN"/>
              </w:rPr>
              <w:t>2</w:t>
            </w:r>
            <w:r>
              <w:rPr>
                <w:b/>
                <w:bCs/>
                <w:color w:val="auto"/>
              </w:rPr>
              <w:t>）</w:t>
            </w:r>
            <w:bookmarkStart w:id="2" w:name="_Hlk192201419"/>
            <w:r>
              <w:rPr>
                <w:rFonts w:hint="eastAsia"/>
                <w:b/>
                <w:bCs/>
                <w:color w:val="auto"/>
              </w:rPr>
              <w:t>与《关于公布</w:t>
            </w:r>
            <w:r>
              <w:rPr>
                <w:rFonts w:hint="eastAsia"/>
                <w:b/>
                <w:bCs/>
                <w:color w:val="auto"/>
                <w:lang w:eastAsia="zh-CN"/>
              </w:rPr>
              <w:t>〈</w:t>
            </w:r>
            <w:r>
              <w:rPr>
                <w:rFonts w:hint="eastAsia"/>
                <w:b/>
                <w:bCs/>
                <w:color w:val="auto"/>
              </w:rPr>
              <w:t>新疆生产建设兵团第七师胡杨河市生态环境分区管控更新成果（2023版）</w:t>
            </w:r>
            <w:r>
              <w:rPr>
                <w:rFonts w:hint="eastAsia"/>
                <w:b/>
                <w:bCs/>
                <w:color w:val="auto"/>
                <w:lang w:eastAsia="zh-CN"/>
              </w:rPr>
              <w:t>〉</w:t>
            </w:r>
            <w:r>
              <w:rPr>
                <w:rFonts w:hint="eastAsia"/>
                <w:b/>
                <w:bCs/>
                <w:color w:val="auto"/>
              </w:rPr>
              <w:t>的通知》符合性分析</w:t>
            </w:r>
          </w:p>
          <w:bookmarkEnd w:id="2"/>
          <w:p w14:paraId="5973D31D">
            <w:pPr>
              <w:spacing w:line="360" w:lineRule="auto"/>
              <w:ind w:firstLine="422" w:firstLineChars="200"/>
              <w:rPr>
                <w:b/>
                <w:bCs/>
                <w:color w:val="auto"/>
              </w:rPr>
            </w:pPr>
            <w:bookmarkStart w:id="3" w:name="_Toc27989"/>
            <w:bookmarkStart w:id="4" w:name="_Toc11201"/>
            <w:bookmarkStart w:id="5" w:name="_Toc20537"/>
            <w:r>
              <w:rPr>
                <w:rFonts w:hint="eastAsia"/>
                <w:b/>
                <w:bCs/>
                <w:color w:val="auto"/>
              </w:rPr>
              <w:t>1）环境管控单元</w:t>
            </w:r>
            <w:bookmarkEnd w:id="3"/>
            <w:bookmarkEnd w:id="4"/>
            <w:bookmarkEnd w:id="5"/>
          </w:p>
          <w:p w14:paraId="430B2404">
            <w:pPr>
              <w:pStyle w:val="18"/>
              <w:rPr>
                <w:rFonts w:hint="eastAsia"/>
                <w:b/>
                <w:bCs/>
                <w:color w:val="auto"/>
                <w:lang w:val="en-US" w:eastAsia="zh-CN"/>
              </w:rPr>
            </w:pPr>
            <w:r>
              <w:rPr>
                <w:rFonts w:hint="eastAsia"/>
                <w:color w:val="auto"/>
              </w:rPr>
              <w:t>根据《第七师胡杨河市“三线一单”生态环境分区管控方案》及新疆生产建设兵团第七师环境保护委员会办公室发布了《关于公布</w:t>
            </w:r>
            <w:r>
              <w:rPr>
                <w:rFonts w:hint="eastAsia"/>
                <w:color w:val="auto"/>
                <w:lang w:eastAsia="zh-CN"/>
              </w:rPr>
              <w:t>〈</w:t>
            </w:r>
            <w:r>
              <w:rPr>
                <w:rFonts w:hint="eastAsia"/>
                <w:color w:val="auto"/>
              </w:rPr>
              <w:t>新疆生产建设兵团第七师胡杨河市生态环境分区管控更新成果（2023版）</w:t>
            </w:r>
            <w:r>
              <w:rPr>
                <w:rFonts w:hint="eastAsia"/>
                <w:color w:val="auto"/>
                <w:lang w:eastAsia="zh-CN"/>
              </w:rPr>
              <w:t>〉</w:t>
            </w:r>
            <w:r>
              <w:rPr>
                <w:rFonts w:hint="eastAsia"/>
                <w:color w:val="auto"/>
              </w:rPr>
              <w:t>的通知》（师市环委办发〔2024〕2号），</w:t>
            </w:r>
            <w:r>
              <w:rPr>
                <w:rFonts w:hint="eastAsia"/>
                <w:b/>
                <w:bCs/>
                <w:color w:val="auto"/>
              </w:rPr>
              <w:t>本项目位于胡杨河经济技术开发区南园区，属于重点管控单元，环境管控单元编码：ZH65771220001。项目与“三线一单”生态环境分区管控方案符合性分析详见下表</w:t>
            </w:r>
            <w:r>
              <w:rPr>
                <w:rFonts w:hint="eastAsia"/>
                <w:b/>
                <w:bCs/>
                <w:color w:val="auto"/>
                <w:lang w:val="en-US" w:eastAsia="zh-CN"/>
              </w:rPr>
              <w:t>:</w:t>
            </w:r>
          </w:p>
          <w:p w14:paraId="2DB27E9C">
            <w:pPr>
              <w:rPr>
                <w:rFonts w:hint="eastAsia"/>
                <w:b/>
                <w:bCs/>
                <w:color w:val="auto"/>
                <w:lang w:val="en-US" w:eastAsia="zh-CN"/>
              </w:rPr>
            </w:pPr>
          </w:p>
          <w:p w14:paraId="2D5A6E39">
            <w:pPr>
              <w:rPr>
                <w:rFonts w:hint="eastAsia"/>
                <w:b/>
                <w:bCs/>
                <w:color w:val="auto"/>
                <w:lang w:val="en-US" w:eastAsia="zh-CN"/>
              </w:rPr>
            </w:pPr>
          </w:p>
          <w:p w14:paraId="56CA0107">
            <w:pPr>
              <w:rPr>
                <w:rFonts w:hint="eastAsia"/>
                <w:b/>
                <w:bCs/>
                <w:color w:val="auto"/>
                <w:lang w:val="en-US" w:eastAsia="zh-CN"/>
              </w:rPr>
            </w:pPr>
          </w:p>
          <w:p w14:paraId="037BCE4D">
            <w:pPr>
              <w:rPr>
                <w:rFonts w:hint="eastAsia"/>
                <w:b/>
                <w:bCs/>
                <w:color w:val="auto"/>
                <w:lang w:val="en-US" w:eastAsia="zh-CN"/>
              </w:rPr>
            </w:pPr>
          </w:p>
          <w:p w14:paraId="6BD9E6F6">
            <w:pPr>
              <w:rPr>
                <w:rFonts w:hint="eastAsia"/>
                <w:b/>
                <w:bCs/>
                <w:color w:val="auto"/>
                <w:lang w:val="en-US" w:eastAsia="zh-CN"/>
              </w:rPr>
            </w:pPr>
          </w:p>
          <w:p w14:paraId="2831AB01">
            <w:pPr>
              <w:rPr>
                <w:rFonts w:hint="eastAsia"/>
                <w:b/>
                <w:bCs/>
                <w:color w:val="auto"/>
                <w:lang w:val="en-US" w:eastAsia="zh-CN"/>
              </w:rPr>
            </w:pPr>
          </w:p>
          <w:p w14:paraId="70A80924">
            <w:pPr>
              <w:rPr>
                <w:rFonts w:hint="eastAsia"/>
                <w:b/>
                <w:bCs/>
                <w:color w:val="auto"/>
                <w:lang w:val="en-US" w:eastAsia="zh-CN"/>
              </w:rPr>
            </w:pPr>
          </w:p>
          <w:p w14:paraId="0D5E7897">
            <w:pPr>
              <w:rPr>
                <w:rFonts w:hint="eastAsia"/>
                <w:b/>
                <w:bCs/>
                <w:color w:val="auto"/>
                <w:lang w:val="en-US" w:eastAsia="zh-CN"/>
              </w:rPr>
            </w:pPr>
          </w:p>
          <w:p w14:paraId="53C59B0C">
            <w:pPr>
              <w:rPr>
                <w:rFonts w:hint="eastAsia"/>
                <w:b/>
                <w:bCs/>
                <w:color w:val="auto"/>
                <w:lang w:val="en-US" w:eastAsia="zh-CN"/>
              </w:rPr>
            </w:pPr>
          </w:p>
          <w:p w14:paraId="5419FF46">
            <w:pPr>
              <w:rPr>
                <w:rFonts w:hint="eastAsia"/>
                <w:b/>
                <w:bCs/>
                <w:color w:val="auto"/>
                <w:lang w:val="en-US" w:eastAsia="zh-CN"/>
              </w:rPr>
            </w:pPr>
          </w:p>
          <w:p w14:paraId="3F02B457">
            <w:pPr>
              <w:rPr>
                <w:rFonts w:hint="eastAsia"/>
                <w:b/>
                <w:bCs/>
                <w:color w:val="auto"/>
                <w:lang w:val="en-US" w:eastAsia="zh-CN"/>
              </w:rPr>
            </w:pPr>
          </w:p>
          <w:p w14:paraId="60F4100D">
            <w:pPr>
              <w:rPr>
                <w:rFonts w:hint="eastAsia"/>
                <w:b/>
                <w:bCs/>
                <w:color w:val="auto"/>
                <w:lang w:val="en-US" w:eastAsia="zh-CN"/>
              </w:rPr>
            </w:pPr>
          </w:p>
          <w:p w14:paraId="2E4F9566">
            <w:pPr>
              <w:rPr>
                <w:rFonts w:hint="eastAsia"/>
                <w:b/>
                <w:bCs/>
                <w:color w:val="auto"/>
                <w:lang w:val="en-US" w:eastAsia="zh-CN"/>
              </w:rPr>
            </w:pPr>
          </w:p>
          <w:p w14:paraId="1B0B79C1">
            <w:pPr>
              <w:rPr>
                <w:rFonts w:hint="eastAsia"/>
                <w:b/>
                <w:bCs/>
                <w:color w:val="auto"/>
                <w:lang w:val="en-US" w:eastAsia="zh-CN"/>
              </w:rPr>
            </w:pPr>
          </w:p>
          <w:p w14:paraId="263D3F46">
            <w:pPr>
              <w:rPr>
                <w:rFonts w:hint="eastAsia"/>
                <w:b/>
                <w:bCs/>
                <w:color w:val="auto"/>
                <w:lang w:val="en-US" w:eastAsia="zh-CN"/>
              </w:rPr>
            </w:pPr>
          </w:p>
          <w:p w14:paraId="79AFF6B4">
            <w:pPr>
              <w:rPr>
                <w:rFonts w:hint="eastAsia"/>
                <w:b/>
                <w:bCs/>
                <w:color w:val="auto"/>
                <w:lang w:val="en-US" w:eastAsia="zh-CN"/>
              </w:rPr>
            </w:pPr>
          </w:p>
          <w:p w14:paraId="17C960D7">
            <w:pPr>
              <w:rPr>
                <w:rFonts w:hint="eastAsia"/>
                <w:b/>
                <w:bCs/>
                <w:color w:val="auto"/>
                <w:lang w:val="en-US" w:eastAsia="zh-CN"/>
              </w:rPr>
            </w:pPr>
          </w:p>
          <w:p w14:paraId="6A3E4192">
            <w:pPr>
              <w:rPr>
                <w:rFonts w:hint="eastAsia"/>
                <w:b/>
                <w:bCs/>
                <w:color w:val="auto"/>
                <w:lang w:val="en-US" w:eastAsia="zh-CN"/>
              </w:rPr>
            </w:pPr>
          </w:p>
          <w:p w14:paraId="4266AB02">
            <w:pPr>
              <w:rPr>
                <w:rFonts w:hint="eastAsia"/>
                <w:b/>
                <w:bCs/>
                <w:color w:val="auto"/>
                <w:lang w:val="en-US" w:eastAsia="zh-CN"/>
              </w:rPr>
            </w:pPr>
          </w:p>
          <w:p w14:paraId="0EB8EA0D">
            <w:pPr>
              <w:rPr>
                <w:rFonts w:hint="eastAsia"/>
                <w:b/>
                <w:bCs/>
                <w:color w:val="auto"/>
                <w:lang w:val="en-US" w:eastAsia="zh-CN"/>
              </w:rPr>
            </w:pPr>
          </w:p>
          <w:p w14:paraId="696DE590">
            <w:pPr>
              <w:rPr>
                <w:rFonts w:hint="eastAsia"/>
                <w:b/>
                <w:bCs/>
                <w:color w:val="auto"/>
                <w:lang w:val="en-US" w:eastAsia="zh-CN"/>
              </w:rPr>
            </w:pPr>
          </w:p>
          <w:p w14:paraId="451BAC21">
            <w:pPr>
              <w:rPr>
                <w:rFonts w:hint="eastAsia"/>
                <w:b/>
                <w:bCs/>
                <w:color w:val="auto"/>
                <w:lang w:val="en-US" w:eastAsia="zh-CN"/>
              </w:rPr>
            </w:pPr>
          </w:p>
          <w:p w14:paraId="5E9C0610">
            <w:pPr>
              <w:rPr>
                <w:rFonts w:hint="eastAsia"/>
                <w:b/>
                <w:bCs/>
                <w:color w:val="auto"/>
                <w:lang w:val="en-US" w:eastAsia="zh-CN"/>
              </w:rPr>
            </w:pPr>
          </w:p>
          <w:p w14:paraId="08871B19">
            <w:pPr>
              <w:rPr>
                <w:rFonts w:hint="eastAsia"/>
                <w:b/>
                <w:bCs/>
                <w:color w:val="auto"/>
                <w:lang w:val="en-US" w:eastAsia="zh-CN"/>
              </w:rPr>
            </w:pPr>
          </w:p>
          <w:p w14:paraId="44254E0E">
            <w:pPr>
              <w:rPr>
                <w:rFonts w:hint="eastAsia"/>
                <w:b/>
                <w:bCs/>
                <w:color w:val="auto"/>
                <w:lang w:val="en-US" w:eastAsia="zh-CN"/>
              </w:rPr>
            </w:pPr>
          </w:p>
        </w:tc>
      </w:tr>
    </w:tbl>
    <w:p w14:paraId="6A2CFFBE">
      <w:pPr>
        <w:spacing w:line="360" w:lineRule="auto"/>
        <w:outlineLvl w:val="0"/>
        <w:rPr>
          <w:sz w:val="30"/>
        </w:rPr>
        <w:sectPr>
          <w:pgSz w:w="11906" w:h="16838"/>
          <w:pgMar w:top="1701" w:right="1531" w:bottom="1701" w:left="1531" w:header="851" w:footer="1077" w:gutter="0"/>
          <w:pgNumType w:start="1"/>
          <w:cols w:space="720" w:num="1"/>
          <w:docGrid w:linePitch="312" w:charSpace="0"/>
        </w:sectPr>
      </w:pPr>
    </w:p>
    <w:p w14:paraId="07FFDD36">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表1-4</w:t>
      </w:r>
      <w:r>
        <w:rPr>
          <w:rFonts w:hint="eastAsia"/>
          <w:b/>
          <w:bCs/>
          <w:color w:val="000000" w:themeColor="text1"/>
          <w:kern w:val="0"/>
          <w:szCs w:val="21"/>
          <w:lang w:val="en-US" w:eastAsia="zh-CN"/>
          <w14:textFill>
            <w14:solidFill>
              <w14:schemeClr w14:val="tx1"/>
            </w14:solidFill>
          </w14:textFill>
        </w:rPr>
        <w:t xml:space="preserve"> </w:t>
      </w:r>
      <w:r>
        <w:rPr>
          <w:b/>
          <w:bCs/>
          <w:color w:val="000000" w:themeColor="text1"/>
          <w:kern w:val="0"/>
          <w:szCs w:val="21"/>
          <w14:textFill>
            <w14:solidFill>
              <w14:schemeClr w14:val="tx1"/>
            </w14:solidFill>
          </w14:textFill>
        </w:rPr>
        <w:t>本项目与“生态环境准入清单”符合性分析</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663"/>
        <w:gridCol w:w="10539"/>
        <w:gridCol w:w="1478"/>
        <w:gridCol w:w="854"/>
      </w:tblGrid>
      <w:tr w14:paraId="642E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4137" w:type="pct"/>
            <w:gridSpan w:val="2"/>
            <w:noWrap w:val="0"/>
            <w:vAlign w:val="center"/>
          </w:tcPr>
          <w:p w14:paraId="3FD5ECC6">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生态环境分区管控方案要求</w:t>
            </w:r>
          </w:p>
        </w:tc>
        <w:tc>
          <w:tcPr>
            <w:tcW w:w="546" w:type="pct"/>
            <w:noWrap w:val="0"/>
            <w:vAlign w:val="center"/>
          </w:tcPr>
          <w:p w14:paraId="3835399F">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项目情况</w:t>
            </w:r>
          </w:p>
        </w:tc>
        <w:tc>
          <w:tcPr>
            <w:tcW w:w="315" w:type="pct"/>
            <w:noWrap w:val="0"/>
            <w:vAlign w:val="center"/>
          </w:tcPr>
          <w:p w14:paraId="5BFCDBB1">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14:paraId="1C35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99" w:hRule="atLeast"/>
          <w:jc w:val="center"/>
        </w:trPr>
        <w:tc>
          <w:tcPr>
            <w:tcW w:w="245" w:type="pct"/>
            <w:noWrap w:val="0"/>
            <w:vAlign w:val="center"/>
          </w:tcPr>
          <w:p w14:paraId="4DA92C1E">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w:t>
            </w:r>
          </w:p>
          <w:p w14:paraId="0FE86D7D">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约束</w:t>
            </w:r>
          </w:p>
        </w:tc>
        <w:tc>
          <w:tcPr>
            <w:tcW w:w="3892" w:type="pct"/>
            <w:noWrap w:val="0"/>
            <w:vAlign w:val="center"/>
          </w:tcPr>
          <w:p w14:paraId="3E832C5D">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南园区规划产业定位以精细化工、新材料为主导产业，新型建材、仓储物流业为辅助产业，装备制造业、创新科技产业、农产品加工、电子元器件产业作为淮安援疆产城融合发展产业。北园区规划重点发展生物医药、化工及新材料产业，配套发展仓储物流业。胡杨河纺织工业园区规划布局纺织、电子元器件产业。各园区以主导产业及其下游产业链为主要方向发展产业。准入产业需符合《产业结构调整指导目录（2024年本）》相关要求。</w:t>
            </w:r>
          </w:p>
          <w:p w14:paraId="072A3871">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1.1【禁止类】</w:t>
            </w:r>
          </w:p>
          <w:p w14:paraId="59742398">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严格治理园区现有化工项目，提高化工项目入驻标准，重点发展精细化工、新材料等新兴产业。禁止类产业有：《指导目录》中的淘汰类和《清单草案》中的禁止准入类，以及不具备区域资源禀赋条件、不符合所处重点生态功能区开发管制原则的限制类、允许类、鼓励类产业。</w:t>
            </w:r>
          </w:p>
          <w:p w14:paraId="2CCF6D04">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禁止新建或扩建棉浆粕生产项目；禁止在《关于促进新疆纺织服装产业健康可持续发展的指导意见》（新政发〔2017〕155号）布局要求以外建设印染项目；禁止新建使用禁用的直接染料（冰染色基包括C.I.冰染色基11、C.I.冰染色基48、C.I.冰染色基112、C.I冰染色基113等）进行棉印染精加工的印染项目。</w:t>
            </w:r>
          </w:p>
          <w:p w14:paraId="2627EEA8">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劳动力密集型的非化工企业不得与化工企业混建在同一园区内。</w:t>
            </w:r>
          </w:p>
          <w:p w14:paraId="7EF73077">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在城市规划区边界外2千米（现有城市居民供气项目和钢铁生产企业厂区内配套项目除外）以内，主要河流两岸、高速公路两旁和其他严防污染的食品、药品等企业周边1千米以内禁止建设焦化项目，已在上述区域内投产运营的焦化企业，要根据该区域规划要求，在一定期限内，通过“搬迁、转产”等方式逐步退出。</w:t>
            </w:r>
          </w:p>
          <w:p w14:paraId="44003B57">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w:t>
            </w:r>
            <w:r>
              <w:rPr>
                <w:color w:val="000000" w:themeColor="text1"/>
                <w:sz w:val="21"/>
                <w:szCs w:val="21"/>
                <w14:textFill>
                  <w14:solidFill>
                    <w14:schemeClr w14:val="tx1"/>
                  </w14:solidFill>
                </w14:textFill>
              </w:rPr>
              <w:t>兰炭产能过剩地区不得批准新建兰炭项目，除了在原有基础上进行技改以及煤化工配套的兰炭项目以外，对新建没有后续产业的兰炭项目原则上一律不予审批，另外自治区划定的大气污染联防联控区内严禁建设任何性质焦化项目。</w:t>
            </w:r>
          </w:p>
          <w:p w14:paraId="6F511FD5">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⑥</w:t>
            </w:r>
            <w:r>
              <w:rPr>
                <w:color w:val="000000" w:themeColor="text1"/>
                <w:sz w:val="21"/>
                <w:szCs w:val="21"/>
                <w14:textFill>
                  <w14:solidFill>
                    <w14:schemeClr w14:val="tx1"/>
                  </w14:solidFill>
                </w14:textFill>
              </w:rPr>
              <w:t>城市规划区边界外2千米以内，主要河流两岸、公路、铁路、水路干线两侧和</w:t>
            </w:r>
            <w:r>
              <w:rPr>
                <w:rFonts w:hint="eastAsia"/>
                <w:color w:val="000000" w:themeColor="text1"/>
                <w:sz w:val="21"/>
                <w:szCs w:val="21"/>
                <w:lang w:eastAsia="zh-CN"/>
                <w14:textFill>
                  <w14:solidFill>
                    <w14:schemeClr w14:val="tx1"/>
                  </w14:solidFill>
                </w14:textFill>
              </w:rPr>
              <w:t>其他</w:t>
            </w:r>
            <w:r>
              <w:rPr>
                <w:color w:val="000000" w:themeColor="text1"/>
                <w:sz w:val="21"/>
                <w:szCs w:val="21"/>
                <w14:textFill>
                  <w14:solidFill>
                    <w14:schemeClr w14:val="tx1"/>
                  </w14:solidFill>
                </w14:textFill>
              </w:rPr>
              <w:t>严防污染的食品、药品、精密制造产品等企业周边1千米以内及大气污染防治重点控制区内，禁止新增电石生产装置、电石法聚氯乙烯和烧碱生产装置。</w:t>
            </w:r>
          </w:p>
          <w:p w14:paraId="2FDBCBBD">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⑦</w:t>
            </w:r>
            <w:r>
              <w:rPr>
                <w:color w:val="000000" w:themeColor="text1"/>
                <w:sz w:val="21"/>
                <w:szCs w:val="21"/>
                <w14:textFill>
                  <w14:solidFill>
                    <w14:schemeClr w14:val="tx1"/>
                  </w14:solidFill>
                </w14:textFill>
              </w:rPr>
              <w:t>严格按照规划产业布局入驻企业，结合区域发展定位、开发布局、生态环境保护目标，实行入园企业环保准入审核制度，不符合产业政策、行业准入条件、生态环境准入清单及自治区党委明令禁止的“三高”项目一律不得入驻园区。</w:t>
            </w:r>
          </w:p>
          <w:p w14:paraId="76151F28">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⑧</w:t>
            </w:r>
            <w:r>
              <w:rPr>
                <w:color w:val="000000" w:themeColor="text1"/>
                <w:sz w:val="21"/>
                <w:szCs w:val="21"/>
                <w14:textFill>
                  <w14:solidFill>
                    <w14:schemeClr w14:val="tx1"/>
                  </w14:solidFill>
                </w14:textFill>
              </w:rPr>
              <w:t>南园区不再布局资源型源头加工类产业，禁止新建、扩建以原煤、原油、重油等为原料的化工产业项目，通过产业链引导化工区块向精细化工、新材料产业方向发展。</w:t>
            </w:r>
          </w:p>
          <w:p w14:paraId="2B328B91">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1.2【限制类】</w:t>
            </w:r>
          </w:p>
          <w:p w14:paraId="3C56717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限制类产业有：《指导目录》中的限制类和《清单草案》中的限制准入类（已列入清单禁止类的产业除外），以及与所处重点生态功能区发展方向和开发管制原则不相符合的允许类、鼓励类产业。</w:t>
            </w:r>
          </w:p>
          <w:p w14:paraId="13E60CBE">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劳动力密集型的非化工企业与化工企业应分区建设。</w:t>
            </w:r>
          </w:p>
          <w:p w14:paraId="39B6078A">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合理产业布局，优化资源配置，将污染相对较大的工业项目布局在北区，远离胡杨河市。</w:t>
            </w:r>
          </w:p>
          <w:p w14:paraId="457837F8">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棉浆粕、粘胶纤维项目卫生防护距离通过环境影响评价计算确定，棉纺、印染项目卫生防护距离执行《纺织业卫生防护距离第1部分：棉、化纤纺织及印染精加工业》（GB18080.1）。项目卫生防护距离内不得规划、建设居民区、学校、医院等环境敏感目标，对于已存在的环境敏感目标要采取合理措施加以保护。</w:t>
            </w:r>
          </w:p>
          <w:p w14:paraId="0AF7515B">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w:t>
            </w:r>
            <w:r>
              <w:rPr>
                <w:color w:val="000000" w:themeColor="text1"/>
                <w:sz w:val="21"/>
                <w:szCs w:val="21"/>
                <w14:textFill>
                  <w14:solidFill>
                    <w14:schemeClr w14:val="tx1"/>
                  </w14:solidFill>
                </w14:textFill>
              </w:rPr>
              <w:t>严格电子铝箔企业准入建议南园区内铝箔企业应对标国内先进企业，在酸回收、废水回用环节继续加大技术改造力度，适度延长产业链，使废酸、废水得到充分综合利用，力争南园区内所有电子铝箔企业排水中氯离子、硫酸盐、溶解性总固体等因子稳定满足师市环发〔2021〕7号标准限值要求。</w:t>
            </w:r>
          </w:p>
          <w:p w14:paraId="21E51453">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1.3【鼓励类】</w:t>
            </w:r>
          </w:p>
          <w:p w14:paraId="07035D4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围绕交通运输、轻工纺织、化学建材、电子信息产业等行业积极开发化工新材料；发展精细化工产业。</w:t>
            </w:r>
          </w:p>
          <w:p w14:paraId="0D8A9E85">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加快发展合成纤维。积极发展多功能纤维和生物质纤维。全力发展服装、家纺、针织产业，加快培育产业用纺织品产业。</w:t>
            </w:r>
          </w:p>
          <w:p w14:paraId="31749A3C">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鼓励七师胡杨河市发展煤化工及氯碱化工深加工项目、纺织服装深加工项目和碳、铝、硅基新材料项目。</w:t>
            </w:r>
          </w:p>
          <w:p w14:paraId="3914385B">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支持企业充分利用新疆石油、煤炭和盐3大优势资源向下游产业发展。延伸烯烃、芳烃产业链，围绕交通运输、轻工纺织、化学建材、电子信息产业等行业积极开发化工新材料；发展精细化工产业。有序发展煤制燃料、煤制烯烃、煤制乙二醇、煤制芳烃（甲醇制芳烃）、煤炭提质转化、煤炭综合利用等现代煤化工项目；推进油煤共炼工艺技术的产业化应用。</w:t>
            </w:r>
          </w:p>
          <w:p w14:paraId="16D86987">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1.4化工园区内凡存在重大事故隐患、生产工艺技术落后、不具备安全生产条件的企业，责令停产整顿，整改无望的或整改后仍不能达到要求的企业，应依法予以关闭。</w:t>
            </w:r>
          </w:p>
          <w:p w14:paraId="444DC08E">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优化开发区产业结构和布局，坚持绿色发展。坚持以环境质量改善为核心，遵循环保优先和绿色发展原则，结合区域实际及上位规划，依据所在产业区块功能及环保要求，确保产业区块的完整性和延续性，按照新兵函〔2020〕24号文件批复的主导产业，合理确定开发区产业结构和布局，不同功能区之间应设置必要的缓冲带。</w:t>
            </w:r>
          </w:p>
          <w:p w14:paraId="1359F785">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1.6通过积极转变生产和生活方式、调整能源消费结构、加强资源节约，统筹协调推进</w:t>
            </w:r>
            <w:r>
              <w:rPr>
                <w:rFonts w:hint="eastAsia"/>
                <w:color w:val="000000" w:themeColor="text1"/>
                <w:sz w:val="21"/>
                <w:szCs w:val="21"/>
                <w:lang w:eastAsia="zh-CN"/>
                <w14:textFill>
                  <w14:solidFill>
                    <w14:schemeClr w14:val="tx1"/>
                  </w14:solidFill>
                </w14:textFill>
              </w:rPr>
              <w:t>经济</w:t>
            </w:r>
            <w:r>
              <w:rPr>
                <w:color w:val="000000" w:themeColor="text1"/>
                <w:sz w:val="21"/>
                <w:szCs w:val="21"/>
                <w14:textFill>
                  <w14:solidFill>
                    <w14:schemeClr w14:val="tx1"/>
                  </w14:solidFill>
                </w14:textFill>
              </w:rPr>
              <w:t>社会发展。深入开展应对气候变化工作，切实增强控制温室气体排放能力。促进经济绿色低碳可持续发展，引导重点行业向绿色低碳方向转型，针对开发区规划从碳排放产业规模、结构调整、原料替代、能源利用效率提升、绿色清洁能源利用、废物节能与低碳化处置等方面提出节能、减煤和碳减排建议，推动减污治污减碳协同共治。对于生产技术落后、清洁生产水平偏低和不符合开发区规划的现状企业，采取逐步退出机制。</w:t>
            </w:r>
          </w:p>
          <w:p w14:paraId="2B36ADE8">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引进项目的生产工艺、设备、污染治理技术，以及单位产品能耗、物耗、污染物排放和资源利用效率均需达到同行业国内先进水平，积极推进产业的技术进步和园区循环化改造，构建绿色、低碳园区。开发区水资源利用不得突破《新疆用水总量控制方案》确定的第七师水资源利用上线指标，土地资源利用不得突破第七师国土空间规划确定的新增建设用地规模。</w:t>
            </w:r>
          </w:p>
        </w:tc>
        <w:tc>
          <w:tcPr>
            <w:tcW w:w="546" w:type="pct"/>
            <w:noWrap w:val="0"/>
            <w:vAlign w:val="center"/>
          </w:tcPr>
          <w:p w14:paraId="2EB50F56">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本项目属于</w:t>
            </w:r>
            <w:r>
              <w:rPr>
                <w:rFonts w:hint="eastAsia"/>
                <w:color w:val="000000" w:themeColor="text1"/>
                <w:sz w:val="21"/>
                <w:szCs w:val="21"/>
                <w14:textFill>
                  <w14:solidFill>
                    <w14:schemeClr w14:val="tx1"/>
                  </w14:solidFill>
                </w14:textFill>
              </w:rPr>
              <w:t>C2631化学农药制造</w:t>
            </w:r>
            <w:r>
              <w:rPr>
                <w:color w:val="000000" w:themeColor="text1"/>
                <w:sz w:val="21"/>
                <w:szCs w:val="21"/>
                <w14:textFill>
                  <w14:solidFill>
                    <w14:schemeClr w14:val="tx1"/>
                  </w14:solidFill>
                </w14:textFill>
              </w:rPr>
              <w:t>，位于第七师胡杨河经济技术开发区，位于</w:t>
            </w:r>
            <w:r>
              <w:rPr>
                <w:rFonts w:hint="eastAsia"/>
                <w:color w:val="000000" w:themeColor="text1"/>
                <w:sz w:val="21"/>
                <w:szCs w:val="21"/>
                <w14:textFill>
                  <w14:solidFill>
                    <w14:schemeClr w14:val="tx1"/>
                  </w14:solidFill>
                </w14:textFill>
              </w:rPr>
              <w:t>精细化工、新材料、新型建材产业区</w:t>
            </w:r>
            <w:r>
              <w:rPr>
                <w:color w:val="000000" w:themeColor="text1"/>
                <w:sz w:val="21"/>
                <w:szCs w:val="21"/>
                <w14:textFill>
                  <w14:solidFill>
                    <w14:schemeClr w14:val="tx1"/>
                  </w14:solidFill>
                </w14:textFill>
              </w:rPr>
              <w:t>范围内；项目建设符合《产业结构调整指导目录（2024年本）》相关要求，不属于禁止和限制类行业，属于鼓励类，符合园区发展定位要求。</w:t>
            </w:r>
          </w:p>
        </w:tc>
        <w:tc>
          <w:tcPr>
            <w:tcW w:w="315" w:type="pct"/>
            <w:noWrap w:val="0"/>
            <w:vAlign w:val="center"/>
          </w:tcPr>
          <w:p w14:paraId="1A8CAE85">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DBA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45" w:type="pct"/>
            <w:noWrap w:val="0"/>
            <w:vAlign w:val="center"/>
          </w:tcPr>
          <w:p w14:paraId="1C687DE0">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w:t>
            </w:r>
          </w:p>
          <w:p w14:paraId="23FB01DB">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放管控</w:t>
            </w:r>
          </w:p>
        </w:tc>
        <w:tc>
          <w:tcPr>
            <w:tcW w:w="3892" w:type="pct"/>
            <w:noWrap w:val="0"/>
            <w:vAlign w:val="center"/>
          </w:tcPr>
          <w:p w14:paraId="748C13AD">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（1）废水处理：</w:t>
            </w:r>
          </w:p>
          <w:p w14:paraId="36F90CFB">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企业预处理达标废水经园区污水处理厂和中水厂处理满足中水回用标准，用于企业循环冷却、园区绿化、洒水降尘等。</w:t>
            </w:r>
          </w:p>
          <w:p w14:paraId="01CA711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各企业按清污分流原则建立完善的排水系统和事故池，严禁将高浓度废水稀释排放。选择节水工艺，鼓励一水多用，减少废水排放。</w:t>
            </w:r>
          </w:p>
          <w:p w14:paraId="2169BA3E">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园区废水集中收集，分质处理。强化高盐污水处理处置，制定中水回用及处置去向。污水处理装置具体规模的设置应根据园区建设的进程予以协调，设置中水回用装置，减少外排水量。</w:t>
            </w:r>
          </w:p>
          <w:p w14:paraId="7DD2DE4D">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新入驻企业按照国家和行业及地方排放标准，以及污水处理厂纳管汇入污水处理厂集中处理。</w:t>
            </w:r>
          </w:p>
          <w:p w14:paraId="1096939A">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（2）废气处理：</w:t>
            </w:r>
          </w:p>
          <w:p w14:paraId="2CB8D049">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严格控制有毒和有害气体的排放，并对有毒和有害气体排放实施在线自动监测仪监控。各装置反应尾气排放气、紧急事故排放气、罐区低压排放气等视其情况或送入各装置的火炬系统、焚烧炉或进入燃料气系统回收利用。煤化工项目采用高效的除尘设备。</w:t>
            </w:r>
          </w:p>
          <w:p w14:paraId="3773C58C">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加强对企业的粉尘、烟尘污染治理。开展金属制品业酸雾等工艺废气污染控制与治理，提升行业装备水平，完善废气收集系统，减少无组织排放，做到工艺废气排放浓度和厂界浓度双达标。</w:t>
            </w:r>
          </w:p>
          <w:p w14:paraId="3750F6F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含尘炉气或利用后的再生气必须经除尘处理后达标排放，捕集后的粉尘不能造成二次污染。</w:t>
            </w:r>
          </w:p>
          <w:p w14:paraId="17E50FDE">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南园区、纺织工业园入园企业应执行大气污染物特别排放限值要求。</w:t>
            </w:r>
          </w:p>
          <w:p w14:paraId="11EC0803">
            <w:pPr>
              <w:pStyle w:val="42"/>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（3）固废处理：</w:t>
            </w:r>
          </w:p>
          <w:p w14:paraId="460E2249">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按国标《城市环境卫生设施设置标准》（CJJ27-89）有关标准规定，设置垃圾转运站；为确保垃圾清运率</w:t>
            </w:r>
            <w:r>
              <w:rPr>
                <w:rFonts w:hint="eastAsia"/>
                <w:color w:val="000000" w:themeColor="text1"/>
                <w:sz w:val="21"/>
                <w:szCs w:val="21"/>
                <w:lang w:eastAsia="zh-CN"/>
                <w14:textFill>
                  <w14:solidFill>
                    <w14:schemeClr w14:val="tx1"/>
                  </w14:solidFill>
                </w14:textFill>
              </w:rPr>
              <w:t>达到</w:t>
            </w:r>
            <w:r>
              <w:rPr>
                <w:color w:val="000000" w:themeColor="text1"/>
                <w:sz w:val="21"/>
                <w:szCs w:val="21"/>
                <w14:textFill>
                  <w14:solidFill>
                    <w14:schemeClr w14:val="tx1"/>
                  </w14:solidFill>
                </w14:textFill>
              </w:rPr>
              <w:t>100%，环卫部门应配置必要的设备和运输车辆；进一步推广垃圾袋装化，以便后续垃圾分类处理和综合利用，对垃圾中有用的物质（如废纸、金属、玻璃等）应尽可能回收。</w:t>
            </w:r>
          </w:p>
          <w:p w14:paraId="3EE5033F">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一般固体废物实行综合利用，对不可综合利用的一般固体废物，应送往一般工业固体废物处理处置场所，进行安全填埋处置。园区产生的危险固体废弃物主要包括少量废旧催化剂、高沸物，污水处理装置产生的污泥，外送委托有相关危险废物处理资质的企业进行安全处置。在园区内建设危险废物临时贮存库，并进行防渗和排水设计。按照国家有关规定办理危险废物申报转移的“五联单”手续，并在贮运过程中严格执行危险化学品贮存、运输和监管的有关规定。</w:t>
            </w:r>
          </w:p>
          <w:p w14:paraId="3DC59F32">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大力推进一般工业固体废物的减量化、资源化和无害化工作。园区一般固体废物综合利用率不低于60%，对于无法综合利用的固体废物，在区外建设灰渣填埋场填埋。</w:t>
            </w:r>
          </w:p>
          <w:p w14:paraId="123127EE">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园区开展规划环评，需重点分析园区主要污染物排放对胡杨河市影响，确保胡杨河市环境空气质量稳定达标。</w:t>
            </w:r>
          </w:p>
          <w:p w14:paraId="52A250C3">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w:t>
            </w:r>
            <w:r>
              <w:rPr>
                <w:color w:val="000000" w:themeColor="text1"/>
                <w:sz w:val="21"/>
                <w:szCs w:val="21"/>
                <w14:textFill>
                  <w14:solidFill>
                    <w14:schemeClr w14:val="tx1"/>
                  </w14:solidFill>
                </w14:textFill>
              </w:rPr>
              <w:t>开发区南园区、北园区属于兵团认定的化工园区，因此需严格落实《关于加强重点行业建设项目区域削减措施监督管理的通知》（环办环评〔2020〕36号）的要求，落实重点行业区域削减措施，纳入日常环境管理工作，建立考核机制，并与排污许可制度衔接。</w:t>
            </w:r>
          </w:p>
        </w:tc>
        <w:tc>
          <w:tcPr>
            <w:tcW w:w="546" w:type="pct"/>
            <w:noWrap w:val="0"/>
            <w:vAlign w:val="center"/>
          </w:tcPr>
          <w:p w14:paraId="5CB1EEF5">
            <w:pPr>
              <w:pStyle w:val="42"/>
              <w:rPr>
                <w:rFonts w:hint="default"/>
                <w:color w:val="000000" w:themeColor="text1"/>
                <w:sz w:val="21"/>
                <w:szCs w:val="2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废水</w:t>
            </w:r>
            <w:r>
              <w:rPr>
                <w:color w:val="000000" w:themeColor="text1"/>
                <w:sz w:val="21"/>
                <w:szCs w:val="21"/>
                <w:lang w:val="en-US" w:eastAsia="zh-CN"/>
                <w14:textFill>
                  <w14:solidFill>
                    <w14:schemeClr w14:val="tx1"/>
                  </w14:solidFill>
                </w14:textFill>
              </w:rPr>
              <w:t>经厂区预处理满足《污水综合排放标准》（GB8978-1996）表4三级标准后接入市政污水管网通入园区污水处理厂；</w:t>
            </w:r>
          </w:p>
          <w:p w14:paraId="2D885E0C">
            <w:pPr>
              <w:pStyle w:val="42"/>
              <w:rPr>
                <w:color w:val="000000" w:themeColor="text1"/>
                <w:sz w:val="21"/>
                <w:szCs w:val="2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项目营运期废气经采取本环评提出的各项污染治理措施后，各污染物排放浓度及排放速率均可实现达标排放；</w:t>
            </w:r>
          </w:p>
          <w:p w14:paraId="0D650940">
            <w:pPr>
              <w:pStyle w:val="42"/>
              <w:rPr>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项目产生的危险废物暂存于专用危废贮存库，定期交持有危险废物经营许可证的单位收集、转运和处置；一般固废分类、分区暂存后交有一般工业固废处理能力的单位进行处理或外售；生活垃圾集中收集于垃圾分类收集箱后交由环卫部门统一清运处理。</w:t>
            </w:r>
          </w:p>
        </w:tc>
        <w:tc>
          <w:tcPr>
            <w:tcW w:w="315" w:type="pct"/>
            <w:noWrap w:val="0"/>
            <w:vAlign w:val="center"/>
          </w:tcPr>
          <w:p w14:paraId="1413F7BE">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738B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04" w:hRule="atLeast"/>
          <w:jc w:val="center"/>
        </w:trPr>
        <w:tc>
          <w:tcPr>
            <w:tcW w:w="245" w:type="pct"/>
            <w:noWrap w:val="0"/>
            <w:vAlign w:val="center"/>
          </w:tcPr>
          <w:p w14:paraId="3FD39F8E">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w:t>
            </w:r>
          </w:p>
          <w:p w14:paraId="06796DFB">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防控</w:t>
            </w:r>
          </w:p>
        </w:tc>
        <w:tc>
          <w:tcPr>
            <w:tcW w:w="3892" w:type="pct"/>
            <w:noWrap w:val="0"/>
            <w:vAlign w:val="center"/>
          </w:tcPr>
          <w:p w14:paraId="69313802">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加强对风险概率高环节的定期检查、维护工作；定期对消防、消防报警和自控系统、防雷、防爆、防静电、防洪及管道泄漏等安全措施和自动检测报警系统等技术设施进行检修。化工园区安全生产管理机构应至少每五年开展一次化工园区整体性安全风险评估，评估安全风险，提出消除、降低、管控安全风险的对策措施。</w:t>
            </w:r>
          </w:p>
          <w:p w14:paraId="2D40F7E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建设安全监管和应急救援信息平台，构建基础信息库和风险隐患数据库，至少应接入企业重大危险源（储罐区和库区）实时在线监测监控相关数据，并且化工园区应将接入数据上传至省、市级应急管理部门。</w:t>
            </w:r>
          </w:p>
          <w:p w14:paraId="15921D5F">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处于高安全风险等级的园区，要责令其限期整改提升，整改完成前将实行项目限批，原则上不得新、改、扩建危险化学品建设项目，有效降低安全风险。</w:t>
            </w:r>
          </w:p>
          <w:p w14:paraId="05682EC4">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组织实施精准化安全风险排查评估，分类建立完善安全风险数据库和信息管理系统，区分“红、橙、黄、蓝”四级安全风险，突出一、二级重大危险源和有毒有害、易燃易爆化工企业，按照“一企一策”“一园一策”原则，实施最严格的治理整顿。</w:t>
            </w:r>
          </w:p>
          <w:p w14:paraId="499AF86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⑤</w:t>
            </w:r>
            <w:r>
              <w:rPr>
                <w:color w:val="000000" w:themeColor="text1"/>
                <w:sz w:val="21"/>
                <w:szCs w:val="21"/>
                <w14:textFill>
                  <w14:solidFill>
                    <w14:schemeClr w14:val="tx1"/>
                  </w14:solidFill>
                </w14:textFill>
              </w:rPr>
              <w:t>加强地下水跟踪监测工作，观察地下水的污染动态，提出适时提出保护措施。一旦发生地下水污染，立即启动地下水污染应急预案，采取有效的措施，保证在最短的时间内解决污染事故。</w:t>
            </w:r>
          </w:p>
          <w:p w14:paraId="02ACFEFB">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⑥</w:t>
            </w:r>
            <w:r>
              <w:rPr>
                <w:color w:val="000000" w:themeColor="text1"/>
                <w:sz w:val="21"/>
                <w:szCs w:val="21"/>
                <w14:textFill>
                  <w14:solidFill>
                    <w14:schemeClr w14:val="tx1"/>
                  </w14:solidFill>
                </w14:textFill>
              </w:rPr>
              <w:t>易燃易爆的企业，自身要做好防护工作。</w:t>
            </w:r>
          </w:p>
          <w:p w14:paraId="72E8AB9A">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⑦</w:t>
            </w:r>
            <w:r>
              <w:rPr>
                <w:color w:val="000000" w:themeColor="text1"/>
                <w:sz w:val="21"/>
                <w:szCs w:val="21"/>
                <w14:textFill>
                  <w14:solidFill>
                    <w14:schemeClr w14:val="tx1"/>
                  </w14:solidFill>
                </w14:textFill>
              </w:rPr>
              <w:t>企业存在重大安全隐患的，必须立即消除，消除前或消除过程中无法保证安全的，属地应急管理部门应依法责令暂时停产停业或者停止使用相关设施、设备。</w:t>
            </w:r>
          </w:p>
          <w:p w14:paraId="7747B252">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⑧</w:t>
            </w:r>
            <w:r>
              <w:rPr>
                <w:color w:val="000000" w:themeColor="text1"/>
                <w:sz w:val="21"/>
                <w:szCs w:val="21"/>
                <w14:textFill>
                  <w14:solidFill>
                    <w14:schemeClr w14:val="tx1"/>
                  </w14:solidFill>
                </w14:textFill>
              </w:rPr>
              <w:t>保障城市人居环境安全和生态环境安全。配备应急物资，建设化工园区事故水池，定期开展应急演习，不断完善环境风险应急预案，防控开发区储运中可能引发的环境风险。</w:t>
            </w:r>
          </w:p>
          <w:p w14:paraId="1E1A8655">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⑨</w:t>
            </w:r>
            <w:r>
              <w:rPr>
                <w:color w:val="000000" w:themeColor="text1"/>
                <w:sz w:val="21"/>
                <w:szCs w:val="21"/>
                <w14:textFill>
                  <w14:solidFill>
                    <w14:schemeClr w14:val="tx1"/>
                  </w14:solidFill>
                </w14:textFill>
              </w:rPr>
              <w:t>各企业应按照《大气有害物质无组织排放卫生防护距离推导技术导则》（GB/T39499-2020）核定企业卫生防护距离，根据其环境影响评价文件的要求设置相应的大气环境防护距离，在大气环境防护距离和卫生防护距离内不应有长期居住的人群。</w:t>
            </w:r>
          </w:p>
          <w:p w14:paraId="0FF97286">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⑩</w:t>
            </w:r>
            <w:r>
              <w:rPr>
                <w:color w:val="000000" w:themeColor="text1"/>
                <w:sz w:val="21"/>
                <w:szCs w:val="21"/>
                <w14:textFill>
                  <w14:solidFill>
                    <w14:schemeClr w14:val="tx1"/>
                  </w14:solidFill>
                </w14:textFill>
              </w:rPr>
              <w:t>加强交通干线的路面防护和两侧绿化隔离，改善路面条件和清洁卫生。在工业用地周边加大绿化隔离带的建设，特别是工业用地和大气环境保护目标之间的绿化隔离带建设。</w:t>
            </w:r>
          </w:p>
        </w:tc>
        <w:tc>
          <w:tcPr>
            <w:tcW w:w="546" w:type="pct"/>
            <w:noWrap w:val="0"/>
            <w:vAlign w:val="center"/>
          </w:tcPr>
          <w:p w14:paraId="38A622A1">
            <w:pPr>
              <w:pStyle w:val="42"/>
              <w:rPr>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项目建成后加强风险管理，及时配备应急物资；环评建议项目取得批复后尽快开展突发环境事件应急预案编制及备案工作，并定期开展应急演习，避免风险事故的发生。</w:t>
            </w:r>
            <w:r>
              <w:rPr>
                <w:color w:val="000000" w:themeColor="text1"/>
                <w:sz w:val="21"/>
                <w:szCs w:val="21"/>
                <w:lang w:val="en-US"/>
                <w14:textFill>
                  <w14:solidFill>
                    <w14:schemeClr w14:val="tx1"/>
                  </w14:solidFill>
                </w14:textFill>
              </w:rPr>
              <w:t>项目应急预案与园区预案保持联动。</w:t>
            </w:r>
          </w:p>
        </w:tc>
        <w:tc>
          <w:tcPr>
            <w:tcW w:w="315" w:type="pct"/>
            <w:noWrap w:val="0"/>
            <w:vAlign w:val="center"/>
          </w:tcPr>
          <w:p w14:paraId="5455F2AC">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A24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245" w:type="pct"/>
            <w:noWrap w:val="0"/>
            <w:vAlign w:val="center"/>
          </w:tcPr>
          <w:p w14:paraId="26044B6C">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资源利用</w:t>
            </w:r>
          </w:p>
          <w:p w14:paraId="37A60169">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效率</w:t>
            </w:r>
          </w:p>
        </w:tc>
        <w:tc>
          <w:tcPr>
            <w:tcW w:w="3892" w:type="pct"/>
            <w:noWrap w:val="0"/>
            <w:vAlign w:val="center"/>
          </w:tcPr>
          <w:p w14:paraId="7880790D">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color w:val="000000" w:themeColor="text1"/>
                <w:sz w:val="21"/>
                <w:szCs w:val="21"/>
                <w14:textFill>
                  <w14:solidFill>
                    <w14:schemeClr w14:val="tx1"/>
                  </w14:solidFill>
                </w14:textFill>
              </w:rPr>
              <w:t>到2025年，工业固体废物综合利用率达到70%，工业用水重复利用率达到75%。</w:t>
            </w:r>
          </w:p>
          <w:p w14:paraId="72906B87">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w:t>
            </w:r>
            <w:r>
              <w:rPr>
                <w:color w:val="000000" w:themeColor="text1"/>
                <w:sz w:val="21"/>
                <w:szCs w:val="21"/>
                <w14:textFill>
                  <w14:solidFill>
                    <w14:schemeClr w14:val="tx1"/>
                  </w14:solidFill>
                </w14:textFill>
              </w:rPr>
              <w:t>合理利用土地，提高土地使用效率。</w:t>
            </w:r>
          </w:p>
          <w:p w14:paraId="58422BF0">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③</w:t>
            </w:r>
            <w:r>
              <w:rPr>
                <w:color w:val="000000" w:themeColor="text1"/>
                <w:sz w:val="21"/>
                <w:szCs w:val="21"/>
                <w14:textFill>
                  <w14:solidFill>
                    <w14:schemeClr w14:val="tx1"/>
                  </w14:solidFill>
                </w14:textFill>
              </w:rPr>
              <w:t>加大环境保护政策实施力度，到2035年使园区工业用水循环利用率达到80%。</w:t>
            </w:r>
          </w:p>
          <w:p w14:paraId="3BD7734E">
            <w:pPr>
              <w:pStyle w:val="42"/>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④</w:t>
            </w:r>
            <w:r>
              <w:rPr>
                <w:color w:val="000000" w:themeColor="text1"/>
                <w:sz w:val="21"/>
                <w:szCs w:val="21"/>
                <w14:textFill>
                  <w14:solidFill>
                    <w14:schemeClr w14:val="tx1"/>
                  </w14:solidFill>
                </w14:textFill>
              </w:rPr>
              <w:t>经济技术开发区内的所有企业必须自行进行污水预处理，之后排入经济技术开发区污水处理厂做进一步处理，出水通过回用水系统用作区内各企业的循环冷却水系统的补充水及绿化和冲洗用水，再生水回用率不低于70%。</w:t>
            </w:r>
          </w:p>
        </w:tc>
        <w:tc>
          <w:tcPr>
            <w:tcW w:w="546" w:type="pct"/>
            <w:noWrap w:val="0"/>
            <w:vAlign w:val="center"/>
          </w:tcPr>
          <w:p w14:paraId="37EB185F">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本项目运营期间主要利用资源为水、电，区域资源充足，有保障，不会突破资源利用上限。</w:t>
            </w:r>
          </w:p>
        </w:tc>
        <w:tc>
          <w:tcPr>
            <w:tcW w:w="315" w:type="pct"/>
            <w:noWrap w:val="0"/>
            <w:vAlign w:val="center"/>
          </w:tcPr>
          <w:p w14:paraId="17786156">
            <w:pPr>
              <w:pStyle w:val="4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0221191F">
      <w:pPr>
        <w:pStyle w:val="18"/>
        <w:rPr>
          <w:snapToGrid w:val="0"/>
        </w:rPr>
      </w:pPr>
      <w:r>
        <w:rPr>
          <w:snapToGrid w:val="0"/>
        </w:rPr>
        <w:t>综上，本项目在空间布局约束、污染物排放管控、环境风险防控、资源开发效率等方面均符合</w:t>
      </w:r>
      <w:r>
        <w:rPr>
          <w:rFonts w:hint="eastAsia"/>
          <w:snapToGrid w:val="0"/>
        </w:rPr>
        <w:t>《关于公布</w:t>
      </w:r>
      <w:r>
        <w:rPr>
          <w:rFonts w:hint="eastAsia"/>
          <w:snapToGrid w:val="0"/>
          <w:lang w:eastAsia="zh-CN"/>
        </w:rPr>
        <w:t>〈</w:t>
      </w:r>
      <w:r>
        <w:rPr>
          <w:rFonts w:hint="eastAsia"/>
          <w:snapToGrid w:val="0"/>
        </w:rPr>
        <w:t>新疆生产建设兵团第七师胡杨河市生态环境分区管控更新成果（2023版）</w:t>
      </w:r>
      <w:r>
        <w:rPr>
          <w:rFonts w:hint="eastAsia"/>
          <w:snapToGrid w:val="0"/>
          <w:lang w:eastAsia="zh-CN"/>
        </w:rPr>
        <w:t>〉</w:t>
      </w:r>
      <w:r>
        <w:rPr>
          <w:rFonts w:hint="eastAsia"/>
          <w:snapToGrid w:val="0"/>
        </w:rPr>
        <w:t>的通知》（师市环委办发〔2024〕2号）</w:t>
      </w:r>
      <w:r>
        <w:rPr>
          <w:snapToGrid w:val="0"/>
        </w:rPr>
        <w:t>要求，符合项目所在区域环境准入的相关要求。</w:t>
      </w:r>
    </w:p>
    <w:p w14:paraId="0F282F2C">
      <w:pPr>
        <w:pStyle w:val="18"/>
        <w:rPr>
          <w:snapToGrid w:val="0"/>
        </w:rPr>
        <w:sectPr>
          <w:pgSz w:w="16838" w:h="11906" w:orient="landscape"/>
          <w:pgMar w:top="1531" w:right="1701" w:bottom="1531" w:left="170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967"/>
      </w:tblGrid>
      <w:tr w14:paraId="74DE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3CDFEE5A">
            <w:pPr>
              <w:pStyle w:val="18"/>
              <w:ind w:firstLine="0" w:firstLineChars="0"/>
              <w:jc w:val="center"/>
              <w:rPr>
                <w:snapToGrid w:val="0"/>
                <w:color w:val="auto"/>
              </w:rPr>
            </w:pPr>
            <w:r>
              <w:rPr>
                <w:snapToGrid w:val="0"/>
                <w:color w:val="auto"/>
              </w:rPr>
              <w:t>其他符合性分析</w:t>
            </w:r>
          </w:p>
        </w:tc>
        <w:tc>
          <w:tcPr>
            <w:tcW w:w="6967" w:type="dxa"/>
            <w:vAlign w:val="center"/>
          </w:tcPr>
          <w:p w14:paraId="46F13B1D">
            <w:pPr>
              <w:pStyle w:val="18"/>
              <w:ind w:firstLine="422"/>
              <w:rPr>
                <w:b/>
                <w:bCs/>
                <w:color w:val="auto"/>
              </w:rPr>
            </w:pPr>
            <w:r>
              <w:rPr>
                <w:rFonts w:hint="eastAsia"/>
                <w:b/>
                <w:bCs/>
                <w:color w:val="auto"/>
              </w:rPr>
              <w:t>2</w:t>
            </w:r>
            <w:r>
              <w:rPr>
                <w:rFonts w:hint="eastAsia"/>
                <w:b/>
                <w:bCs/>
                <w:color w:val="auto"/>
                <w:lang w:eastAsia="zh-CN"/>
              </w:rPr>
              <w:t>、</w:t>
            </w:r>
            <w:r>
              <w:rPr>
                <w:rFonts w:hint="eastAsia"/>
                <w:b/>
                <w:bCs/>
                <w:color w:val="auto"/>
              </w:rPr>
              <w:t>与相关法律法规政策的符合性分析</w:t>
            </w:r>
          </w:p>
          <w:p w14:paraId="1106062F">
            <w:pPr>
              <w:pStyle w:val="18"/>
              <w:ind w:firstLine="422"/>
              <w:rPr>
                <w:b/>
                <w:bCs/>
                <w:color w:val="auto"/>
              </w:rPr>
            </w:pPr>
            <w:r>
              <w:rPr>
                <w:b/>
                <w:bCs/>
                <w:color w:val="auto"/>
              </w:rPr>
              <w:t>2.1产业政策符合性</w:t>
            </w:r>
          </w:p>
          <w:p w14:paraId="43250E2B">
            <w:pPr>
              <w:pStyle w:val="18"/>
              <w:rPr>
                <w:rFonts w:hint="eastAsia"/>
                <w:color w:val="auto"/>
              </w:rPr>
            </w:pPr>
            <w:r>
              <w:rPr>
                <w:rFonts w:hint="eastAsia"/>
                <w:b/>
                <w:bCs/>
                <w:color w:val="auto"/>
              </w:rPr>
              <w:t>本项目</w:t>
            </w:r>
            <w:r>
              <w:rPr>
                <w:rFonts w:hint="eastAsia"/>
                <w:b/>
                <w:bCs/>
                <w:color w:val="auto"/>
                <w:lang w:val="en-US" w:eastAsia="zh-CN"/>
              </w:rPr>
              <w:t>为农药的复配</w:t>
            </w:r>
            <w:r>
              <w:rPr>
                <w:rFonts w:hint="eastAsia"/>
                <w:color w:val="auto"/>
              </w:rPr>
              <w:t>，对照《国民经济行业分类》（GB/T4754-2017），项目属于“C2631化学农药制造”</w:t>
            </w:r>
            <w:r>
              <w:rPr>
                <w:rFonts w:hint="eastAsia"/>
                <w:color w:val="auto"/>
                <w:lang w:eastAsia="zh-CN"/>
              </w:rPr>
              <w:t>，</w:t>
            </w:r>
            <w:r>
              <w:rPr>
                <w:rFonts w:hint="eastAsia"/>
                <w:color w:val="auto"/>
              </w:rPr>
              <w:t>根据国家发展和改革委员会发布的《产业结构调整指导目录（2024年本）》，本项目不属于鼓励类、限制类、淘汰类项目，为允许建设的项目；不属于《市场准入负面清单（2025年版）》（发改体改规〔2025〕466号）中的禁止类项目。</w:t>
            </w:r>
          </w:p>
          <w:p w14:paraId="38384790">
            <w:pPr>
              <w:pStyle w:val="18"/>
              <w:rPr>
                <w:color w:val="auto"/>
              </w:rPr>
            </w:pPr>
            <w:r>
              <w:rPr>
                <w:color w:val="auto"/>
              </w:rPr>
              <w:t>20</w:t>
            </w:r>
            <w:r>
              <w:rPr>
                <w:rFonts w:hint="eastAsia"/>
                <w:color w:val="auto"/>
                <w:lang w:val="en-US" w:eastAsia="zh-CN"/>
              </w:rPr>
              <w:t>25</w:t>
            </w:r>
            <w:r>
              <w:rPr>
                <w:color w:val="auto"/>
              </w:rPr>
              <w:t>年</w:t>
            </w:r>
            <w:r>
              <w:rPr>
                <w:rFonts w:hint="eastAsia"/>
                <w:color w:val="auto"/>
                <w:lang w:val="en-US" w:eastAsia="zh-CN"/>
              </w:rPr>
              <w:t>12</w:t>
            </w:r>
            <w:r>
              <w:rPr>
                <w:color w:val="auto"/>
              </w:rPr>
              <w:t>月</w:t>
            </w:r>
            <w:r>
              <w:rPr>
                <w:rFonts w:hint="eastAsia"/>
                <w:color w:val="auto"/>
                <w:lang w:val="en-US" w:eastAsia="zh-CN"/>
              </w:rPr>
              <w:t>16</w:t>
            </w:r>
            <w:r>
              <w:rPr>
                <w:color w:val="auto"/>
              </w:rPr>
              <w:t>日，</w:t>
            </w:r>
            <w:r>
              <w:rPr>
                <w:rFonts w:hint="eastAsia"/>
                <w:color w:val="auto"/>
              </w:rPr>
              <w:t>胡杨河经济技术开发区经济</w:t>
            </w:r>
            <w:r>
              <w:rPr>
                <w:rFonts w:hint="eastAsia"/>
                <w:color w:val="auto"/>
                <w:lang w:eastAsia="zh-CN"/>
              </w:rPr>
              <w:t>发展局</w:t>
            </w:r>
            <w:r>
              <w:rPr>
                <w:rFonts w:hint="eastAsia"/>
                <w:color w:val="auto"/>
              </w:rPr>
              <w:t>对本项目进行备案</w:t>
            </w:r>
            <w:r>
              <w:rPr>
                <w:rFonts w:hint="eastAsia"/>
                <w:color w:val="auto"/>
                <w:lang w:eastAsia="zh-CN"/>
              </w:rPr>
              <w:t>（</w:t>
            </w:r>
            <w:r>
              <w:rPr>
                <w:rFonts w:hint="eastAsia"/>
                <w:color w:val="auto"/>
                <w:lang w:val="en-US" w:eastAsia="zh-CN"/>
              </w:rPr>
              <w:t>经发局备〔2024〕12号</w:t>
            </w:r>
            <w:r>
              <w:rPr>
                <w:rFonts w:hint="eastAsia"/>
                <w:color w:val="auto"/>
                <w:lang w:eastAsia="zh-CN"/>
              </w:rPr>
              <w:t>）</w:t>
            </w:r>
            <w:r>
              <w:rPr>
                <w:rFonts w:hint="eastAsia"/>
                <w:color w:val="auto"/>
              </w:rPr>
              <w:t>，</w:t>
            </w:r>
            <w:r>
              <w:rPr>
                <w:color w:val="auto"/>
              </w:rPr>
              <w:t>同意建设本项目。</w:t>
            </w:r>
          </w:p>
          <w:p w14:paraId="0276374F">
            <w:pPr>
              <w:pStyle w:val="18"/>
              <w:rPr>
                <w:color w:val="auto"/>
              </w:rPr>
            </w:pPr>
            <w:r>
              <w:rPr>
                <w:color w:val="auto"/>
              </w:rPr>
              <w:t>因此，本项目建设符合国家现行产业政策要求。</w:t>
            </w:r>
          </w:p>
          <w:p w14:paraId="4826B776">
            <w:pPr>
              <w:pStyle w:val="18"/>
              <w:ind w:firstLine="422"/>
              <w:rPr>
                <w:b/>
                <w:bCs/>
                <w:color w:val="auto"/>
              </w:rPr>
            </w:pPr>
            <w:r>
              <w:rPr>
                <w:rFonts w:hint="eastAsia"/>
                <w:b/>
                <w:bCs/>
                <w:color w:val="auto"/>
              </w:rPr>
              <w:t>2.</w:t>
            </w:r>
            <w:r>
              <w:rPr>
                <w:rFonts w:hint="eastAsia"/>
                <w:b/>
                <w:bCs/>
                <w:color w:val="auto"/>
                <w:lang w:val="en-US" w:eastAsia="zh-CN"/>
              </w:rPr>
              <w:t>2</w:t>
            </w:r>
            <w:r>
              <w:rPr>
                <w:rFonts w:hint="eastAsia"/>
                <w:b/>
                <w:bCs/>
                <w:color w:val="auto"/>
              </w:rPr>
              <w:t>与</w:t>
            </w:r>
            <w:r>
              <w:rPr>
                <w:rFonts w:hint="eastAsia"/>
                <w:b/>
                <w:bCs/>
                <w:color w:val="auto"/>
                <w:lang w:eastAsia="zh-CN"/>
              </w:rPr>
              <w:t>大气污染防治</w:t>
            </w:r>
            <w:r>
              <w:rPr>
                <w:rFonts w:hint="eastAsia"/>
                <w:b/>
                <w:bCs/>
                <w:color w:val="auto"/>
              </w:rPr>
              <w:t>相关政策符合性分析</w:t>
            </w:r>
          </w:p>
          <w:p w14:paraId="3208DE29">
            <w:pPr>
              <w:pStyle w:val="18"/>
              <w:rPr>
                <w:color w:val="auto"/>
              </w:rPr>
            </w:pPr>
            <w:r>
              <w:rPr>
                <w:color w:val="auto"/>
              </w:rPr>
              <w:t>本项目与大气污染防治相关法规、规范符合性分析见下表所示。</w:t>
            </w:r>
          </w:p>
          <w:p w14:paraId="6B79BDD5">
            <w:pPr>
              <w:autoSpaceDE w:val="0"/>
              <w:autoSpaceDN w:val="0"/>
              <w:adjustRightInd w:val="0"/>
              <w:snapToGrid w:val="0"/>
              <w:jc w:val="center"/>
              <w:rPr>
                <w:b/>
                <w:bCs/>
                <w:color w:val="auto"/>
                <w:kern w:val="0"/>
                <w:szCs w:val="21"/>
              </w:rPr>
            </w:pPr>
            <w:r>
              <w:rPr>
                <w:rFonts w:hint="eastAsia"/>
                <w:b/>
                <w:bCs/>
                <w:color w:val="auto"/>
                <w:kern w:val="0"/>
                <w:szCs w:val="21"/>
              </w:rPr>
              <w:t>表1-</w:t>
            </w:r>
            <w:r>
              <w:rPr>
                <w:b/>
                <w:bCs/>
                <w:color w:val="auto"/>
                <w:kern w:val="0"/>
                <w:szCs w:val="21"/>
              </w:rPr>
              <w:t>5</w:t>
            </w:r>
            <w:r>
              <w:rPr>
                <w:rFonts w:hint="eastAsia"/>
                <w:b/>
                <w:bCs/>
                <w:color w:val="auto"/>
                <w:kern w:val="0"/>
                <w:szCs w:val="21"/>
              </w:rPr>
              <w:t>本项目与废气污染防治政策符合性分析</w:t>
            </w:r>
          </w:p>
          <w:tbl>
            <w:tblPr>
              <w:tblStyle w:val="19"/>
              <w:tblW w:w="6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10"/>
              <w:gridCol w:w="2758"/>
              <w:gridCol w:w="1915"/>
              <w:gridCol w:w="365"/>
            </w:tblGrid>
            <w:tr w14:paraId="214B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Align w:val="center"/>
                </w:tcPr>
                <w:p w14:paraId="2E20264C">
                  <w:pPr>
                    <w:widowControl/>
                    <w:jc w:val="center"/>
                    <w:textAlignment w:val="center"/>
                    <w:rPr>
                      <w:color w:val="auto"/>
                      <w:kern w:val="0"/>
                      <w:szCs w:val="21"/>
                      <w:lang w:bidi="ar"/>
                    </w:rPr>
                  </w:pPr>
                  <w:r>
                    <w:rPr>
                      <w:color w:val="auto"/>
                      <w:kern w:val="0"/>
                      <w:szCs w:val="21"/>
                      <w:lang w:bidi="ar"/>
                    </w:rPr>
                    <w:t>大气污染防治规划文件</w:t>
                  </w:r>
                </w:p>
              </w:tc>
              <w:tc>
                <w:tcPr>
                  <w:tcW w:w="2819" w:type="pct"/>
                  <w:gridSpan w:val="2"/>
                  <w:vAlign w:val="center"/>
                </w:tcPr>
                <w:p w14:paraId="3AD0A9DD">
                  <w:pPr>
                    <w:widowControl/>
                    <w:jc w:val="center"/>
                    <w:textAlignment w:val="center"/>
                    <w:rPr>
                      <w:color w:val="auto"/>
                      <w:kern w:val="0"/>
                      <w:szCs w:val="21"/>
                      <w:lang w:bidi="ar"/>
                    </w:rPr>
                  </w:pPr>
                  <w:r>
                    <w:rPr>
                      <w:color w:val="auto"/>
                      <w:kern w:val="0"/>
                      <w:szCs w:val="21"/>
                      <w:lang w:bidi="ar"/>
                    </w:rPr>
                    <w:t>规划要求</w:t>
                  </w:r>
                </w:p>
              </w:tc>
              <w:tc>
                <w:tcPr>
                  <w:tcW w:w="1395" w:type="pct"/>
                  <w:vAlign w:val="center"/>
                </w:tcPr>
                <w:p w14:paraId="36BC2242">
                  <w:pPr>
                    <w:widowControl/>
                    <w:jc w:val="center"/>
                    <w:textAlignment w:val="center"/>
                    <w:rPr>
                      <w:color w:val="auto"/>
                      <w:kern w:val="0"/>
                      <w:szCs w:val="21"/>
                      <w:lang w:bidi="ar"/>
                    </w:rPr>
                  </w:pPr>
                  <w:r>
                    <w:rPr>
                      <w:color w:val="auto"/>
                      <w:kern w:val="0"/>
                      <w:szCs w:val="21"/>
                      <w:lang w:bidi="ar"/>
                    </w:rPr>
                    <w:t>本项目情况</w:t>
                  </w:r>
                </w:p>
              </w:tc>
              <w:tc>
                <w:tcPr>
                  <w:tcW w:w="266" w:type="pct"/>
                  <w:vAlign w:val="center"/>
                </w:tcPr>
                <w:p w14:paraId="4C3C6664">
                  <w:pPr>
                    <w:widowControl/>
                    <w:jc w:val="center"/>
                    <w:textAlignment w:val="center"/>
                    <w:rPr>
                      <w:color w:val="auto"/>
                      <w:kern w:val="0"/>
                      <w:szCs w:val="21"/>
                      <w:lang w:bidi="ar"/>
                    </w:rPr>
                  </w:pPr>
                  <w:r>
                    <w:rPr>
                      <w:color w:val="auto"/>
                      <w:kern w:val="0"/>
                      <w:szCs w:val="21"/>
                      <w:lang w:bidi="ar"/>
                    </w:rPr>
                    <w:t>符合性</w:t>
                  </w:r>
                </w:p>
              </w:tc>
            </w:tr>
            <w:tr w14:paraId="4340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restart"/>
                  <w:vAlign w:val="center"/>
                </w:tcPr>
                <w:p w14:paraId="41E4B08D">
                  <w:pPr>
                    <w:widowControl/>
                    <w:jc w:val="center"/>
                    <w:textAlignment w:val="center"/>
                    <w:rPr>
                      <w:color w:val="auto"/>
                      <w:kern w:val="0"/>
                      <w:szCs w:val="21"/>
                      <w:lang w:bidi="ar"/>
                    </w:rPr>
                  </w:pPr>
                  <w:r>
                    <w:rPr>
                      <w:rFonts w:hint="eastAsia"/>
                      <w:color w:val="auto"/>
                      <w:kern w:val="0"/>
                      <w:szCs w:val="21"/>
                      <w:lang w:bidi="ar"/>
                    </w:rPr>
                    <w:t>《国务院关于印发大气污染防治行动计划的通知》国发〔2013〕37号</w:t>
                  </w:r>
                </w:p>
              </w:tc>
              <w:tc>
                <w:tcPr>
                  <w:tcW w:w="2819" w:type="pct"/>
                  <w:gridSpan w:val="2"/>
                  <w:vAlign w:val="center"/>
                </w:tcPr>
                <w:p w14:paraId="0662FC45">
                  <w:pPr>
                    <w:widowControl/>
                    <w:jc w:val="center"/>
                    <w:textAlignment w:val="center"/>
                    <w:rPr>
                      <w:color w:val="auto"/>
                      <w:kern w:val="0"/>
                      <w:szCs w:val="21"/>
                      <w:lang w:bidi="ar"/>
                    </w:rPr>
                  </w:pPr>
                  <w:r>
                    <w:rPr>
                      <w:rFonts w:hint="eastAsia"/>
                      <w:color w:val="auto"/>
                      <w:kern w:val="0"/>
                      <w:szCs w:val="21"/>
                      <w:lang w:bidi="ar"/>
                    </w:rPr>
                    <w:t>（一）深化面源污染治理。综合整治城市扬尘。加强施工扬尘监管，积极推进绿色施工，建设工程施工现场应封闭式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1395" w:type="pct"/>
                  <w:vAlign w:val="center"/>
                </w:tcPr>
                <w:p w14:paraId="7E79ECE2">
                  <w:pPr>
                    <w:widowControl/>
                    <w:jc w:val="center"/>
                    <w:textAlignment w:val="center"/>
                    <w:rPr>
                      <w:rFonts w:hint="default"/>
                      <w:color w:val="auto"/>
                      <w:kern w:val="0"/>
                      <w:szCs w:val="21"/>
                      <w:lang w:val="en-US" w:bidi="ar"/>
                    </w:rPr>
                  </w:pPr>
                  <w:r>
                    <w:rPr>
                      <w:rFonts w:hint="eastAsia"/>
                      <w:color w:val="auto"/>
                      <w:kern w:val="0"/>
                      <w:szCs w:val="21"/>
                      <w:lang w:bidi="ar"/>
                    </w:rPr>
                    <w:t>本项目</w:t>
                  </w:r>
                  <w:r>
                    <w:rPr>
                      <w:rFonts w:hint="eastAsia"/>
                      <w:color w:val="auto"/>
                      <w:kern w:val="0"/>
                      <w:szCs w:val="21"/>
                      <w:lang w:val="en-US" w:eastAsia="zh-CN" w:bidi="ar"/>
                    </w:rPr>
                    <w:t>施工期严格按照要求对厂区施工进行管理，减少扬尘影响，施工场地</w:t>
                  </w:r>
                  <w:r>
                    <w:rPr>
                      <w:rFonts w:hint="eastAsia"/>
                      <w:color w:val="auto"/>
                      <w:kern w:val="0"/>
                      <w:szCs w:val="21"/>
                      <w:lang w:bidi="ar"/>
                    </w:rPr>
                    <w:t>封闭式设置围挡墙</w:t>
                  </w:r>
                </w:p>
              </w:tc>
              <w:tc>
                <w:tcPr>
                  <w:tcW w:w="266" w:type="pct"/>
                  <w:vAlign w:val="center"/>
                </w:tcPr>
                <w:p w14:paraId="22AF954F">
                  <w:pPr>
                    <w:widowControl/>
                    <w:jc w:val="center"/>
                    <w:textAlignment w:val="center"/>
                    <w:rPr>
                      <w:color w:val="auto"/>
                      <w:kern w:val="0"/>
                      <w:szCs w:val="21"/>
                      <w:lang w:bidi="ar"/>
                    </w:rPr>
                  </w:pPr>
                  <w:r>
                    <w:rPr>
                      <w:rFonts w:hint="eastAsia"/>
                      <w:color w:val="auto"/>
                      <w:kern w:val="0"/>
                      <w:szCs w:val="21"/>
                      <w:lang w:bidi="ar"/>
                    </w:rPr>
                    <w:t>符合</w:t>
                  </w:r>
                </w:p>
              </w:tc>
            </w:tr>
            <w:tr w14:paraId="3C0F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2A419CDD">
                  <w:pPr>
                    <w:widowControl/>
                    <w:jc w:val="center"/>
                    <w:textAlignment w:val="center"/>
                    <w:rPr>
                      <w:color w:val="auto"/>
                      <w:kern w:val="0"/>
                      <w:szCs w:val="21"/>
                      <w:lang w:bidi="ar"/>
                    </w:rPr>
                  </w:pPr>
                </w:p>
              </w:tc>
              <w:tc>
                <w:tcPr>
                  <w:tcW w:w="809" w:type="pct"/>
                  <w:vMerge w:val="restart"/>
                  <w:vAlign w:val="center"/>
                </w:tcPr>
                <w:p w14:paraId="1F80030B">
                  <w:pPr>
                    <w:widowControl/>
                    <w:jc w:val="center"/>
                    <w:textAlignment w:val="center"/>
                    <w:rPr>
                      <w:color w:val="auto"/>
                      <w:kern w:val="0"/>
                      <w:szCs w:val="21"/>
                      <w:lang w:bidi="ar"/>
                    </w:rPr>
                  </w:pPr>
                  <w:r>
                    <w:rPr>
                      <w:rFonts w:hint="eastAsia"/>
                      <w:color w:val="auto"/>
                      <w:kern w:val="0"/>
                      <w:szCs w:val="21"/>
                      <w:lang w:bidi="ar"/>
                    </w:rPr>
                    <w:t>（二）调整优化产业结构，推动产业转型升级</w:t>
                  </w:r>
                </w:p>
              </w:tc>
              <w:tc>
                <w:tcPr>
                  <w:tcW w:w="2010" w:type="pct"/>
                  <w:vAlign w:val="center"/>
                </w:tcPr>
                <w:p w14:paraId="26D8899F">
                  <w:pPr>
                    <w:widowControl/>
                    <w:jc w:val="center"/>
                    <w:textAlignment w:val="center"/>
                    <w:rPr>
                      <w:color w:val="auto"/>
                      <w:kern w:val="0"/>
                      <w:szCs w:val="21"/>
                      <w:lang w:bidi="ar"/>
                    </w:rPr>
                  </w:pPr>
                  <w:r>
                    <w:rPr>
                      <w:rFonts w:hint="eastAsia"/>
                      <w:color w:val="auto"/>
                      <w:kern w:val="0"/>
                      <w:szCs w:val="21"/>
                      <w:lang w:bidi="ar"/>
                    </w:rPr>
                    <w:t>严控“两高”行业新增产能。修订高耗能、高污染和资源性行业准入条件，明确资源能源节约和污染物排放等指标。有条件的地区要制定符合当地功能定位、严于国家要求的产业准入目录。严格控制“两高”行业新增产能，新、改、扩建项目要实行产能等量或减量置换</w:t>
                  </w:r>
                </w:p>
              </w:tc>
              <w:tc>
                <w:tcPr>
                  <w:tcW w:w="1395" w:type="pct"/>
                  <w:vAlign w:val="center"/>
                </w:tcPr>
                <w:p w14:paraId="69D31044">
                  <w:pPr>
                    <w:widowControl/>
                    <w:jc w:val="center"/>
                    <w:textAlignment w:val="center"/>
                    <w:rPr>
                      <w:color w:val="auto"/>
                      <w:kern w:val="0"/>
                      <w:szCs w:val="21"/>
                      <w:lang w:bidi="ar"/>
                    </w:rPr>
                  </w:pPr>
                  <w:r>
                    <w:rPr>
                      <w:rFonts w:hint="eastAsia"/>
                      <w:color w:val="auto"/>
                      <w:kern w:val="0"/>
                      <w:szCs w:val="21"/>
                      <w:lang w:bidi="ar"/>
                    </w:rPr>
                    <w:t>本项目不涉及高耗能、高污染设备等，不属于“两高”行业</w:t>
                  </w:r>
                </w:p>
              </w:tc>
              <w:tc>
                <w:tcPr>
                  <w:tcW w:w="266" w:type="pct"/>
                  <w:vAlign w:val="center"/>
                </w:tcPr>
                <w:p w14:paraId="38C42698">
                  <w:pPr>
                    <w:widowControl/>
                    <w:jc w:val="center"/>
                    <w:textAlignment w:val="center"/>
                    <w:rPr>
                      <w:color w:val="auto"/>
                      <w:kern w:val="0"/>
                      <w:szCs w:val="21"/>
                      <w:lang w:bidi="ar"/>
                    </w:rPr>
                  </w:pPr>
                  <w:r>
                    <w:rPr>
                      <w:rFonts w:hint="eastAsia"/>
                      <w:color w:val="auto"/>
                      <w:kern w:val="0"/>
                      <w:szCs w:val="21"/>
                      <w:lang w:bidi="ar"/>
                    </w:rPr>
                    <w:t>符合</w:t>
                  </w:r>
                </w:p>
              </w:tc>
            </w:tr>
            <w:tr w14:paraId="2892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272A24B8">
                  <w:pPr>
                    <w:widowControl/>
                    <w:jc w:val="center"/>
                    <w:textAlignment w:val="center"/>
                    <w:rPr>
                      <w:color w:val="auto"/>
                      <w:kern w:val="0"/>
                      <w:szCs w:val="21"/>
                      <w:lang w:bidi="ar"/>
                    </w:rPr>
                  </w:pPr>
                </w:p>
              </w:tc>
              <w:tc>
                <w:tcPr>
                  <w:tcW w:w="809" w:type="pct"/>
                  <w:vMerge w:val="continue"/>
                  <w:vAlign w:val="center"/>
                </w:tcPr>
                <w:p w14:paraId="58BFAE13">
                  <w:pPr>
                    <w:widowControl/>
                    <w:jc w:val="center"/>
                    <w:textAlignment w:val="center"/>
                    <w:rPr>
                      <w:color w:val="auto"/>
                      <w:kern w:val="0"/>
                      <w:szCs w:val="21"/>
                      <w:lang w:bidi="ar"/>
                    </w:rPr>
                  </w:pPr>
                </w:p>
              </w:tc>
              <w:tc>
                <w:tcPr>
                  <w:tcW w:w="2010" w:type="pct"/>
                  <w:vAlign w:val="center"/>
                </w:tcPr>
                <w:p w14:paraId="3AA00BA0">
                  <w:pPr>
                    <w:widowControl/>
                    <w:jc w:val="center"/>
                    <w:textAlignment w:val="center"/>
                    <w:rPr>
                      <w:color w:val="auto"/>
                      <w:kern w:val="0"/>
                      <w:szCs w:val="21"/>
                      <w:lang w:bidi="ar"/>
                    </w:rPr>
                  </w:pPr>
                  <w:r>
                    <w:rPr>
                      <w:rFonts w:hint="eastAsia"/>
                      <w:color w:val="auto"/>
                      <w:kern w:val="0"/>
                      <w:szCs w:val="21"/>
                      <w:lang w:bidi="ar"/>
                    </w:rPr>
                    <w:t>按照《部分工业行业淘汰落后生产工艺装备和产品指导目录（2010年本）》《产业结构调整指导目录（2019年本）》的要求，采取经济、技术、法律和必要的行政手段，提前一年完成钢铁、水泥、电解铝、平板玻璃等21个重点行业的“十二五”落后产能淘汰任务</w:t>
                  </w:r>
                </w:p>
              </w:tc>
              <w:tc>
                <w:tcPr>
                  <w:tcW w:w="1395" w:type="pct"/>
                  <w:vAlign w:val="center"/>
                </w:tcPr>
                <w:p w14:paraId="7EE71833">
                  <w:pPr>
                    <w:widowControl/>
                    <w:jc w:val="center"/>
                    <w:textAlignment w:val="center"/>
                    <w:rPr>
                      <w:color w:val="auto"/>
                      <w:kern w:val="0"/>
                      <w:szCs w:val="21"/>
                      <w:lang w:bidi="ar"/>
                    </w:rPr>
                  </w:pPr>
                  <w:r>
                    <w:rPr>
                      <w:rFonts w:hint="eastAsia"/>
                      <w:color w:val="auto"/>
                      <w:kern w:val="0"/>
                      <w:szCs w:val="21"/>
                      <w:lang w:bidi="ar"/>
                    </w:rPr>
                    <w:t>本项目生产工艺和生产设备不属于《部分工业行业淘汰落后生产工艺装备和产品指导目录（2010年本）》《产业结构调整指导目录（20</w:t>
                  </w:r>
                  <w:r>
                    <w:rPr>
                      <w:color w:val="auto"/>
                      <w:kern w:val="0"/>
                      <w:szCs w:val="21"/>
                      <w:lang w:bidi="ar"/>
                    </w:rPr>
                    <w:t>24</w:t>
                  </w:r>
                  <w:r>
                    <w:rPr>
                      <w:rFonts w:hint="eastAsia"/>
                      <w:color w:val="auto"/>
                      <w:kern w:val="0"/>
                      <w:szCs w:val="21"/>
                      <w:lang w:bidi="ar"/>
                    </w:rPr>
                    <w:t>年本）》中淘汰落后工艺和设备</w:t>
                  </w:r>
                </w:p>
              </w:tc>
              <w:tc>
                <w:tcPr>
                  <w:tcW w:w="266" w:type="pct"/>
                  <w:vAlign w:val="center"/>
                </w:tcPr>
                <w:p w14:paraId="50FFF93C">
                  <w:pPr>
                    <w:widowControl/>
                    <w:jc w:val="center"/>
                    <w:textAlignment w:val="center"/>
                    <w:rPr>
                      <w:color w:val="auto"/>
                      <w:kern w:val="0"/>
                      <w:szCs w:val="21"/>
                      <w:lang w:bidi="ar"/>
                    </w:rPr>
                  </w:pPr>
                  <w:r>
                    <w:rPr>
                      <w:rFonts w:hint="eastAsia"/>
                      <w:color w:val="auto"/>
                      <w:kern w:val="0"/>
                      <w:szCs w:val="21"/>
                      <w:lang w:bidi="ar"/>
                    </w:rPr>
                    <w:t>符合</w:t>
                  </w:r>
                </w:p>
              </w:tc>
            </w:tr>
            <w:tr w14:paraId="3238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6D76CEDE">
                  <w:pPr>
                    <w:widowControl/>
                    <w:jc w:val="center"/>
                    <w:textAlignment w:val="center"/>
                    <w:rPr>
                      <w:color w:val="auto"/>
                      <w:kern w:val="0"/>
                      <w:szCs w:val="21"/>
                      <w:lang w:bidi="ar"/>
                    </w:rPr>
                  </w:pPr>
                </w:p>
              </w:tc>
              <w:tc>
                <w:tcPr>
                  <w:tcW w:w="2819" w:type="pct"/>
                  <w:gridSpan w:val="2"/>
                  <w:vAlign w:val="center"/>
                </w:tcPr>
                <w:p w14:paraId="2A6272B4">
                  <w:pPr>
                    <w:widowControl/>
                    <w:jc w:val="center"/>
                    <w:textAlignment w:val="center"/>
                    <w:rPr>
                      <w:color w:val="auto"/>
                      <w:kern w:val="0"/>
                      <w:szCs w:val="21"/>
                      <w:lang w:bidi="ar"/>
                    </w:rPr>
                  </w:pPr>
                  <w:r>
                    <w:rPr>
                      <w:rFonts w:hint="eastAsia"/>
                      <w:color w:val="auto"/>
                      <w:kern w:val="0"/>
                      <w:szCs w:val="21"/>
                      <w:lang w:bidi="ar"/>
                    </w:rPr>
                    <w:t>（五）调整产业布局。按照主体功能区规划要求，合理确定重点产业发展布局、结构和规模，重大项目原则上布局在优化开发区和重点开发区。所有新、改、扩建项目，必须全部进行环境影响评价；未通过环境影响评价审批的，一律不准开工建设；违规建设的，要依法进行处罚。加强产业政策在产业转移过程中的引导与约束作用，严格限制在生态脆弱或环境敏感地区建设“两高”行业项目。加强对各类产业发展规划的环境影响评价</w:t>
                  </w:r>
                </w:p>
              </w:tc>
              <w:tc>
                <w:tcPr>
                  <w:tcW w:w="1395" w:type="pct"/>
                  <w:vAlign w:val="center"/>
                </w:tcPr>
                <w:p w14:paraId="239DD98B">
                  <w:pPr>
                    <w:widowControl/>
                    <w:jc w:val="center"/>
                    <w:textAlignment w:val="center"/>
                    <w:rPr>
                      <w:color w:val="auto"/>
                      <w:kern w:val="0"/>
                      <w:szCs w:val="21"/>
                      <w:lang w:bidi="ar"/>
                    </w:rPr>
                  </w:pPr>
                  <w:r>
                    <w:rPr>
                      <w:rFonts w:hint="eastAsia"/>
                      <w:color w:val="auto"/>
                      <w:kern w:val="0"/>
                      <w:szCs w:val="21"/>
                      <w:lang w:bidi="ar"/>
                    </w:rPr>
                    <w:t>本项目建设单位承诺在项目取得环境影响评价批复后，开工建设</w:t>
                  </w:r>
                </w:p>
              </w:tc>
              <w:tc>
                <w:tcPr>
                  <w:tcW w:w="266" w:type="pct"/>
                  <w:vAlign w:val="center"/>
                </w:tcPr>
                <w:p w14:paraId="6AE8FC09">
                  <w:pPr>
                    <w:widowControl/>
                    <w:jc w:val="center"/>
                    <w:textAlignment w:val="center"/>
                    <w:rPr>
                      <w:color w:val="auto"/>
                      <w:kern w:val="0"/>
                      <w:szCs w:val="21"/>
                      <w:lang w:bidi="ar"/>
                    </w:rPr>
                  </w:pPr>
                  <w:r>
                    <w:rPr>
                      <w:rFonts w:hint="eastAsia"/>
                      <w:color w:val="auto"/>
                      <w:kern w:val="0"/>
                      <w:szCs w:val="21"/>
                      <w:lang w:bidi="ar"/>
                    </w:rPr>
                    <w:t>符合</w:t>
                  </w:r>
                </w:p>
              </w:tc>
            </w:tr>
            <w:tr w14:paraId="08B2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2973A694">
                  <w:pPr>
                    <w:widowControl/>
                    <w:jc w:val="center"/>
                    <w:textAlignment w:val="center"/>
                    <w:rPr>
                      <w:color w:val="auto"/>
                      <w:kern w:val="0"/>
                      <w:szCs w:val="21"/>
                      <w:lang w:bidi="ar"/>
                    </w:rPr>
                  </w:pPr>
                </w:p>
              </w:tc>
              <w:tc>
                <w:tcPr>
                  <w:tcW w:w="2819" w:type="pct"/>
                  <w:gridSpan w:val="2"/>
                  <w:vAlign w:val="center"/>
                </w:tcPr>
                <w:p w14:paraId="59DB65E6">
                  <w:pPr>
                    <w:widowControl/>
                    <w:jc w:val="center"/>
                    <w:textAlignment w:val="center"/>
                    <w:rPr>
                      <w:color w:val="auto"/>
                      <w:kern w:val="0"/>
                      <w:szCs w:val="21"/>
                      <w:lang w:bidi="ar"/>
                    </w:rPr>
                  </w:pPr>
                  <w:r>
                    <w:rPr>
                      <w:rFonts w:hint="eastAsia"/>
                      <w:color w:val="auto"/>
                      <w:kern w:val="0"/>
                      <w:szCs w:val="21"/>
                      <w:lang w:bidi="ar"/>
                    </w:rPr>
                    <w:t>（十）大力发展循环经济。推进能源梯级利用、水资源循环利用、废物交换利用、土地节约集约利用，促进企业循环式生产、园区循环式发展、产业循环式组合，构建循环型工业体系。推动水泥、钢铁等工业窑炉、高炉实施废物协同处置。</w:t>
                  </w:r>
                </w:p>
              </w:tc>
              <w:tc>
                <w:tcPr>
                  <w:tcW w:w="1395" w:type="pct"/>
                  <w:vAlign w:val="center"/>
                </w:tcPr>
                <w:p w14:paraId="64C06D42">
                  <w:pPr>
                    <w:widowControl/>
                    <w:jc w:val="center"/>
                    <w:textAlignment w:val="center"/>
                    <w:rPr>
                      <w:color w:val="auto"/>
                      <w:kern w:val="0"/>
                      <w:szCs w:val="21"/>
                      <w:lang w:bidi="ar"/>
                    </w:rPr>
                  </w:pPr>
                  <w:r>
                    <w:rPr>
                      <w:rFonts w:hint="eastAsia"/>
                      <w:color w:val="auto"/>
                      <w:kern w:val="0"/>
                      <w:szCs w:val="21"/>
                      <w:lang w:bidi="ar"/>
                    </w:rPr>
                    <w:t>本项目不属于高污染、高能耗产业，废气进行处理后达标排放。</w:t>
                  </w:r>
                </w:p>
              </w:tc>
              <w:tc>
                <w:tcPr>
                  <w:tcW w:w="266" w:type="pct"/>
                  <w:vAlign w:val="center"/>
                </w:tcPr>
                <w:p w14:paraId="04AC9F91">
                  <w:pPr>
                    <w:widowControl/>
                    <w:jc w:val="center"/>
                    <w:textAlignment w:val="center"/>
                    <w:rPr>
                      <w:color w:val="auto"/>
                      <w:kern w:val="0"/>
                      <w:szCs w:val="21"/>
                      <w:lang w:bidi="ar"/>
                    </w:rPr>
                  </w:pPr>
                  <w:r>
                    <w:rPr>
                      <w:rFonts w:hint="eastAsia"/>
                      <w:color w:val="auto"/>
                      <w:kern w:val="0"/>
                      <w:szCs w:val="21"/>
                      <w:lang w:bidi="ar"/>
                    </w:rPr>
                    <w:t>符合</w:t>
                  </w:r>
                </w:p>
              </w:tc>
            </w:tr>
            <w:tr w14:paraId="4B25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restart"/>
                  <w:vAlign w:val="center"/>
                </w:tcPr>
                <w:p w14:paraId="2E624D5E">
                  <w:pPr>
                    <w:widowControl/>
                    <w:jc w:val="center"/>
                    <w:textAlignment w:val="center"/>
                    <w:rPr>
                      <w:color w:val="auto"/>
                      <w:kern w:val="0"/>
                      <w:szCs w:val="21"/>
                      <w:lang w:bidi="ar"/>
                    </w:rPr>
                  </w:pPr>
                  <w:r>
                    <w:rPr>
                      <w:rFonts w:hint="eastAsia"/>
                      <w:color w:val="auto"/>
                      <w:kern w:val="0"/>
                      <w:szCs w:val="21"/>
                      <w:lang w:bidi="ar"/>
                    </w:rPr>
                    <w:t>《国务院关于印发＜空气质量持续改善行动计划＞的通知》（国发〔2023〕24号）</w:t>
                  </w:r>
                </w:p>
              </w:tc>
              <w:tc>
                <w:tcPr>
                  <w:tcW w:w="2819" w:type="pct"/>
                  <w:gridSpan w:val="2"/>
                  <w:vAlign w:val="center"/>
                </w:tcPr>
                <w:p w14:paraId="20312B14">
                  <w:pPr>
                    <w:widowControl/>
                    <w:jc w:val="center"/>
                    <w:textAlignment w:val="center"/>
                    <w:rPr>
                      <w:color w:val="auto"/>
                      <w:kern w:val="0"/>
                      <w:szCs w:val="21"/>
                      <w:lang w:bidi="ar"/>
                    </w:rPr>
                  </w:pPr>
                  <w:r>
                    <w:rPr>
                      <w:rFonts w:hint="eastAsia"/>
                      <w:color w:val="auto"/>
                      <w:kern w:val="0"/>
                      <w:szCs w:val="21"/>
                      <w:lang w:bidi="ar"/>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395" w:type="pct"/>
                  <w:vAlign w:val="center"/>
                </w:tcPr>
                <w:p w14:paraId="78927A85">
                  <w:pPr>
                    <w:widowControl/>
                    <w:jc w:val="center"/>
                    <w:textAlignment w:val="center"/>
                    <w:rPr>
                      <w:color w:val="auto"/>
                      <w:kern w:val="0"/>
                      <w:szCs w:val="21"/>
                      <w:lang w:bidi="ar"/>
                    </w:rPr>
                  </w:pPr>
                  <w:r>
                    <w:rPr>
                      <w:rFonts w:hint="eastAsia"/>
                      <w:color w:val="auto"/>
                      <w:kern w:val="0"/>
                      <w:szCs w:val="21"/>
                      <w:lang w:bidi="ar"/>
                    </w:rPr>
                    <w:t>本项目不属于高耗能、高排放、低水平项目，本项目不涉及产能置换等</w:t>
                  </w:r>
                </w:p>
              </w:tc>
              <w:tc>
                <w:tcPr>
                  <w:tcW w:w="266" w:type="pct"/>
                  <w:vAlign w:val="center"/>
                </w:tcPr>
                <w:p w14:paraId="680332C4">
                  <w:pPr>
                    <w:widowControl/>
                    <w:jc w:val="center"/>
                    <w:textAlignment w:val="center"/>
                    <w:rPr>
                      <w:color w:val="auto"/>
                      <w:kern w:val="0"/>
                      <w:szCs w:val="21"/>
                      <w:lang w:bidi="ar"/>
                    </w:rPr>
                  </w:pPr>
                  <w:r>
                    <w:rPr>
                      <w:rFonts w:hint="eastAsia"/>
                      <w:color w:val="auto"/>
                      <w:kern w:val="0"/>
                      <w:szCs w:val="21"/>
                      <w:lang w:bidi="ar"/>
                    </w:rPr>
                    <w:t>符合</w:t>
                  </w:r>
                </w:p>
              </w:tc>
            </w:tr>
            <w:tr w14:paraId="72BB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0C335B07">
                  <w:pPr>
                    <w:widowControl/>
                    <w:jc w:val="center"/>
                    <w:textAlignment w:val="center"/>
                    <w:rPr>
                      <w:color w:val="auto"/>
                      <w:kern w:val="0"/>
                      <w:szCs w:val="21"/>
                      <w:lang w:bidi="ar"/>
                    </w:rPr>
                  </w:pPr>
                </w:p>
              </w:tc>
              <w:tc>
                <w:tcPr>
                  <w:tcW w:w="2819" w:type="pct"/>
                  <w:gridSpan w:val="2"/>
                  <w:vAlign w:val="center"/>
                </w:tcPr>
                <w:p w14:paraId="64B4EBD4">
                  <w:pPr>
                    <w:widowControl/>
                    <w:jc w:val="center"/>
                    <w:textAlignment w:val="center"/>
                    <w:rPr>
                      <w:color w:val="auto"/>
                      <w:kern w:val="0"/>
                      <w:szCs w:val="21"/>
                      <w:lang w:bidi="ar"/>
                    </w:rPr>
                  </w:pPr>
                  <w:r>
                    <w:rPr>
                      <w:rFonts w:hint="eastAsia"/>
                      <w:color w:val="auto"/>
                      <w:kern w:val="0"/>
                      <w:szCs w:val="21"/>
                      <w:lang w:bidi="ar"/>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395" w:type="pct"/>
                  <w:vAlign w:val="center"/>
                </w:tcPr>
                <w:p w14:paraId="663ADA0A">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本项目属于</w:t>
                  </w:r>
                  <w:r>
                    <w:rPr>
                      <w:rFonts w:hint="eastAsia"/>
                      <w:color w:val="auto"/>
                      <w:kern w:val="0"/>
                      <w:szCs w:val="21"/>
                      <w:lang w:val="en-US" w:eastAsia="zh-CN" w:bidi="ar"/>
                    </w:rPr>
                    <w:t>允许类</w:t>
                  </w:r>
                  <w:r>
                    <w:rPr>
                      <w:rFonts w:hint="eastAsia"/>
                      <w:color w:val="auto"/>
                      <w:kern w:val="0"/>
                      <w:szCs w:val="21"/>
                      <w:lang w:bidi="ar"/>
                    </w:rPr>
                    <w:t>项目</w:t>
                  </w:r>
                  <w:r>
                    <w:rPr>
                      <w:rFonts w:hint="eastAsia"/>
                      <w:color w:val="auto"/>
                      <w:kern w:val="0"/>
                      <w:szCs w:val="21"/>
                      <w:lang w:eastAsia="zh-CN" w:bidi="ar"/>
                    </w:rPr>
                    <w:t>，</w:t>
                  </w:r>
                  <w:r>
                    <w:rPr>
                      <w:rFonts w:hint="eastAsia"/>
                      <w:color w:val="auto"/>
                      <w:kern w:val="0"/>
                      <w:szCs w:val="21"/>
                      <w:lang w:val="en-US" w:eastAsia="zh-CN" w:bidi="ar"/>
                    </w:rPr>
                    <w:t>不属于重点行业落后产能的项目</w:t>
                  </w:r>
                </w:p>
              </w:tc>
              <w:tc>
                <w:tcPr>
                  <w:tcW w:w="266" w:type="pct"/>
                  <w:vAlign w:val="center"/>
                </w:tcPr>
                <w:p w14:paraId="210FB220">
                  <w:pPr>
                    <w:widowControl/>
                    <w:jc w:val="center"/>
                    <w:textAlignment w:val="center"/>
                    <w:rPr>
                      <w:color w:val="auto"/>
                      <w:kern w:val="0"/>
                      <w:szCs w:val="21"/>
                      <w:lang w:bidi="ar"/>
                    </w:rPr>
                  </w:pPr>
                  <w:r>
                    <w:rPr>
                      <w:rFonts w:hint="eastAsia"/>
                      <w:color w:val="auto"/>
                      <w:kern w:val="0"/>
                      <w:szCs w:val="21"/>
                      <w:lang w:bidi="ar"/>
                    </w:rPr>
                    <w:t>符合</w:t>
                  </w:r>
                </w:p>
              </w:tc>
            </w:tr>
            <w:tr w14:paraId="3C5A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480A292F">
                  <w:pPr>
                    <w:widowControl/>
                    <w:jc w:val="center"/>
                    <w:textAlignment w:val="center"/>
                    <w:rPr>
                      <w:color w:val="auto"/>
                      <w:kern w:val="0"/>
                      <w:szCs w:val="21"/>
                      <w:lang w:bidi="ar"/>
                    </w:rPr>
                  </w:pPr>
                </w:p>
              </w:tc>
              <w:tc>
                <w:tcPr>
                  <w:tcW w:w="2819" w:type="pct"/>
                  <w:gridSpan w:val="2"/>
                  <w:vAlign w:val="center"/>
                </w:tcPr>
                <w:p w14:paraId="453D1510">
                  <w:pPr>
                    <w:widowControl/>
                    <w:jc w:val="center"/>
                    <w:textAlignment w:val="center"/>
                    <w:rPr>
                      <w:color w:val="auto"/>
                      <w:kern w:val="0"/>
                      <w:szCs w:val="21"/>
                      <w:lang w:bidi="ar"/>
                    </w:rPr>
                  </w:pPr>
                  <w:r>
                    <w:rPr>
                      <w:rFonts w:hint="eastAsia"/>
                      <w:color w:val="auto"/>
                      <w:kern w:val="0"/>
                      <w:szCs w:val="21"/>
                      <w:lang w:bidi="ar"/>
                    </w:rPr>
                    <w:t>大力发展新能源和清洁能源。到2025年，非化石能源消费比重达20%左右，电能占终端能源消费比重达30%左右。持续增加天然气生产供应，新增天然气优先保障居民生活和清洁取暖需求</w:t>
                  </w:r>
                </w:p>
              </w:tc>
              <w:tc>
                <w:tcPr>
                  <w:tcW w:w="1395" w:type="pct"/>
                  <w:vMerge w:val="restart"/>
                  <w:vAlign w:val="center"/>
                </w:tcPr>
                <w:p w14:paraId="274A6FC5">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本项目全工艺过程采用常温制造，无燃煤、燃气等加热过程</w:t>
                  </w:r>
                </w:p>
              </w:tc>
              <w:tc>
                <w:tcPr>
                  <w:tcW w:w="266" w:type="pct"/>
                  <w:vAlign w:val="center"/>
                </w:tcPr>
                <w:p w14:paraId="73C1E314">
                  <w:pPr>
                    <w:widowControl/>
                    <w:jc w:val="center"/>
                    <w:textAlignment w:val="center"/>
                    <w:rPr>
                      <w:color w:val="auto"/>
                      <w:kern w:val="0"/>
                      <w:szCs w:val="21"/>
                      <w:lang w:bidi="ar"/>
                    </w:rPr>
                  </w:pPr>
                  <w:r>
                    <w:rPr>
                      <w:rFonts w:hint="eastAsia"/>
                      <w:color w:val="auto"/>
                      <w:kern w:val="0"/>
                      <w:szCs w:val="21"/>
                      <w:lang w:bidi="ar"/>
                    </w:rPr>
                    <w:t>符合</w:t>
                  </w:r>
                </w:p>
              </w:tc>
            </w:tr>
            <w:tr w14:paraId="2D97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446CA3CF">
                  <w:pPr>
                    <w:widowControl/>
                    <w:jc w:val="center"/>
                    <w:textAlignment w:val="center"/>
                    <w:rPr>
                      <w:color w:val="auto"/>
                      <w:kern w:val="0"/>
                      <w:szCs w:val="21"/>
                      <w:lang w:bidi="ar"/>
                    </w:rPr>
                  </w:pPr>
                </w:p>
              </w:tc>
              <w:tc>
                <w:tcPr>
                  <w:tcW w:w="2819" w:type="pct"/>
                  <w:gridSpan w:val="2"/>
                  <w:vAlign w:val="center"/>
                </w:tcPr>
                <w:p w14:paraId="21E182BA">
                  <w:pPr>
                    <w:widowControl/>
                    <w:jc w:val="center"/>
                    <w:textAlignment w:val="center"/>
                    <w:rPr>
                      <w:color w:val="auto"/>
                      <w:kern w:val="0"/>
                      <w:szCs w:val="21"/>
                      <w:lang w:bidi="ar"/>
                    </w:rPr>
                  </w:pPr>
                  <w:r>
                    <w:rPr>
                      <w:rFonts w:hint="eastAsia"/>
                      <w:color w:val="auto"/>
                      <w:kern w:val="0"/>
                      <w:szCs w:val="21"/>
                      <w:lang w:bidi="ar"/>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1395" w:type="pct"/>
                  <w:vMerge w:val="continue"/>
                  <w:vAlign w:val="center"/>
                </w:tcPr>
                <w:p w14:paraId="6EEF1532">
                  <w:pPr>
                    <w:widowControl/>
                    <w:jc w:val="center"/>
                    <w:textAlignment w:val="center"/>
                    <w:rPr>
                      <w:color w:val="auto"/>
                      <w:kern w:val="0"/>
                      <w:szCs w:val="21"/>
                      <w:lang w:bidi="ar"/>
                    </w:rPr>
                  </w:pPr>
                </w:p>
              </w:tc>
              <w:tc>
                <w:tcPr>
                  <w:tcW w:w="266" w:type="pct"/>
                  <w:vAlign w:val="center"/>
                </w:tcPr>
                <w:p w14:paraId="68154BF6">
                  <w:pPr>
                    <w:widowControl/>
                    <w:jc w:val="center"/>
                    <w:textAlignment w:val="center"/>
                    <w:rPr>
                      <w:color w:val="auto"/>
                      <w:kern w:val="0"/>
                      <w:szCs w:val="21"/>
                      <w:lang w:bidi="ar"/>
                    </w:rPr>
                  </w:pPr>
                  <w:r>
                    <w:rPr>
                      <w:rFonts w:hint="eastAsia"/>
                      <w:color w:val="auto"/>
                      <w:kern w:val="0"/>
                      <w:szCs w:val="21"/>
                      <w:lang w:bidi="ar"/>
                    </w:rPr>
                    <w:t>符合</w:t>
                  </w:r>
                </w:p>
              </w:tc>
            </w:tr>
            <w:tr w14:paraId="07EC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Align w:val="center"/>
                </w:tcPr>
                <w:p w14:paraId="26C861D3">
                  <w:pPr>
                    <w:widowControl/>
                    <w:jc w:val="center"/>
                    <w:textAlignment w:val="center"/>
                    <w:rPr>
                      <w:color w:val="auto"/>
                      <w:kern w:val="0"/>
                      <w:szCs w:val="21"/>
                      <w:lang w:bidi="ar"/>
                    </w:rPr>
                  </w:pPr>
                  <w:r>
                    <w:rPr>
                      <w:rFonts w:hint="eastAsia"/>
                      <w:color w:val="auto"/>
                      <w:kern w:val="0"/>
                      <w:szCs w:val="21"/>
                      <w:lang w:bidi="ar"/>
                    </w:rPr>
                    <w:t>《新疆维吾尔自治区大气污染防治条例》</w:t>
                  </w:r>
                </w:p>
              </w:tc>
              <w:tc>
                <w:tcPr>
                  <w:tcW w:w="2819" w:type="pct"/>
                  <w:gridSpan w:val="2"/>
                  <w:vAlign w:val="center"/>
                </w:tcPr>
                <w:p w14:paraId="6C6667E6">
                  <w:pPr>
                    <w:widowControl/>
                    <w:jc w:val="center"/>
                    <w:textAlignment w:val="center"/>
                    <w:rPr>
                      <w:color w:val="auto"/>
                      <w:kern w:val="0"/>
                      <w:szCs w:val="21"/>
                      <w:lang w:bidi="ar"/>
                    </w:rPr>
                  </w:pPr>
                  <w:r>
                    <w:rPr>
                      <w:rFonts w:hint="eastAsia"/>
                      <w:color w:val="auto"/>
                      <w:kern w:val="0"/>
                      <w:szCs w:val="21"/>
                      <w:lang w:bidi="ar"/>
                    </w:rPr>
                    <w:t>“禁止在自治区行政区域内引进能（水）耗不符合相关国家标准中准入值要求且污染物排放和环境风险防控不符合国家（地方）标准及有关产业准入条件的高污染（排放）、高能（水）耗、高环境风险的工业项目。”“下列产生含挥发性有机物废气的生产和服务活动，应当按照国家规定在密闭空间或者设备中进行，并安装、使用污染防治设施；无法密闭的，应当采取措施减少废气排放：（五）其他产生挥发性有机物的生产和服务活动。”在居民住宅区等人口密集区域和机关、医院、学校、幼儿园、养老院等其他需要特殊保护的区域及其周边，不得新建、改建和扩建石化、焦化、制药、油漆、塑料、橡胶、造纸、饲料等易产生恶臭气体的生产项目，或者从事其他产生恶臭气体的生产经营活动。</w:t>
                  </w:r>
                </w:p>
              </w:tc>
              <w:tc>
                <w:tcPr>
                  <w:tcW w:w="1395" w:type="pct"/>
                  <w:vAlign w:val="center"/>
                </w:tcPr>
                <w:p w14:paraId="4B41BB61">
                  <w:pPr>
                    <w:widowControl/>
                    <w:adjustRightInd w:val="0"/>
                    <w:jc w:val="center"/>
                    <w:textAlignment w:val="center"/>
                    <w:rPr>
                      <w:color w:val="auto"/>
                      <w:kern w:val="0"/>
                      <w:szCs w:val="21"/>
                      <w:lang w:bidi="ar"/>
                    </w:rPr>
                  </w:pPr>
                  <w:r>
                    <w:rPr>
                      <w:rFonts w:hint="eastAsia"/>
                      <w:color w:val="auto"/>
                      <w:kern w:val="0"/>
                      <w:szCs w:val="21"/>
                      <w:lang w:bidi="ar"/>
                    </w:rPr>
                    <w:t>本项目区所在地为工业用地，不在居民住宅区等人口密集区域和机关、医院、学校、幼儿园、养老院等其他需要特殊保护的区域及其周边</w:t>
                  </w:r>
                </w:p>
              </w:tc>
              <w:tc>
                <w:tcPr>
                  <w:tcW w:w="266" w:type="pct"/>
                  <w:vAlign w:val="center"/>
                </w:tcPr>
                <w:p w14:paraId="6A4A61D7">
                  <w:pPr>
                    <w:widowControl/>
                    <w:jc w:val="center"/>
                    <w:textAlignment w:val="center"/>
                    <w:rPr>
                      <w:color w:val="auto"/>
                      <w:kern w:val="0"/>
                      <w:szCs w:val="21"/>
                      <w:lang w:bidi="ar"/>
                    </w:rPr>
                  </w:pPr>
                  <w:r>
                    <w:rPr>
                      <w:rFonts w:hint="eastAsia"/>
                      <w:color w:val="auto"/>
                      <w:kern w:val="0"/>
                      <w:szCs w:val="21"/>
                      <w:lang w:bidi="ar"/>
                    </w:rPr>
                    <w:t>符合</w:t>
                  </w:r>
                </w:p>
              </w:tc>
            </w:tr>
            <w:tr w14:paraId="7306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restart"/>
                  <w:vAlign w:val="center"/>
                </w:tcPr>
                <w:p w14:paraId="4023123D">
                  <w:pPr>
                    <w:widowControl/>
                    <w:jc w:val="center"/>
                    <w:textAlignment w:val="center"/>
                    <w:rPr>
                      <w:rFonts w:hint="eastAsia"/>
                      <w:color w:val="auto"/>
                      <w:kern w:val="0"/>
                      <w:szCs w:val="21"/>
                      <w:lang w:bidi="ar"/>
                    </w:rPr>
                  </w:pPr>
                  <w:r>
                    <w:rPr>
                      <w:rFonts w:hint="eastAsia"/>
                      <w:color w:val="auto"/>
                      <w:kern w:val="0"/>
                      <w:szCs w:val="21"/>
                      <w:lang w:bidi="ar"/>
                    </w:rPr>
                    <w:t>《关于印发〈新疆维吾尔自治区2025年空气质量持续改善行动实施方案〉的通知》</w:t>
                  </w:r>
                </w:p>
              </w:tc>
              <w:tc>
                <w:tcPr>
                  <w:tcW w:w="2819" w:type="pct"/>
                  <w:gridSpan w:val="2"/>
                  <w:vAlign w:val="center"/>
                </w:tcPr>
                <w:p w14:paraId="4CF2AE30">
                  <w:pPr>
                    <w:widowControl/>
                    <w:jc w:val="center"/>
                    <w:textAlignment w:val="center"/>
                    <w:rPr>
                      <w:rFonts w:hint="eastAsia"/>
                      <w:color w:val="auto"/>
                      <w:kern w:val="0"/>
                      <w:szCs w:val="21"/>
                      <w:lang w:bidi="ar"/>
                    </w:rPr>
                  </w:pPr>
                  <w:r>
                    <w:rPr>
                      <w:rFonts w:hint="eastAsia"/>
                      <w:color w:val="auto"/>
                      <w:kern w:val="0"/>
                      <w:szCs w:val="21"/>
                      <w:lang w:bidi="ar"/>
                    </w:rPr>
                    <w:t>（1）持续优化产业结构</w:t>
                  </w:r>
                </w:p>
                <w:p w14:paraId="7110E39D">
                  <w:pPr>
                    <w:widowControl/>
                    <w:jc w:val="center"/>
                    <w:textAlignment w:val="center"/>
                    <w:rPr>
                      <w:rFonts w:hint="eastAsia"/>
                      <w:color w:val="auto"/>
                      <w:kern w:val="0"/>
                      <w:szCs w:val="21"/>
                      <w:lang w:bidi="ar"/>
                    </w:rPr>
                  </w:pPr>
                  <w:r>
                    <w:rPr>
                      <w:rFonts w:hint="eastAsia"/>
                      <w:color w:val="auto"/>
                      <w:kern w:val="0"/>
                      <w:szCs w:val="21"/>
                      <w:lang w:bidi="ar"/>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tc>
              <w:tc>
                <w:tcPr>
                  <w:tcW w:w="1395" w:type="pct"/>
                  <w:vMerge w:val="restart"/>
                  <w:vAlign w:val="center"/>
                </w:tcPr>
                <w:p w14:paraId="7F9AFEFC">
                  <w:pPr>
                    <w:widowControl/>
                    <w:jc w:val="center"/>
                    <w:textAlignment w:val="center"/>
                    <w:rPr>
                      <w:rFonts w:hint="eastAsia"/>
                      <w:color w:val="auto"/>
                      <w:kern w:val="0"/>
                      <w:szCs w:val="21"/>
                      <w:lang w:bidi="ar"/>
                    </w:rPr>
                  </w:pPr>
                  <w:r>
                    <w:rPr>
                      <w:rFonts w:hint="eastAsia"/>
                      <w:color w:val="auto"/>
                      <w:kern w:val="0"/>
                      <w:szCs w:val="21"/>
                      <w:lang w:bidi="ar"/>
                    </w:rPr>
                    <w:t>本项目为农药生产建设项目，不属于“两高”项目，符合自治区、产业园区的产业规划、产业政策、生态环境分区管控方案、规划环评中各项要求，详见规划符合性分析内容。根据《重污染天气重点行业应急减排措施制定技术指南（2020年修订版）》环办大气函〔2020〕340号中“二十七－农药制造”适用范围“适用于农药中间体制造、原药制造、涉及化学反应及有机溶剂提取的生物农药制造工业企业，不包括制剂加工企业”，本项目属于农药加工，不属于《指南》所列的39个重点行业，故无需开展环保绩效评级工作。</w:t>
                  </w:r>
                </w:p>
              </w:tc>
              <w:tc>
                <w:tcPr>
                  <w:tcW w:w="266" w:type="pct"/>
                  <w:vAlign w:val="center"/>
                </w:tcPr>
                <w:p w14:paraId="44DA0A60">
                  <w:pPr>
                    <w:widowControl/>
                    <w:jc w:val="center"/>
                    <w:textAlignment w:val="center"/>
                    <w:rPr>
                      <w:rFonts w:hint="eastAsia"/>
                      <w:color w:val="auto"/>
                      <w:kern w:val="0"/>
                      <w:szCs w:val="21"/>
                      <w:lang w:bidi="ar"/>
                    </w:rPr>
                  </w:pPr>
                  <w:r>
                    <w:rPr>
                      <w:rFonts w:hint="eastAsia"/>
                      <w:color w:val="auto"/>
                      <w:kern w:val="0"/>
                      <w:szCs w:val="21"/>
                      <w:lang w:bidi="ar"/>
                    </w:rPr>
                    <w:t>符合</w:t>
                  </w:r>
                </w:p>
              </w:tc>
            </w:tr>
            <w:tr w14:paraId="0AF8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156E6474">
                  <w:pPr>
                    <w:widowControl/>
                    <w:jc w:val="center"/>
                    <w:textAlignment w:val="center"/>
                    <w:rPr>
                      <w:rFonts w:hint="eastAsia"/>
                      <w:color w:val="auto"/>
                      <w:kern w:val="0"/>
                      <w:szCs w:val="21"/>
                      <w:lang w:bidi="ar"/>
                    </w:rPr>
                  </w:pPr>
                </w:p>
              </w:tc>
              <w:tc>
                <w:tcPr>
                  <w:tcW w:w="2819" w:type="pct"/>
                  <w:gridSpan w:val="2"/>
                  <w:vAlign w:val="center"/>
                </w:tcPr>
                <w:p w14:paraId="7C2B29DB">
                  <w:pPr>
                    <w:widowControl/>
                    <w:jc w:val="center"/>
                    <w:textAlignment w:val="center"/>
                    <w:rPr>
                      <w:rFonts w:hint="eastAsia"/>
                      <w:color w:val="auto"/>
                      <w:kern w:val="0"/>
                      <w:szCs w:val="21"/>
                      <w:lang w:bidi="ar"/>
                    </w:rPr>
                  </w:pPr>
                  <w:r>
                    <w:rPr>
                      <w:rFonts w:hint="eastAsia"/>
                      <w:color w:val="auto"/>
                      <w:kern w:val="0"/>
                      <w:szCs w:val="21"/>
                      <w:lang w:bidi="ar"/>
                    </w:rPr>
                    <w:t>（2）退出重点行业落后产能。</w:t>
                  </w:r>
                </w:p>
                <w:p w14:paraId="7243E346">
                  <w:pPr>
                    <w:widowControl/>
                    <w:jc w:val="center"/>
                    <w:textAlignment w:val="center"/>
                    <w:rPr>
                      <w:rFonts w:hint="eastAsia"/>
                      <w:color w:val="auto"/>
                      <w:kern w:val="0"/>
                      <w:szCs w:val="21"/>
                      <w:lang w:bidi="ar"/>
                    </w:rPr>
                  </w:pPr>
                  <w:r>
                    <w:rPr>
                      <w:rFonts w:hint="eastAsia"/>
                      <w:color w:val="auto"/>
                      <w:kern w:val="0"/>
                      <w:szCs w:val="21"/>
                      <w:lang w:bidi="ar"/>
                    </w:rPr>
                    <w:t>严格执行《产业结构调整指导目录》，依法依规淘汰落后产能。联防联控区进一步提高落后产能能耗、环保、质量、安全、技术等要求，逐步退出限制类涉气行业工艺和装备。</w:t>
                  </w:r>
                </w:p>
              </w:tc>
              <w:tc>
                <w:tcPr>
                  <w:tcW w:w="1395" w:type="pct"/>
                  <w:vMerge w:val="continue"/>
                  <w:vAlign w:val="center"/>
                </w:tcPr>
                <w:p w14:paraId="568FB185">
                  <w:pPr>
                    <w:widowControl/>
                    <w:jc w:val="center"/>
                    <w:textAlignment w:val="center"/>
                    <w:rPr>
                      <w:rFonts w:hint="eastAsia"/>
                      <w:color w:val="auto"/>
                      <w:kern w:val="0"/>
                      <w:szCs w:val="21"/>
                      <w:lang w:bidi="ar"/>
                    </w:rPr>
                  </w:pPr>
                </w:p>
              </w:tc>
              <w:tc>
                <w:tcPr>
                  <w:tcW w:w="266" w:type="pct"/>
                  <w:vAlign w:val="center"/>
                </w:tcPr>
                <w:p w14:paraId="3E289ACE">
                  <w:pPr>
                    <w:widowControl/>
                    <w:jc w:val="center"/>
                    <w:textAlignment w:val="center"/>
                    <w:rPr>
                      <w:rFonts w:hint="eastAsia"/>
                      <w:color w:val="auto"/>
                      <w:kern w:val="0"/>
                      <w:szCs w:val="21"/>
                      <w:lang w:bidi="ar"/>
                    </w:rPr>
                  </w:pPr>
                  <w:r>
                    <w:rPr>
                      <w:rFonts w:hint="eastAsia"/>
                      <w:color w:val="auto"/>
                      <w:kern w:val="0"/>
                      <w:szCs w:val="21"/>
                      <w:lang w:bidi="ar"/>
                    </w:rPr>
                    <w:t>符合</w:t>
                  </w:r>
                </w:p>
              </w:tc>
            </w:tr>
            <w:tr w14:paraId="1339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8" w:type="pct"/>
                  <w:vMerge w:val="continue"/>
                  <w:vAlign w:val="center"/>
                </w:tcPr>
                <w:p w14:paraId="0E56DA60">
                  <w:pPr>
                    <w:widowControl/>
                    <w:jc w:val="center"/>
                    <w:textAlignment w:val="center"/>
                    <w:rPr>
                      <w:rFonts w:hint="eastAsia"/>
                      <w:color w:val="auto"/>
                      <w:kern w:val="0"/>
                      <w:szCs w:val="21"/>
                      <w:lang w:bidi="ar"/>
                    </w:rPr>
                  </w:pPr>
                </w:p>
              </w:tc>
              <w:tc>
                <w:tcPr>
                  <w:tcW w:w="2819" w:type="pct"/>
                  <w:gridSpan w:val="2"/>
                  <w:vAlign w:val="center"/>
                </w:tcPr>
                <w:p w14:paraId="2D2BD48D">
                  <w:pPr>
                    <w:widowControl/>
                    <w:jc w:val="center"/>
                    <w:textAlignment w:val="center"/>
                    <w:rPr>
                      <w:rFonts w:hint="eastAsia"/>
                      <w:color w:val="auto"/>
                      <w:kern w:val="0"/>
                      <w:szCs w:val="21"/>
                      <w:lang w:bidi="ar"/>
                    </w:rPr>
                  </w:pPr>
                  <w:r>
                    <w:rPr>
                      <w:rFonts w:hint="eastAsia"/>
                      <w:color w:val="auto"/>
                      <w:kern w:val="0"/>
                      <w:szCs w:val="21"/>
                      <w:lang w:bidi="ar"/>
                    </w:rPr>
                    <w:t>（3）持续开展重点行业污染深度治理。</w:t>
                  </w:r>
                </w:p>
                <w:p w14:paraId="4BA9FA6D">
                  <w:pPr>
                    <w:widowControl/>
                    <w:jc w:val="center"/>
                    <w:textAlignment w:val="center"/>
                    <w:rPr>
                      <w:rFonts w:hint="eastAsia"/>
                      <w:color w:val="auto"/>
                      <w:kern w:val="0"/>
                      <w:szCs w:val="21"/>
                      <w:lang w:bidi="ar"/>
                    </w:rPr>
                  </w:pPr>
                  <w:r>
                    <w:rPr>
                      <w:rFonts w:hint="eastAsia"/>
                      <w:color w:val="auto"/>
                      <w:kern w:val="0"/>
                      <w:szCs w:val="21"/>
                      <w:lang w:bidi="ar"/>
                    </w:rPr>
                    <w:t>高质量推进钢铁、水泥、焦化等行业超低排放改造，到2025年底，全区钢铁行业80%的产能完成超低排放改造，联防联控区水泥、焦化行业基本完成超低排放改造。开展失效低效污染治理设施排查整治。扎实推进环保绩效“创A晋B”，各地结合实际制定“一企一策”污染治理方案，提升企业环保绩效水平。强化治污设施运行维护，减少非正常工况排放，逐步取消烟气和含VOCs废气旁路，因安全生产需要无法取消的，安装在线监控系统及备用处置设施。</w:t>
                  </w:r>
                </w:p>
              </w:tc>
              <w:tc>
                <w:tcPr>
                  <w:tcW w:w="1395" w:type="pct"/>
                  <w:vMerge w:val="continue"/>
                  <w:vAlign w:val="center"/>
                </w:tcPr>
                <w:p w14:paraId="5B12CC96">
                  <w:pPr>
                    <w:widowControl/>
                    <w:jc w:val="center"/>
                    <w:textAlignment w:val="center"/>
                    <w:rPr>
                      <w:rFonts w:hint="eastAsia"/>
                      <w:color w:val="auto"/>
                      <w:kern w:val="0"/>
                      <w:szCs w:val="21"/>
                      <w:lang w:bidi="ar"/>
                    </w:rPr>
                  </w:pPr>
                </w:p>
              </w:tc>
              <w:tc>
                <w:tcPr>
                  <w:tcW w:w="266" w:type="pct"/>
                  <w:vAlign w:val="center"/>
                </w:tcPr>
                <w:p w14:paraId="1CABB9BC">
                  <w:pPr>
                    <w:widowControl/>
                    <w:jc w:val="center"/>
                    <w:textAlignment w:val="center"/>
                    <w:rPr>
                      <w:rFonts w:hint="eastAsia"/>
                      <w:color w:val="auto"/>
                      <w:kern w:val="0"/>
                      <w:szCs w:val="21"/>
                      <w:lang w:bidi="ar"/>
                    </w:rPr>
                  </w:pPr>
                  <w:r>
                    <w:rPr>
                      <w:rFonts w:hint="eastAsia"/>
                      <w:color w:val="auto"/>
                      <w:kern w:val="0"/>
                      <w:szCs w:val="21"/>
                      <w:lang w:bidi="ar"/>
                    </w:rPr>
                    <w:t>符合</w:t>
                  </w:r>
                </w:p>
              </w:tc>
            </w:tr>
          </w:tbl>
          <w:p w14:paraId="1CF4D19A">
            <w:pPr>
              <w:pStyle w:val="18"/>
              <w:rPr>
                <w:color w:val="auto"/>
              </w:rPr>
            </w:pPr>
            <w:r>
              <w:rPr>
                <w:color w:val="auto"/>
              </w:rPr>
              <w:t>由上表可知，本项目符合大气污染防治相关的法规、规范。</w:t>
            </w:r>
          </w:p>
          <w:p w14:paraId="471D9BBD">
            <w:pPr>
              <w:pStyle w:val="18"/>
              <w:ind w:firstLine="422"/>
              <w:rPr>
                <w:b/>
                <w:bCs/>
                <w:color w:val="auto"/>
              </w:rPr>
            </w:pPr>
            <w:r>
              <w:rPr>
                <w:rFonts w:hint="eastAsia"/>
                <w:b/>
                <w:bCs/>
                <w:color w:val="auto"/>
              </w:rPr>
              <w:t>2</w:t>
            </w:r>
            <w:r>
              <w:rPr>
                <w:b/>
                <w:bCs/>
                <w:color w:val="auto"/>
              </w:rPr>
              <w:t>.</w:t>
            </w:r>
            <w:r>
              <w:rPr>
                <w:rFonts w:hint="eastAsia"/>
                <w:b/>
                <w:bCs/>
                <w:color w:val="auto"/>
                <w:lang w:val="en-US" w:eastAsia="zh-CN"/>
              </w:rPr>
              <w:t>3</w:t>
            </w:r>
            <w:r>
              <w:rPr>
                <w:rFonts w:hint="eastAsia"/>
                <w:b/>
                <w:bCs/>
                <w:color w:val="auto"/>
              </w:rPr>
              <w:t>与水污染防治符合性分析</w:t>
            </w:r>
          </w:p>
          <w:p w14:paraId="4BCCF872">
            <w:pPr>
              <w:pStyle w:val="18"/>
              <w:rPr>
                <w:color w:val="auto"/>
              </w:rPr>
            </w:pPr>
            <w:r>
              <w:rPr>
                <w:rFonts w:hint="eastAsia"/>
                <w:color w:val="auto"/>
              </w:rPr>
              <w:t>与《国务院关于印发水污染防治行动计划的通知》（国发〔2015〕17号）的符合性分析如下：</w:t>
            </w:r>
          </w:p>
          <w:p w14:paraId="3E2EF5AC">
            <w:pPr>
              <w:autoSpaceDE w:val="0"/>
              <w:autoSpaceDN w:val="0"/>
              <w:adjustRightInd w:val="0"/>
              <w:snapToGrid w:val="0"/>
              <w:jc w:val="center"/>
              <w:rPr>
                <w:b/>
                <w:bCs/>
                <w:color w:val="auto"/>
                <w:kern w:val="0"/>
                <w:szCs w:val="21"/>
              </w:rPr>
            </w:pPr>
            <w:r>
              <w:rPr>
                <w:rFonts w:hint="eastAsia"/>
                <w:b/>
                <w:bCs/>
                <w:color w:val="auto"/>
                <w:kern w:val="0"/>
                <w:szCs w:val="21"/>
              </w:rPr>
              <w:t>表</w:t>
            </w:r>
            <w:r>
              <w:rPr>
                <w:b/>
                <w:bCs/>
                <w:color w:val="auto"/>
                <w:kern w:val="0"/>
                <w:szCs w:val="21"/>
              </w:rPr>
              <w:t>1-6</w:t>
            </w:r>
            <w:r>
              <w:rPr>
                <w:rFonts w:hint="eastAsia"/>
                <w:b/>
                <w:bCs/>
                <w:color w:val="auto"/>
                <w:kern w:val="0"/>
                <w:szCs w:val="21"/>
              </w:rPr>
              <w:t>与水污染防治符合性分析</w:t>
            </w:r>
          </w:p>
          <w:tbl>
            <w:tblPr>
              <w:tblStyle w:val="20"/>
              <w:tblW w:w="6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4362"/>
              <w:gridCol w:w="1148"/>
              <w:gridCol w:w="419"/>
            </w:tblGrid>
            <w:tr w14:paraId="72C2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vAlign w:val="center"/>
                </w:tcPr>
                <w:p w14:paraId="1DDA2B51">
                  <w:pPr>
                    <w:widowControl/>
                    <w:jc w:val="center"/>
                    <w:textAlignment w:val="center"/>
                    <w:rPr>
                      <w:color w:val="auto"/>
                      <w:kern w:val="0"/>
                      <w:szCs w:val="21"/>
                      <w:lang w:bidi="ar"/>
                    </w:rPr>
                  </w:pPr>
                  <w:r>
                    <w:rPr>
                      <w:rFonts w:hint="eastAsia"/>
                      <w:color w:val="auto"/>
                      <w:kern w:val="0"/>
                      <w:szCs w:val="21"/>
                      <w:lang w:bidi="ar"/>
                    </w:rPr>
                    <w:t>水污染防治文件</w:t>
                  </w:r>
                </w:p>
              </w:tc>
              <w:tc>
                <w:tcPr>
                  <w:tcW w:w="4362" w:type="dxa"/>
                  <w:vAlign w:val="center"/>
                </w:tcPr>
                <w:p w14:paraId="2DEA16EB">
                  <w:pPr>
                    <w:widowControl/>
                    <w:jc w:val="center"/>
                    <w:textAlignment w:val="center"/>
                    <w:rPr>
                      <w:color w:val="auto"/>
                      <w:kern w:val="0"/>
                      <w:szCs w:val="21"/>
                      <w:lang w:bidi="ar"/>
                    </w:rPr>
                  </w:pPr>
                  <w:r>
                    <w:rPr>
                      <w:rFonts w:hint="eastAsia"/>
                      <w:color w:val="auto"/>
                      <w:kern w:val="0"/>
                      <w:szCs w:val="21"/>
                      <w:lang w:bidi="ar"/>
                    </w:rPr>
                    <w:t>政策要求</w:t>
                  </w:r>
                </w:p>
              </w:tc>
              <w:tc>
                <w:tcPr>
                  <w:tcW w:w="1148" w:type="dxa"/>
                  <w:vAlign w:val="center"/>
                </w:tcPr>
                <w:p w14:paraId="68DD9FE9">
                  <w:pPr>
                    <w:widowControl/>
                    <w:jc w:val="center"/>
                    <w:textAlignment w:val="center"/>
                    <w:rPr>
                      <w:color w:val="auto"/>
                      <w:kern w:val="0"/>
                      <w:szCs w:val="21"/>
                      <w:lang w:bidi="ar"/>
                    </w:rPr>
                  </w:pPr>
                  <w:r>
                    <w:rPr>
                      <w:rFonts w:hint="eastAsia"/>
                      <w:color w:val="auto"/>
                      <w:kern w:val="0"/>
                      <w:szCs w:val="21"/>
                      <w:lang w:bidi="ar"/>
                    </w:rPr>
                    <w:t>本项目情况</w:t>
                  </w:r>
                </w:p>
              </w:tc>
              <w:tc>
                <w:tcPr>
                  <w:tcW w:w="419" w:type="dxa"/>
                  <w:vAlign w:val="center"/>
                </w:tcPr>
                <w:p w14:paraId="3E906371">
                  <w:pPr>
                    <w:widowControl/>
                    <w:jc w:val="center"/>
                    <w:textAlignment w:val="center"/>
                    <w:rPr>
                      <w:color w:val="auto"/>
                      <w:kern w:val="0"/>
                      <w:szCs w:val="21"/>
                      <w:lang w:bidi="ar"/>
                    </w:rPr>
                  </w:pPr>
                  <w:r>
                    <w:rPr>
                      <w:rFonts w:hint="eastAsia"/>
                      <w:color w:val="auto"/>
                      <w:kern w:val="0"/>
                      <w:szCs w:val="21"/>
                      <w:lang w:bidi="ar"/>
                    </w:rPr>
                    <w:t>符合性</w:t>
                  </w:r>
                </w:p>
              </w:tc>
            </w:tr>
            <w:tr w14:paraId="3032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vMerge w:val="restart"/>
                  <w:vAlign w:val="center"/>
                </w:tcPr>
                <w:p w14:paraId="3E09AE2F">
                  <w:pPr>
                    <w:widowControl/>
                    <w:jc w:val="center"/>
                    <w:textAlignment w:val="center"/>
                    <w:rPr>
                      <w:color w:val="auto"/>
                      <w:kern w:val="0"/>
                      <w:szCs w:val="21"/>
                      <w:lang w:bidi="ar"/>
                    </w:rPr>
                  </w:pPr>
                  <w:r>
                    <w:rPr>
                      <w:rFonts w:hint="eastAsia"/>
                      <w:color w:val="auto"/>
                      <w:kern w:val="0"/>
                      <w:szCs w:val="21"/>
                      <w:lang w:bidi="ar"/>
                    </w:rPr>
                    <w:t>国务院关于</w:t>
                  </w:r>
                </w:p>
                <w:p w14:paraId="5903AA14">
                  <w:pPr>
                    <w:widowControl/>
                    <w:jc w:val="center"/>
                    <w:textAlignment w:val="center"/>
                    <w:rPr>
                      <w:color w:val="auto"/>
                      <w:kern w:val="0"/>
                      <w:szCs w:val="21"/>
                      <w:lang w:bidi="ar"/>
                    </w:rPr>
                  </w:pPr>
                  <w:r>
                    <w:rPr>
                      <w:rFonts w:hint="eastAsia"/>
                      <w:color w:val="auto"/>
                      <w:kern w:val="0"/>
                      <w:szCs w:val="21"/>
                      <w:lang w:eastAsia="zh-CN" w:bidi="ar"/>
                    </w:rPr>
                    <w:t>引发</w:t>
                  </w:r>
                  <w:r>
                    <w:rPr>
                      <w:rFonts w:hint="eastAsia"/>
                      <w:color w:val="auto"/>
                      <w:kern w:val="0"/>
                      <w:szCs w:val="21"/>
                      <w:lang w:bidi="ar"/>
                    </w:rPr>
                    <w:t>水污染</w:t>
                  </w:r>
                </w:p>
                <w:p w14:paraId="26BC4944">
                  <w:pPr>
                    <w:widowControl/>
                    <w:jc w:val="center"/>
                    <w:textAlignment w:val="center"/>
                    <w:rPr>
                      <w:color w:val="auto"/>
                      <w:kern w:val="0"/>
                      <w:szCs w:val="21"/>
                      <w:lang w:bidi="ar"/>
                    </w:rPr>
                  </w:pPr>
                  <w:r>
                    <w:rPr>
                      <w:rFonts w:hint="eastAsia"/>
                      <w:color w:val="auto"/>
                      <w:kern w:val="0"/>
                      <w:szCs w:val="21"/>
                      <w:lang w:bidi="ar"/>
                    </w:rPr>
                    <w:t>防治行动计划的通知</w:t>
                  </w:r>
                </w:p>
                <w:p w14:paraId="5CFE81FF">
                  <w:pPr>
                    <w:widowControl/>
                    <w:jc w:val="center"/>
                    <w:textAlignment w:val="center"/>
                    <w:rPr>
                      <w:color w:val="auto"/>
                      <w:kern w:val="0"/>
                      <w:szCs w:val="21"/>
                      <w:lang w:bidi="ar"/>
                    </w:rPr>
                  </w:pPr>
                  <w:r>
                    <w:rPr>
                      <w:rFonts w:hint="eastAsia"/>
                      <w:color w:val="auto"/>
                      <w:kern w:val="0"/>
                      <w:szCs w:val="21"/>
                      <w:lang w:bidi="ar"/>
                    </w:rPr>
                    <w:t>国发</w:t>
                  </w:r>
                </w:p>
                <w:p w14:paraId="48150237">
                  <w:pPr>
                    <w:widowControl/>
                    <w:jc w:val="center"/>
                    <w:textAlignment w:val="center"/>
                    <w:rPr>
                      <w:color w:val="auto"/>
                      <w:kern w:val="0"/>
                      <w:szCs w:val="21"/>
                      <w:lang w:bidi="ar"/>
                    </w:rPr>
                  </w:pPr>
                  <w:r>
                    <w:rPr>
                      <w:rFonts w:hint="eastAsia"/>
                      <w:color w:val="auto"/>
                      <w:kern w:val="0"/>
                      <w:szCs w:val="21"/>
                      <w:lang w:bidi="ar"/>
                    </w:rPr>
                    <w:t>〔2015〕17</w:t>
                  </w:r>
                </w:p>
                <w:p w14:paraId="592593A5">
                  <w:pPr>
                    <w:widowControl/>
                    <w:jc w:val="center"/>
                    <w:textAlignment w:val="center"/>
                    <w:rPr>
                      <w:color w:val="auto"/>
                      <w:kern w:val="0"/>
                      <w:szCs w:val="21"/>
                      <w:lang w:bidi="ar"/>
                    </w:rPr>
                  </w:pPr>
                  <w:r>
                    <w:rPr>
                      <w:rFonts w:hint="eastAsia"/>
                      <w:color w:val="auto"/>
                      <w:kern w:val="0"/>
                      <w:szCs w:val="21"/>
                      <w:lang w:bidi="ar"/>
                    </w:rPr>
                    <w:t>号</w:t>
                  </w:r>
                </w:p>
              </w:tc>
              <w:tc>
                <w:tcPr>
                  <w:tcW w:w="4362" w:type="dxa"/>
                  <w:vAlign w:val="center"/>
                </w:tcPr>
                <w:p w14:paraId="05582059">
                  <w:pPr>
                    <w:widowControl/>
                    <w:jc w:val="center"/>
                    <w:textAlignment w:val="center"/>
                    <w:rPr>
                      <w:color w:val="auto"/>
                      <w:kern w:val="0"/>
                      <w:szCs w:val="21"/>
                      <w:lang w:bidi="ar"/>
                    </w:rPr>
                  </w:pPr>
                  <w:r>
                    <w:rPr>
                      <w:rFonts w:hint="eastAsia"/>
                      <w:color w:val="auto"/>
                      <w:kern w:val="0"/>
                      <w:szCs w:val="21"/>
                      <w:lang w:bidi="ar"/>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148" w:type="dxa"/>
                  <w:vAlign w:val="center"/>
                </w:tcPr>
                <w:p w14:paraId="3E077935">
                  <w:pPr>
                    <w:widowControl/>
                    <w:jc w:val="center"/>
                    <w:textAlignment w:val="center"/>
                    <w:rPr>
                      <w:color w:val="auto"/>
                      <w:kern w:val="0"/>
                      <w:szCs w:val="21"/>
                      <w:lang w:bidi="ar"/>
                    </w:rPr>
                  </w:pPr>
                  <w:r>
                    <w:rPr>
                      <w:rFonts w:hint="eastAsia"/>
                      <w:color w:val="auto"/>
                      <w:kern w:val="0"/>
                      <w:szCs w:val="21"/>
                      <w:lang w:bidi="ar"/>
                    </w:rPr>
                    <w:t>本项目不属于“十小”企业，不属于取缔项目</w:t>
                  </w:r>
                </w:p>
              </w:tc>
              <w:tc>
                <w:tcPr>
                  <w:tcW w:w="419" w:type="dxa"/>
                  <w:vAlign w:val="center"/>
                </w:tcPr>
                <w:p w14:paraId="7EDDB3B7">
                  <w:pPr>
                    <w:widowControl/>
                    <w:jc w:val="center"/>
                    <w:textAlignment w:val="center"/>
                    <w:rPr>
                      <w:color w:val="auto"/>
                      <w:kern w:val="0"/>
                      <w:szCs w:val="21"/>
                      <w:lang w:bidi="ar"/>
                    </w:rPr>
                  </w:pPr>
                  <w:r>
                    <w:rPr>
                      <w:rFonts w:hint="eastAsia"/>
                      <w:color w:val="auto"/>
                      <w:kern w:val="0"/>
                      <w:szCs w:val="21"/>
                      <w:lang w:bidi="ar"/>
                    </w:rPr>
                    <w:t>符合</w:t>
                  </w:r>
                </w:p>
              </w:tc>
            </w:tr>
            <w:tr w14:paraId="51EC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3" w:type="dxa"/>
                  <w:vMerge w:val="continue"/>
                  <w:vAlign w:val="center"/>
                </w:tcPr>
                <w:p w14:paraId="69D045C2">
                  <w:pPr>
                    <w:widowControl/>
                    <w:jc w:val="center"/>
                    <w:textAlignment w:val="center"/>
                    <w:rPr>
                      <w:color w:val="auto"/>
                      <w:kern w:val="0"/>
                      <w:szCs w:val="21"/>
                      <w:lang w:bidi="ar"/>
                    </w:rPr>
                  </w:pPr>
                </w:p>
              </w:tc>
              <w:tc>
                <w:tcPr>
                  <w:tcW w:w="4362" w:type="dxa"/>
                  <w:vAlign w:val="center"/>
                </w:tcPr>
                <w:p w14:paraId="19A2EAB5">
                  <w:pPr>
                    <w:widowControl/>
                    <w:jc w:val="center"/>
                    <w:textAlignment w:val="center"/>
                    <w:rPr>
                      <w:color w:val="auto"/>
                      <w:kern w:val="0"/>
                      <w:szCs w:val="21"/>
                      <w:lang w:bidi="ar"/>
                    </w:rPr>
                  </w:pPr>
                  <w:r>
                    <w:rPr>
                      <w:rFonts w:hint="eastAsia"/>
                      <w:color w:val="auto"/>
                      <w:kern w:val="0"/>
                      <w:szCs w:val="21"/>
                      <w:lang w:bidi="ar"/>
                    </w:rPr>
                    <w:t>（六）优化空间布局。合理确定发展布局、结构和规模。充分考虑水资源、水环境承载能力，以水定城、以水定地、以水定人、以水定产。重大项目原则上布局在优化开发区和重点开发区，并符合城乡规划和土地利用总体规划…严格控制缺水地区、水污染严重地区和敏感区域高耗水、高污染行业发展</w:t>
                  </w:r>
                  <w:r>
                    <w:rPr>
                      <w:rFonts w:hint="eastAsia"/>
                      <w:color w:val="auto"/>
                      <w:kern w:val="0"/>
                      <w:szCs w:val="21"/>
                      <w:lang w:eastAsia="zh-CN" w:bidi="ar"/>
                    </w:rPr>
                    <w:t>，对</w:t>
                  </w:r>
                  <w:r>
                    <w:rPr>
                      <w:rFonts w:hint="eastAsia"/>
                      <w:color w:val="auto"/>
                      <w:kern w:val="0"/>
                      <w:szCs w:val="21"/>
                      <w:lang w:bidi="ar"/>
                    </w:rPr>
                    <w:t>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148" w:type="dxa"/>
                  <w:vAlign w:val="center"/>
                </w:tcPr>
                <w:p w14:paraId="17415585">
                  <w:pPr>
                    <w:widowControl/>
                    <w:jc w:val="center"/>
                    <w:textAlignment w:val="center"/>
                    <w:rPr>
                      <w:color w:val="auto"/>
                      <w:kern w:val="0"/>
                      <w:szCs w:val="21"/>
                      <w:lang w:bidi="ar"/>
                    </w:rPr>
                  </w:pPr>
                  <w:r>
                    <w:rPr>
                      <w:rFonts w:hint="eastAsia"/>
                      <w:color w:val="auto"/>
                      <w:kern w:val="0"/>
                      <w:szCs w:val="21"/>
                      <w:lang w:bidi="ar"/>
                    </w:rPr>
                    <w:t>项目厂址所在区域不属于缺水地区、水污染严重地区和敏感区域；项目不属于七大重点流域干流沿岸</w:t>
                  </w:r>
                </w:p>
              </w:tc>
              <w:tc>
                <w:tcPr>
                  <w:tcW w:w="419" w:type="dxa"/>
                  <w:vAlign w:val="center"/>
                </w:tcPr>
                <w:p w14:paraId="4B9FD761">
                  <w:pPr>
                    <w:widowControl/>
                    <w:jc w:val="center"/>
                    <w:textAlignment w:val="center"/>
                    <w:rPr>
                      <w:color w:val="auto"/>
                      <w:kern w:val="0"/>
                      <w:szCs w:val="21"/>
                      <w:lang w:bidi="ar"/>
                    </w:rPr>
                  </w:pPr>
                  <w:r>
                    <w:rPr>
                      <w:rFonts w:hint="eastAsia"/>
                      <w:color w:val="auto"/>
                      <w:kern w:val="0"/>
                      <w:szCs w:val="21"/>
                      <w:lang w:bidi="ar"/>
                    </w:rPr>
                    <w:t>符合</w:t>
                  </w:r>
                </w:p>
              </w:tc>
            </w:tr>
          </w:tbl>
          <w:p w14:paraId="2F58B29D">
            <w:pPr>
              <w:pStyle w:val="18"/>
              <w:rPr>
                <w:color w:val="auto"/>
              </w:rPr>
            </w:pPr>
            <w:r>
              <w:rPr>
                <w:rFonts w:hint="eastAsia"/>
                <w:color w:val="auto"/>
              </w:rPr>
              <w:t>综上，本项目符合《国务院关于印发水污染防治行动计划的通知》（国发〔</w:t>
            </w:r>
            <w:r>
              <w:rPr>
                <w:color w:val="auto"/>
              </w:rPr>
              <w:t>2015</w:t>
            </w:r>
            <w:r>
              <w:rPr>
                <w:rFonts w:hint="eastAsia"/>
                <w:color w:val="auto"/>
              </w:rPr>
              <w:t>〕</w:t>
            </w:r>
            <w:r>
              <w:rPr>
                <w:color w:val="auto"/>
              </w:rPr>
              <w:t>17</w:t>
            </w:r>
            <w:r>
              <w:rPr>
                <w:rFonts w:hint="eastAsia"/>
                <w:color w:val="auto"/>
              </w:rPr>
              <w:t>号）要求。</w:t>
            </w:r>
          </w:p>
          <w:p w14:paraId="624EF498">
            <w:pPr>
              <w:pStyle w:val="18"/>
              <w:ind w:firstLine="422"/>
              <w:rPr>
                <w:rFonts w:hint="eastAsia"/>
                <w:b/>
                <w:bCs/>
                <w:color w:val="auto"/>
                <w:lang w:val="en-US" w:eastAsia="zh-CN"/>
              </w:rPr>
            </w:pPr>
            <w:r>
              <w:rPr>
                <w:b/>
                <w:bCs/>
                <w:color w:val="auto"/>
              </w:rPr>
              <w:t>2.</w:t>
            </w:r>
            <w:r>
              <w:rPr>
                <w:rFonts w:hint="eastAsia"/>
                <w:b/>
                <w:bCs/>
                <w:color w:val="auto"/>
                <w:lang w:val="en-US" w:eastAsia="zh-CN"/>
              </w:rPr>
              <w:t>4与相关农药要求符合性分析</w:t>
            </w:r>
          </w:p>
          <w:p w14:paraId="7E75061E">
            <w:pPr>
              <w:autoSpaceDE w:val="0"/>
              <w:autoSpaceDN w:val="0"/>
              <w:adjustRightInd w:val="0"/>
              <w:snapToGrid w:val="0"/>
              <w:jc w:val="center"/>
              <w:rPr>
                <w:b/>
                <w:bCs/>
                <w:color w:val="auto"/>
                <w:kern w:val="0"/>
                <w:szCs w:val="21"/>
              </w:rPr>
            </w:pPr>
            <w:r>
              <w:rPr>
                <w:rFonts w:hint="eastAsia"/>
                <w:b/>
                <w:bCs/>
                <w:color w:val="auto"/>
                <w:kern w:val="0"/>
                <w:szCs w:val="21"/>
              </w:rPr>
              <w:t>表1-</w:t>
            </w:r>
            <w:r>
              <w:rPr>
                <w:b/>
                <w:bCs/>
                <w:color w:val="auto"/>
                <w:kern w:val="0"/>
                <w:szCs w:val="21"/>
              </w:rPr>
              <w:t>8</w:t>
            </w:r>
            <w:r>
              <w:rPr>
                <w:rFonts w:hint="eastAsia"/>
                <w:b/>
                <w:bCs/>
                <w:color w:val="auto"/>
                <w:kern w:val="0"/>
                <w:szCs w:val="21"/>
              </w:rPr>
              <w:t>本项目与相关</w:t>
            </w:r>
            <w:r>
              <w:rPr>
                <w:rFonts w:hint="eastAsia"/>
                <w:b/>
                <w:bCs/>
                <w:color w:val="auto"/>
                <w:kern w:val="0"/>
                <w:szCs w:val="21"/>
                <w:lang w:val="en-US" w:eastAsia="zh-CN"/>
              </w:rPr>
              <w:t>要求</w:t>
            </w:r>
            <w:r>
              <w:rPr>
                <w:rFonts w:hint="eastAsia"/>
                <w:b/>
                <w:bCs/>
                <w:color w:val="auto"/>
                <w:kern w:val="0"/>
                <w:szCs w:val="21"/>
              </w:rPr>
              <w:t>符合性分析</w:t>
            </w:r>
          </w:p>
          <w:tbl>
            <w:tblPr>
              <w:tblStyle w:val="19"/>
              <w:tblW w:w="6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046"/>
              <w:gridCol w:w="2469"/>
              <w:gridCol w:w="684"/>
            </w:tblGrid>
            <w:tr w14:paraId="1BAB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89" w:type="pct"/>
                  <w:vAlign w:val="center"/>
                </w:tcPr>
                <w:p w14:paraId="4390BC86">
                  <w:pPr>
                    <w:widowControl/>
                    <w:adjustRightInd w:val="0"/>
                    <w:jc w:val="center"/>
                    <w:textAlignment w:val="center"/>
                    <w:rPr>
                      <w:color w:val="auto"/>
                      <w:kern w:val="0"/>
                      <w:szCs w:val="21"/>
                      <w:lang w:bidi="ar"/>
                    </w:rPr>
                  </w:pPr>
                  <w:r>
                    <w:rPr>
                      <w:color w:val="auto"/>
                      <w:kern w:val="0"/>
                      <w:szCs w:val="21"/>
                      <w:lang w:bidi="ar"/>
                    </w:rPr>
                    <w:t>规划文件</w:t>
                  </w:r>
                </w:p>
              </w:tc>
              <w:tc>
                <w:tcPr>
                  <w:tcW w:w="2216" w:type="pct"/>
                  <w:vAlign w:val="center"/>
                </w:tcPr>
                <w:p w14:paraId="24170BEC">
                  <w:pPr>
                    <w:widowControl/>
                    <w:adjustRightInd w:val="0"/>
                    <w:jc w:val="center"/>
                    <w:textAlignment w:val="center"/>
                    <w:rPr>
                      <w:color w:val="auto"/>
                      <w:kern w:val="0"/>
                      <w:szCs w:val="21"/>
                      <w:lang w:bidi="ar"/>
                    </w:rPr>
                  </w:pPr>
                  <w:r>
                    <w:rPr>
                      <w:rFonts w:hint="eastAsia"/>
                      <w:color w:val="auto"/>
                      <w:kern w:val="0"/>
                      <w:szCs w:val="21"/>
                      <w:lang w:val="en-US" w:eastAsia="zh-CN" w:bidi="ar"/>
                    </w:rPr>
                    <w:t>文件</w:t>
                  </w:r>
                  <w:r>
                    <w:rPr>
                      <w:color w:val="auto"/>
                      <w:kern w:val="0"/>
                      <w:szCs w:val="21"/>
                      <w:lang w:bidi="ar"/>
                    </w:rPr>
                    <w:t>要求</w:t>
                  </w:r>
                </w:p>
              </w:tc>
              <w:tc>
                <w:tcPr>
                  <w:tcW w:w="1796" w:type="pct"/>
                  <w:vAlign w:val="center"/>
                </w:tcPr>
                <w:p w14:paraId="0263DD1B">
                  <w:pPr>
                    <w:widowControl/>
                    <w:adjustRightInd w:val="0"/>
                    <w:jc w:val="center"/>
                    <w:textAlignment w:val="center"/>
                    <w:rPr>
                      <w:color w:val="auto"/>
                      <w:kern w:val="0"/>
                      <w:szCs w:val="21"/>
                      <w:lang w:bidi="ar"/>
                    </w:rPr>
                  </w:pPr>
                  <w:r>
                    <w:rPr>
                      <w:color w:val="auto"/>
                      <w:kern w:val="0"/>
                      <w:szCs w:val="21"/>
                      <w:lang w:bidi="ar"/>
                    </w:rPr>
                    <w:t>本项目情况</w:t>
                  </w:r>
                </w:p>
              </w:tc>
              <w:tc>
                <w:tcPr>
                  <w:tcW w:w="497" w:type="pct"/>
                  <w:vAlign w:val="center"/>
                </w:tcPr>
                <w:p w14:paraId="5B67D991">
                  <w:pPr>
                    <w:widowControl/>
                    <w:adjustRightInd w:val="0"/>
                    <w:jc w:val="center"/>
                    <w:textAlignment w:val="center"/>
                    <w:rPr>
                      <w:color w:val="auto"/>
                      <w:kern w:val="0"/>
                      <w:szCs w:val="21"/>
                      <w:lang w:bidi="ar"/>
                    </w:rPr>
                  </w:pPr>
                  <w:r>
                    <w:rPr>
                      <w:color w:val="auto"/>
                      <w:kern w:val="0"/>
                      <w:szCs w:val="21"/>
                      <w:lang w:bidi="ar"/>
                    </w:rPr>
                    <w:t>符合性</w:t>
                  </w:r>
                </w:p>
              </w:tc>
            </w:tr>
            <w:tr w14:paraId="59CA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89" w:type="pct"/>
                  <w:vAlign w:val="center"/>
                </w:tcPr>
                <w:p w14:paraId="1A545047">
                  <w:pPr>
                    <w:widowControl/>
                    <w:adjustRightInd w:val="0"/>
                    <w:jc w:val="center"/>
                    <w:textAlignment w:val="center"/>
                    <w:rPr>
                      <w:color w:val="auto"/>
                      <w:kern w:val="0"/>
                      <w:szCs w:val="21"/>
                      <w:lang w:bidi="ar"/>
                    </w:rPr>
                  </w:pPr>
                  <w:r>
                    <w:rPr>
                      <w:rFonts w:hint="eastAsia"/>
                      <w:color w:val="auto"/>
                      <w:kern w:val="0"/>
                      <w:szCs w:val="21"/>
                      <w:lang w:eastAsia="zh-CN" w:bidi="ar"/>
                    </w:rPr>
                    <w:t>《</w:t>
                  </w:r>
                  <w:r>
                    <w:rPr>
                      <w:rFonts w:hint="eastAsia"/>
                      <w:color w:val="auto"/>
                      <w:kern w:val="0"/>
                      <w:szCs w:val="21"/>
                      <w:lang w:bidi="ar"/>
                    </w:rPr>
                    <w:t>农药制造工业污染防治可行技术指南》</w:t>
                  </w:r>
                </w:p>
              </w:tc>
              <w:tc>
                <w:tcPr>
                  <w:tcW w:w="2216" w:type="pct"/>
                  <w:vAlign w:val="center"/>
                </w:tcPr>
                <w:p w14:paraId="4274511E">
                  <w:pPr>
                    <w:widowControl/>
                    <w:adjustRightInd w:val="0"/>
                    <w:jc w:val="center"/>
                    <w:textAlignment w:val="center"/>
                    <w:rPr>
                      <w:rFonts w:hint="eastAsia"/>
                      <w:color w:val="auto"/>
                      <w:kern w:val="0"/>
                      <w:szCs w:val="21"/>
                      <w:lang w:bidi="ar"/>
                    </w:rPr>
                  </w:pPr>
                  <w:r>
                    <w:rPr>
                      <w:rFonts w:hint="eastAsia"/>
                      <w:color w:val="auto"/>
                      <w:kern w:val="0"/>
                      <w:szCs w:val="21"/>
                      <w:lang w:bidi="ar"/>
                    </w:rPr>
                    <w:t>（1）提升工艺装备水平，采用连续化、自动化、密闭性高的生产工艺和设备，减少物料转运次数。（2）对生化处理有抑制的废水要根据具体水质情况选择相应的物化预处理技术，处理后的水与其它生产废水、辅助工序废水、日常维护工序废水和生活污水混合为综合废水，综合废水处理一般采用物化预处理、生化处理、深度处理等组合技术路线，同时可降低出水的综合毒性。</w:t>
                  </w:r>
                </w:p>
                <w:p w14:paraId="60B466BA">
                  <w:pPr>
                    <w:widowControl/>
                    <w:adjustRightInd w:val="0"/>
                    <w:jc w:val="center"/>
                    <w:textAlignment w:val="center"/>
                    <w:rPr>
                      <w:color w:val="auto"/>
                      <w:kern w:val="0"/>
                      <w:szCs w:val="21"/>
                      <w:lang w:bidi="ar"/>
                    </w:rPr>
                  </w:pPr>
                  <w:r>
                    <w:rPr>
                      <w:rFonts w:hint="eastAsia"/>
                      <w:color w:val="auto"/>
                      <w:kern w:val="0"/>
                      <w:szCs w:val="21"/>
                      <w:lang w:bidi="ar"/>
                    </w:rPr>
                    <w:t>（3）含尘废气处理技术包括旋风除尘处理技术、袋式除尘处理技术、湿式电除尘处理技术。</w:t>
                  </w:r>
                </w:p>
              </w:tc>
              <w:tc>
                <w:tcPr>
                  <w:tcW w:w="1796" w:type="pct"/>
                  <w:vAlign w:val="center"/>
                </w:tcPr>
                <w:p w14:paraId="15245FDE">
                  <w:pPr>
                    <w:widowControl/>
                    <w:adjustRightInd w:val="0"/>
                    <w:jc w:val="center"/>
                    <w:textAlignment w:val="center"/>
                    <w:rPr>
                      <w:color w:val="auto"/>
                      <w:kern w:val="0"/>
                      <w:szCs w:val="21"/>
                      <w:lang w:bidi="ar"/>
                    </w:rPr>
                  </w:pPr>
                  <w:r>
                    <w:rPr>
                      <w:rFonts w:hint="eastAsia"/>
                      <w:color w:val="auto"/>
                      <w:kern w:val="0"/>
                      <w:szCs w:val="21"/>
                      <w:lang w:bidi="ar"/>
                    </w:rPr>
                    <w:t>（1）本项目生产设备均计划新购置，无落后淘汰类设备或工艺，生产过程均为自动化高、全密闭生产设备，且运营后安装DCS集中控制系统，实时掌握生产动态。（2）</w:t>
                  </w:r>
                  <w:r>
                    <w:rPr>
                      <w:rFonts w:hint="eastAsia"/>
                      <w:b w:val="0"/>
                      <w:bCs w:val="0"/>
                      <w:color w:val="auto"/>
                      <w:kern w:val="0"/>
                      <w:szCs w:val="21"/>
                      <w:lang w:bidi="ar"/>
                    </w:rPr>
                    <w:t>设备清洗废水收集于清洗罐中，贴上标签，用于下一轮相同产品的生产，不外排，</w:t>
                  </w:r>
                  <w:r>
                    <w:rPr>
                      <w:rFonts w:hint="eastAsia"/>
                      <w:color w:val="auto"/>
                      <w:kern w:val="0"/>
                      <w:szCs w:val="21"/>
                      <w:lang w:bidi="ar"/>
                    </w:rPr>
                    <w:t>本项目生产废水全部回用于生产，符合要求。（3）本项目农药及药肥生产均采用袋式除尘器，符合要求。</w:t>
                  </w:r>
                </w:p>
              </w:tc>
              <w:tc>
                <w:tcPr>
                  <w:tcW w:w="497" w:type="pct"/>
                  <w:vAlign w:val="center"/>
                </w:tcPr>
                <w:p w14:paraId="228C6444">
                  <w:pPr>
                    <w:widowControl/>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符合</w:t>
                  </w:r>
                </w:p>
              </w:tc>
            </w:tr>
            <w:tr w14:paraId="6940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89" w:type="pct"/>
                  <w:vAlign w:val="center"/>
                </w:tcPr>
                <w:p w14:paraId="69CF4505">
                  <w:pPr>
                    <w:widowControl/>
                    <w:adjustRightInd w:val="0"/>
                    <w:jc w:val="center"/>
                    <w:textAlignment w:val="center"/>
                    <w:rPr>
                      <w:color w:val="auto"/>
                      <w:kern w:val="0"/>
                      <w:szCs w:val="21"/>
                      <w:lang w:bidi="ar"/>
                    </w:rPr>
                  </w:pPr>
                  <w:r>
                    <w:rPr>
                      <w:rFonts w:hint="eastAsia"/>
                      <w:color w:val="auto"/>
                      <w:kern w:val="0"/>
                      <w:szCs w:val="21"/>
                      <w:lang w:bidi="ar"/>
                    </w:rPr>
                    <w:t>《农药工业挥发性有机物治理实用手册》</w:t>
                  </w:r>
                </w:p>
              </w:tc>
              <w:tc>
                <w:tcPr>
                  <w:tcW w:w="2216" w:type="pct"/>
                  <w:vAlign w:val="center"/>
                </w:tcPr>
                <w:p w14:paraId="01E9AB17">
                  <w:pPr>
                    <w:widowControl/>
                    <w:adjustRightInd w:val="0"/>
                    <w:jc w:val="center"/>
                    <w:textAlignment w:val="center"/>
                    <w:rPr>
                      <w:color w:val="auto"/>
                      <w:kern w:val="0"/>
                      <w:szCs w:val="21"/>
                      <w:lang w:bidi="ar"/>
                    </w:rPr>
                  </w:pPr>
                  <w:r>
                    <w:rPr>
                      <w:rFonts w:hint="eastAsia"/>
                      <w:color w:val="auto"/>
                      <w:kern w:val="0"/>
                      <w:szCs w:val="21"/>
                      <w:lang w:bidi="ar"/>
                    </w:rPr>
                    <w:t>（1）盛装VOCs物料的容器或包装袋应存放于室内，或存放于设置有雨棚、遮阳和防渗设施的专用场地，在非取用状态时应加盖封口，保持密闭。（2）易产生VOCs的固体物料采用固体粉料自动投料系统、螺旋推进式投料系统等密闭投料装置，若难以实现密闭投料的，将投料口密闭隔离，采用负压排气将投料尾气有效收集至VOCs废气处理系统。（3）配料、反应、分离、提取、精制、干燥、溶剂回收等工艺有机废气收集后，采用冷凝+吸附回收、燃烧、吸附浓缩+燃烧进行处理，或送工艺加热炉、锅炉、焚烧炉燃烧处理（含废气除外）。</w:t>
                  </w:r>
                </w:p>
              </w:tc>
              <w:tc>
                <w:tcPr>
                  <w:tcW w:w="1796" w:type="pct"/>
                  <w:vAlign w:val="center"/>
                </w:tcPr>
                <w:p w14:paraId="5BE10EFB">
                  <w:pPr>
                    <w:widowControl/>
                    <w:adjustRightInd w:val="0"/>
                    <w:jc w:val="center"/>
                    <w:textAlignment w:val="center"/>
                    <w:rPr>
                      <w:rFonts w:hint="eastAsia"/>
                      <w:color w:val="auto"/>
                      <w:kern w:val="0"/>
                      <w:szCs w:val="21"/>
                      <w:lang w:bidi="ar"/>
                    </w:rPr>
                  </w:pPr>
                  <w:r>
                    <w:rPr>
                      <w:rFonts w:hint="eastAsia"/>
                      <w:color w:val="auto"/>
                      <w:kern w:val="0"/>
                      <w:szCs w:val="21"/>
                      <w:lang w:bidi="ar"/>
                    </w:rPr>
                    <w:t>（1）本项目含VOCs物料的容器或包装袋均在全密闭仓库内贮存，在非取用状态时应加盖封口，保持密闭。</w:t>
                  </w:r>
                </w:p>
                <w:p w14:paraId="70F71B07">
                  <w:pPr>
                    <w:widowControl/>
                    <w:adjustRightInd w:val="0"/>
                    <w:jc w:val="center"/>
                    <w:textAlignment w:val="center"/>
                    <w:rPr>
                      <w:rFonts w:hint="default" w:eastAsia="宋体"/>
                      <w:color w:val="auto"/>
                      <w:kern w:val="0"/>
                      <w:szCs w:val="21"/>
                      <w:lang w:val="en-US" w:eastAsia="zh-CN" w:bidi="ar"/>
                    </w:rPr>
                  </w:pPr>
                  <w:r>
                    <w:rPr>
                      <w:rFonts w:hint="eastAsia"/>
                      <w:color w:val="auto"/>
                      <w:kern w:val="0"/>
                      <w:szCs w:val="21"/>
                      <w:lang w:bidi="ar"/>
                    </w:rPr>
                    <w:t>（2）本项目</w:t>
                  </w:r>
                  <w:r>
                    <w:rPr>
                      <w:rFonts w:hint="eastAsia"/>
                      <w:color w:val="auto"/>
                      <w:kern w:val="0"/>
                      <w:szCs w:val="21"/>
                      <w:lang w:val="en-US" w:eastAsia="zh-CN" w:bidi="ar"/>
                    </w:rPr>
                    <w:t>液体</w:t>
                  </w:r>
                  <w:r>
                    <w:rPr>
                      <w:rFonts w:hint="eastAsia"/>
                      <w:color w:val="auto"/>
                      <w:kern w:val="0"/>
                      <w:szCs w:val="21"/>
                      <w:lang w:bidi="ar"/>
                    </w:rPr>
                    <w:t>投料采用密闭气动输送，过程为全密闭状态，</w:t>
                  </w:r>
                  <w:r>
                    <w:rPr>
                      <w:rFonts w:hint="eastAsia"/>
                      <w:color w:val="auto"/>
                      <w:kern w:val="0"/>
                      <w:szCs w:val="21"/>
                      <w:lang w:val="en-US" w:eastAsia="zh-CN" w:bidi="ar"/>
                    </w:rPr>
                    <w:t>固体投料采用三面围挡的方式</w:t>
                  </w:r>
                </w:p>
                <w:p w14:paraId="52530931">
                  <w:pPr>
                    <w:widowControl/>
                    <w:adjustRightInd w:val="0"/>
                    <w:jc w:val="center"/>
                    <w:textAlignment w:val="center"/>
                    <w:rPr>
                      <w:color w:val="auto"/>
                      <w:kern w:val="0"/>
                      <w:szCs w:val="21"/>
                      <w:lang w:bidi="ar"/>
                    </w:rPr>
                  </w:pPr>
                  <w:r>
                    <w:rPr>
                      <w:rFonts w:hint="eastAsia"/>
                      <w:color w:val="auto"/>
                      <w:kern w:val="0"/>
                      <w:szCs w:val="21"/>
                      <w:lang w:bidi="ar"/>
                    </w:rPr>
                    <w:t>（3）本项</w:t>
                  </w:r>
                  <w:r>
                    <w:rPr>
                      <w:rFonts w:hint="eastAsia"/>
                      <w:color w:val="auto"/>
                      <w:kern w:val="0"/>
                      <w:szCs w:val="21"/>
                      <w:lang w:eastAsia="zh-CN" w:bidi="ar"/>
                    </w:rPr>
                    <w:t>目是</w:t>
                  </w:r>
                  <w:r>
                    <w:rPr>
                      <w:rFonts w:hint="eastAsia"/>
                      <w:color w:val="auto"/>
                      <w:kern w:val="0"/>
                      <w:szCs w:val="21"/>
                      <w:lang w:bidi="ar"/>
                    </w:rPr>
                    <w:t>非农药原药生产项目，仅为农药分装，工艺简单、有机废气产生量较小，采用两级活性炭处理后经15m高排气口高空排放，排放浓度满足《农药制造工业大气污染物排放标准》（GB39727-2020）表1大气污染物排放限值，符合要求。</w:t>
                  </w:r>
                </w:p>
              </w:tc>
              <w:tc>
                <w:tcPr>
                  <w:tcW w:w="497" w:type="pct"/>
                  <w:vAlign w:val="center"/>
                </w:tcPr>
                <w:p w14:paraId="4201DAFC">
                  <w:pPr>
                    <w:widowControl/>
                    <w:adjustRightInd w:val="0"/>
                    <w:jc w:val="center"/>
                    <w:textAlignment w:val="center"/>
                    <w:rPr>
                      <w:color w:val="auto"/>
                      <w:kern w:val="0"/>
                      <w:szCs w:val="21"/>
                      <w:lang w:bidi="ar"/>
                    </w:rPr>
                  </w:pPr>
                  <w:r>
                    <w:rPr>
                      <w:rFonts w:hint="eastAsia"/>
                      <w:color w:val="auto"/>
                      <w:kern w:val="0"/>
                      <w:szCs w:val="21"/>
                      <w:lang w:val="en-US" w:eastAsia="zh-CN" w:bidi="ar"/>
                    </w:rPr>
                    <w:t>符合</w:t>
                  </w:r>
                </w:p>
              </w:tc>
            </w:tr>
          </w:tbl>
          <w:p w14:paraId="3CC341C1">
            <w:pPr>
              <w:pStyle w:val="18"/>
              <w:ind w:firstLine="422"/>
              <w:rPr>
                <w:rFonts w:hint="eastAsia"/>
                <w:b/>
                <w:bCs/>
                <w:color w:val="auto"/>
              </w:rPr>
            </w:pPr>
          </w:p>
          <w:p w14:paraId="279D8B7F">
            <w:pPr>
              <w:pStyle w:val="18"/>
              <w:ind w:firstLine="422"/>
              <w:rPr>
                <w:rFonts w:hint="eastAsia"/>
                <w:b/>
                <w:bCs/>
                <w:color w:val="auto"/>
              </w:rPr>
            </w:pPr>
          </w:p>
          <w:p w14:paraId="28DFFAA8">
            <w:pPr>
              <w:pStyle w:val="18"/>
              <w:ind w:firstLine="422"/>
              <w:rPr>
                <w:rFonts w:hint="eastAsia"/>
                <w:b/>
                <w:bCs/>
                <w:color w:val="auto"/>
              </w:rPr>
            </w:pPr>
          </w:p>
          <w:p w14:paraId="116A09D7">
            <w:pPr>
              <w:pStyle w:val="18"/>
              <w:ind w:firstLine="422"/>
              <w:rPr>
                <w:b/>
                <w:bCs/>
                <w:color w:val="auto"/>
              </w:rPr>
            </w:pPr>
            <w:r>
              <w:rPr>
                <w:rFonts w:hint="eastAsia"/>
                <w:b/>
                <w:bCs/>
                <w:color w:val="auto"/>
              </w:rPr>
              <w:t>2.</w:t>
            </w:r>
            <w:r>
              <w:rPr>
                <w:rFonts w:hint="eastAsia"/>
                <w:b/>
                <w:bCs/>
                <w:color w:val="auto"/>
                <w:lang w:val="en-US" w:eastAsia="zh-CN"/>
              </w:rPr>
              <w:t>5</w:t>
            </w:r>
            <w:r>
              <w:rPr>
                <w:rFonts w:hint="eastAsia"/>
                <w:b/>
                <w:bCs/>
                <w:color w:val="auto"/>
              </w:rPr>
              <w:t>与相关生态规划符合性分析</w:t>
            </w:r>
          </w:p>
          <w:p w14:paraId="20915332">
            <w:pPr>
              <w:autoSpaceDE w:val="0"/>
              <w:autoSpaceDN w:val="0"/>
              <w:adjustRightInd w:val="0"/>
              <w:snapToGrid w:val="0"/>
              <w:jc w:val="center"/>
              <w:rPr>
                <w:b/>
                <w:bCs/>
                <w:color w:val="auto"/>
                <w:kern w:val="0"/>
                <w:szCs w:val="21"/>
              </w:rPr>
            </w:pPr>
            <w:r>
              <w:rPr>
                <w:rFonts w:hint="eastAsia"/>
                <w:b/>
                <w:bCs/>
                <w:color w:val="auto"/>
                <w:kern w:val="0"/>
                <w:szCs w:val="21"/>
              </w:rPr>
              <w:t>表1-</w:t>
            </w:r>
            <w:r>
              <w:rPr>
                <w:b/>
                <w:bCs/>
                <w:color w:val="auto"/>
                <w:kern w:val="0"/>
                <w:szCs w:val="21"/>
              </w:rPr>
              <w:t>8</w:t>
            </w:r>
            <w:r>
              <w:rPr>
                <w:rFonts w:hint="eastAsia"/>
                <w:b/>
                <w:bCs/>
                <w:color w:val="auto"/>
                <w:kern w:val="0"/>
                <w:szCs w:val="21"/>
              </w:rPr>
              <w:t>本项目与相关生态规划符合性分析</w:t>
            </w:r>
          </w:p>
          <w:tbl>
            <w:tblPr>
              <w:tblStyle w:val="19"/>
              <w:tblW w:w="6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945"/>
              <w:gridCol w:w="1605"/>
              <w:gridCol w:w="584"/>
            </w:tblGrid>
            <w:tr w14:paraId="6C3E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30" w:type="pct"/>
                  <w:vAlign w:val="center"/>
                </w:tcPr>
                <w:p w14:paraId="72E72C25">
                  <w:pPr>
                    <w:widowControl/>
                    <w:adjustRightInd w:val="0"/>
                    <w:jc w:val="center"/>
                    <w:textAlignment w:val="center"/>
                    <w:rPr>
                      <w:color w:val="auto"/>
                      <w:kern w:val="0"/>
                      <w:szCs w:val="21"/>
                      <w:lang w:bidi="ar"/>
                    </w:rPr>
                  </w:pPr>
                  <w:r>
                    <w:rPr>
                      <w:color w:val="auto"/>
                      <w:kern w:val="0"/>
                      <w:szCs w:val="21"/>
                      <w:lang w:bidi="ar"/>
                    </w:rPr>
                    <w:t>规划文件</w:t>
                  </w:r>
                </w:p>
              </w:tc>
              <w:tc>
                <w:tcPr>
                  <w:tcW w:w="2874" w:type="pct"/>
                  <w:vAlign w:val="center"/>
                </w:tcPr>
                <w:p w14:paraId="417E1F6A">
                  <w:pPr>
                    <w:widowControl/>
                    <w:adjustRightInd w:val="0"/>
                    <w:jc w:val="center"/>
                    <w:textAlignment w:val="center"/>
                    <w:rPr>
                      <w:color w:val="auto"/>
                      <w:kern w:val="0"/>
                      <w:szCs w:val="21"/>
                      <w:lang w:bidi="ar"/>
                    </w:rPr>
                  </w:pPr>
                  <w:r>
                    <w:rPr>
                      <w:color w:val="auto"/>
                      <w:kern w:val="0"/>
                      <w:szCs w:val="21"/>
                      <w:lang w:bidi="ar"/>
                    </w:rPr>
                    <w:t>规划要求</w:t>
                  </w:r>
                </w:p>
              </w:tc>
              <w:tc>
                <w:tcPr>
                  <w:tcW w:w="1169" w:type="pct"/>
                  <w:vAlign w:val="center"/>
                </w:tcPr>
                <w:p w14:paraId="3D63BD3B">
                  <w:pPr>
                    <w:widowControl/>
                    <w:adjustRightInd w:val="0"/>
                    <w:jc w:val="center"/>
                    <w:textAlignment w:val="center"/>
                    <w:rPr>
                      <w:color w:val="auto"/>
                      <w:kern w:val="0"/>
                      <w:szCs w:val="21"/>
                      <w:lang w:bidi="ar"/>
                    </w:rPr>
                  </w:pPr>
                  <w:r>
                    <w:rPr>
                      <w:color w:val="auto"/>
                      <w:kern w:val="0"/>
                      <w:szCs w:val="21"/>
                      <w:lang w:bidi="ar"/>
                    </w:rPr>
                    <w:t>本项目情况</w:t>
                  </w:r>
                </w:p>
              </w:tc>
              <w:tc>
                <w:tcPr>
                  <w:tcW w:w="425" w:type="pct"/>
                  <w:vAlign w:val="center"/>
                </w:tcPr>
                <w:p w14:paraId="654E7781">
                  <w:pPr>
                    <w:widowControl/>
                    <w:adjustRightInd w:val="0"/>
                    <w:jc w:val="center"/>
                    <w:textAlignment w:val="center"/>
                    <w:rPr>
                      <w:color w:val="auto"/>
                      <w:kern w:val="0"/>
                      <w:szCs w:val="21"/>
                      <w:lang w:bidi="ar"/>
                    </w:rPr>
                  </w:pPr>
                  <w:r>
                    <w:rPr>
                      <w:color w:val="auto"/>
                      <w:kern w:val="0"/>
                      <w:szCs w:val="21"/>
                      <w:lang w:bidi="ar"/>
                    </w:rPr>
                    <w:t>符合性</w:t>
                  </w:r>
                </w:p>
              </w:tc>
            </w:tr>
            <w:tr w14:paraId="4248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530" w:type="pct"/>
                  <w:vAlign w:val="center"/>
                </w:tcPr>
                <w:p w14:paraId="2DA52C97">
                  <w:pPr>
                    <w:widowControl/>
                    <w:adjustRightInd w:val="0"/>
                    <w:jc w:val="center"/>
                    <w:textAlignment w:val="center"/>
                    <w:rPr>
                      <w:color w:val="auto"/>
                      <w:kern w:val="0"/>
                      <w:szCs w:val="21"/>
                      <w:lang w:bidi="ar"/>
                    </w:rPr>
                  </w:pPr>
                  <w:r>
                    <w:rPr>
                      <w:rFonts w:hint="eastAsia"/>
                      <w:color w:val="auto"/>
                      <w:kern w:val="0"/>
                      <w:szCs w:val="21"/>
                      <w:lang w:bidi="ar"/>
                    </w:rPr>
                    <w:t>新疆生态环境保护“十四五”规划</w:t>
                  </w:r>
                </w:p>
              </w:tc>
              <w:tc>
                <w:tcPr>
                  <w:tcW w:w="2874" w:type="pct"/>
                  <w:vAlign w:val="center"/>
                </w:tcPr>
                <w:p w14:paraId="643066D3">
                  <w:pPr>
                    <w:adjustRightInd w:val="0"/>
                    <w:jc w:val="center"/>
                    <w:textAlignment w:val="center"/>
                    <w:rPr>
                      <w:color w:val="auto"/>
                      <w:kern w:val="0"/>
                      <w:szCs w:val="21"/>
                      <w:lang w:bidi="ar"/>
                    </w:rPr>
                  </w:pPr>
                  <w:r>
                    <w:rPr>
                      <w:rFonts w:hint="eastAsia"/>
                      <w:color w:val="auto"/>
                      <w:kern w:val="0"/>
                      <w:szCs w:val="21"/>
                      <w:lang w:bidi="ar"/>
                    </w:rPr>
                    <w:t>坚持绿色引领。充分发挥生态环境保护对经济发展的优化促进作用，深入实施可持续发展战略，优化调整产业结构、能源结构及交通运输结构，形成节约资源和保护环境的生产、生活方式，推进碳达峰、碳中和，以生态环境高水平保护推动经济社会发展全面绿色转型，健全污染防治区域联动机制。进一步加强“乌—昌—石”“奎—独—乌”区域和伊宁市及周边区域大气污染同防同治，编制实施大气污染防治中长期规划。推进区域大气污染联防联控，落实兵地统一规划、统一政策、统一标准、统一要求、统一推进的防治管理措施，完善重大项目环境影响评价区域会商机制。建立兵地生态环境联合执法和联合监测长效机制，开展兵地联合执法监测。</w:t>
                  </w:r>
                </w:p>
              </w:tc>
              <w:tc>
                <w:tcPr>
                  <w:tcW w:w="1169" w:type="pct"/>
                  <w:vAlign w:val="center"/>
                </w:tcPr>
                <w:p w14:paraId="5FCDE877">
                  <w:pPr>
                    <w:adjustRightInd w:val="0"/>
                    <w:jc w:val="center"/>
                    <w:textAlignment w:val="center"/>
                    <w:rPr>
                      <w:color w:val="auto"/>
                      <w:kern w:val="0"/>
                      <w:szCs w:val="21"/>
                      <w:lang w:bidi="ar"/>
                    </w:rPr>
                  </w:pPr>
                  <w:r>
                    <w:rPr>
                      <w:rFonts w:hint="eastAsia"/>
                      <w:color w:val="auto"/>
                      <w:kern w:val="0"/>
                      <w:szCs w:val="21"/>
                      <w:lang w:bidi="ar"/>
                    </w:rPr>
                    <w:t>本项目不属于玻璃、陶瓷、铸造、铁合金、有色、煤化和石化等行业，项目大气污染物经环保设施处理后达标排放；</w:t>
                  </w:r>
                  <w:r>
                    <w:rPr>
                      <w:rFonts w:hint="eastAsia"/>
                      <w:color w:val="auto"/>
                      <w:kern w:val="0"/>
                      <w:szCs w:val="21"/>
                      <w:lang w:val="en-US" w:eastAsia="zh-CN" w:bidi="ar"/>
                    </w:rPr>
                    <w:t>生活</w:t>
                  </w:r>
                  <w:r>
                    <w:rPr>
                      <w:rFonts w:hint="eastAsia"/>
                      <w:color w:val="auto"/>
                      <w:kern w:val="0"/>
                      <w:szCs w:val="21"/>
                      <w:lang w:bidi="ar"/>
                    </w:rPr>
                    <w:t>污水</w:t>
                  </w:r>
                  <w:r>
                    <w:rPr>
                      <w:rFonts w:hint="eastAsia"/>
                      <w:color w:val="auto"/>
                      <w:kern w:val="0"/>
                      <w:szCs w:val="21"/>
                      <w:lang w:val="en-US" w:eastAsia="zh-CN" w:bidi="ar"/>
                    </w:rPr>
                    <w:t>以及纯水制备废水</w:t>
                  </w:r>
                  <w:r>
                    <w:rPr>
                      <w:rFonts w:hint="eastAsia"/>
                      <w:color w:val="auto"/>
                      <w:kern w:val="0"/>
                      <w:szCs w:val="21"/>
                      <w:lang w:bidi="ar"/>
                    </w:rPr>
                    <w:t>排入园区污水管网，最终由污水处理厂处置，固体废物按要求收集和处置</w:t>
                  </w:r>
                </w:p>
              </w:tc>
              <w:tc>
                <w:tcPr>
                  <w:tcW w:w="425" w:type="pct"/>
                  <w:vAlign w:val="center"/>
                </w:tcPr>
                <w:p w14:paraId="4842FD3C">
                  <w:pPr>
                    <w:adjustRightInd w:val="0"/>
                    <w:jc w:val="center"/>
                    <w:textAlignment w:val="center"/>
                    <w:rPr>
                      <w:color w:val="auto"/>
                      <w:kern w:val="0"/>
                      <w:szCs w:val="21"/>
                      <w:lang w:bidi="ar"/>
                    </w:rPr>
                  </w:pPr>
                  <w:r>
                    <w:rPr>
                      <w:color w:val="auto"/>
                      <w:kern w:val="0"/>
                      <w:szCs w:val="21"/>
                      <w:lang w:bidi="ar"/>
                    </w:rPr>
                    <w:t>符合</w:t>
                  </w:r>
                </w:p>
              </w:tc>
            </w:tr>
            <w:tr w14:paraId="2908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0" w:type="pct"/>
                  <w:vMerge w:val="restart"/>
                  <w:vAlign w:val="center"/>
                </w:tcPr>
                <w:p w14:paraId="23E6F8D8">
                  <w:pPr>
                    <w:widowControl/>
                    <w:adjustRightInd w:val="0"/>
                    <w:jc w:val="center"/>
                    <w:textAlignment w:val="center"/>
                    <w:rPr>
                      <w:rFonts w:hint="eastAsia"/>
                      <w:color w:val="auto"/>
                      <w:kern w:val="0"/>
                      <w:szCs w:val="21"/>
                      <w:lang w:bidi="ar"/>
                    </w:rPr>
                  </w:pPr>
                  <w:r>
                    <w:rPr>
                      <w:rFonts w:hint="eastAsia"/>
                      <w:color w:val="auto"/>
                      <w:kern w:val="0"/>
                      <w:szCs w:val="21"/>
                      <w:lang w:bidi="ar"/>
                    </w:rPr>
                    <w:t>新疆生产建设兵团“十四五”生态环境保护规划</w:t>
                  </w:r>
                </w:p>
              </w:tc>
              <w:tc>
                <w:tcPr>
                  <w:tcW w:w="2874" w:type="pct"/>
                  <w:vAlign w:val="center"/>
                </w:tcPr>
                <w:p w14:paraId="5179F784">
                  <w:pPr>
                    <w:adjustRightInd w:val="0"/>
                    <w:jc w:val="center"/>
                    <w:textAlignment w:val="center"/>
                    <w:rPr>
                      <w:rFonts w:hint="eastAsia"/>
                      <w:color w:val="auto"/>
                      <w:kern w:val="0"/>
                      <w:szCs w:val="21"/>
                      <w:lang w:bidi="ar"/>
                    </w:rPr>
                  </w:pPr>
                  <w:r>
                    <w:rPr>
                      <w:rFonts w:hint="eastAsia"/>
                      <w:color w:val="auto"/>
                      <w:kern w:val="0"/>
                      <w:szCs w:val="21"/>
                      <w:lang w:bidi="ar"/>
                    </w:rPr>
                    <w:t>严格环境准入，推动工业绿色转型。建立以“三线一单”为核心全覆盖的生态环境分区管控体系，完善管控单元环境准入清单，深化高耗能、高排放项目环境准入及管控要求，建立动态更新和调整机制。加强“三线一单”在政策制定、环境准入、园区管理、执法监管等方面的应用。持续推进区域和行业规划环境影响评价，严禁“三高”项目进兵团，严格落实钢铁、有色、煤炭、电力、石油化工、建材、印染等行业新、改、扩建项目的环境准入。有序承接精细化工产业转移，推进化工产业高质量发展</w:t>
                  </w:r>
                  <w:r>
                    <w:rPr>
                      <w:rFonts w:hint="eastAsia"/>
                      <w:color w:val="auto"/>
                      <w:kern w:val="0"/>
                      <w:szCs w:val="21"/>
                      <w:lang w:eastAsia="zh-CN" w:bidi="ar"/>
                    </w:rPr>
                    <w:t>；对</w:t>
                  </w:r>
                  <w:r>
                    <w:rPr>
                      <w:rFonts w:hint="eastAsia"/>
                      <w:color w:val="auto"/>
                      <w:kern w:val="0"/>
                      <w:szCs w:val="21"/>
                      <w:lang w:bidi="ar"/>
                    </w:rPr>
                    <w:t>环境已超载或易引发次生环境风险的地区，限制承接化工产业。</w:t>
                  </w:r>
                </w:p>
              </w:tc>
              <w:tc>
                <w:tcPr>
                  <w:tcW w:w="1169" w:type="pct"/>
                  <w:vAlign w:val="center"/>
                </w:tcPr>
                <w:p w14:paraId="3DAB7A09">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本项目符合分区管控要求，本项目不属于钢铁、有色、煤炭、电力、石油化工、建材、印染等行业新、改、扩建项目，本项目选址于规划园区内</w:t>
                  </w:r>
                </w:p>
              </w:tc>
              <w:tc>
                <w:tcPr>
                  <w:tcW w:w="425" w:type="pct"/>
                  <w:vAlign w:val="center"/>
                </w:tcPr>
                <w:p w14:paraId="5F5BD2D4">
                  <w:pPr>
                    <w:adjustRightInd w:val="0"/>
                    <w:jc w:val="center"/>
                    <w:textAlignment w:val="center"/>
                    <w:rPr>
                      <w:color w:val="auto"/>
                      <w:kern w:val="0"/>
                      <w:szCs w:val="21"/>
                      <w:lang w:bidi="ar"/>
                    </w:rPr>
                  </w:pPr>
                  <w:r>
                    <w:rPr>
                      <w:rFonts w:hint="eastAsia"/>
                      <w:color w:val="auto"/>
                      <w:kern w:val="0"/>
                      <w:szCs w:val="21"/>
                      <w:lang w:val="en-US" w:eastAsia="zh-CN" w:bidi="ar"/>
                    </w:rPr>
                    <w:t>符合</w:t>
                  </w:r>
                </w:p>
              </w:tc>
            </w:tr>
            <w:tr w14:paraId="30B4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0" w:type="pct"/>
                  <w:vMerge w:val="continue"/>
                  <w:vAlign w:val="center"/>
                </w:tcPr>
                <w:p w14:paraId="2568FD2C">
                  <w:pPr>
                    <w:widowControl/>
                    <w:adjustRightInd w:val="0"/>
                    <w:jc w:val="center"/>
                    <w:textAlignment w:val="center"/>
                    <w:rPr>
                      <w:rFonts w:hint="eastAsia"/>
                      <w:color w:val="auto"/>
                      <w:kern w:val="0"/>
                      <w:szCs w:val="21"/>
                      <w:lang w:bidi="ar"/>
                    </w:rPr>
                  </w:pPr>
                </w:p>
              </w:tc>
              <w:tc>
                <w:tcPr>
                  <w:tcW w:w="2874" w:type="pct"/>
                  <w:vAlign w:val="center"/>
                </w:tcPr>
                <w:p w14:paraId="17B50839">
                  <w:pPr>
                    <w:adjustRightInd w:val="0"/>
                    <w:jc w:val="center"/>
                    <w:textAlignment w:val="center"/>
                    <w:rPr>
                      <w:rFonts w:hint="eastAsia"/>
                      <w:color w:val="auto"/>
                      <w:kern w:val="0"/>
                      <w:szCs w:val="21"/>
                      <w:lang w:bidi="ar"/>
                    </w:rPr>
                  </w:pPr>
                  <w:r>
                    <w:rPr>
                      <w:rFonts w:hint="eastAsia"/>
                      <w:color w:val="auto"/>
                      <w:kern w:val="0"/>
                      <w:szCs w:val="21"/>
                      <w:lang w:bidi="ar"/>
                    </w:rPr>
                    <w:t>推动企业清洁生产，创建绿色示范工厂。积极推动企业清洁生产改造，制定全域重点行业清洁化改造提升方案，加强企业清洁生产管理，将清洁生产实施情况纳入企业环保绩效考核和企业环境信用评价范围。加快构建绿色制造体系，优先在钢铁、煤化工、水泥、火电等行业选择一批重点企业开展绿色工厂创建试点示范。</w:t>
                  </w:r>
                </w:p>
              </w:tc>
              <w:tc>
                <w:tcPr>
                  <w:tcW w:w="1169" w:type="pct"/>
                  <w:vAlign w:val="center"/>
                </w:tcPr>
                <w:p w14:paraId="2FAC902E">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本项目严格做好清洁生产管理，本项目不属于</w:t>
                  </w:r>
                  <w:r>
                    <w:rPr>
                      <w:rFonts w:hint="eastAsia"/>
                      <w:color w:val="auto"/>
                      <w:kern w:val="0"/>
                      <w:szCs w:val="21"/>
                      <w:lang w:bidi="ar"/>
                    </w:rPr>
                    <w:t>钢铁、煤化工、水泥、火电等行业</w:t>
                  </w:r>
                </w:p>
              </w:tc>
              <w:tc>
                <w:tcPr>
                  <w:tcW w:w="425" w:type="pct"/>
                  <w:vAlign w:val="center"/>
                </w:tcPr>
                <w:p w14:paraId="284F66F8">
                  <w:pPr>
                    <w:adjustRightInd w:val="0"/>
                    <w:jc w:val="center"/>
                    <w:textAlignment w:val="center"/>
                    <w:rPr>
                      <w:color w:val="auto"/>
                      <w:kern w:val="0"/>
                      <w:szCs w:val="21"/>
                      <w:lang w:bidi="ar"/>
                    </w:rPr>
                  </w:pPr>
                  <w:r>
                    <w:rPr>
                      <w:rFonts w:hint="eastAsia"/>
                      <w:color w:val="auto"/>
                      <w:kern w:val="0"/>
                      <w:szCs w:val="21"/>
                      <w:lang w:val="en-US" w:eastAsia="zh-CN" w:bidi="ar"/>
                    </w:rPr>
                    <w:t>符合</w:t>
                  </w:r>
                </w:p>
              </w:tc>
            </w:tr>
            <w:tr w14:paraId="0A13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0" w:type="pct"/>
                  <w:vMerge w:val="continue"/>
                  <w:vAlign w:val="center"/>
                </w:tcPr>
                <w:p w14:paraId="4BEF0D24">
                  <w:pPr>
                    <w:widowControl/>
                    <w:adjustRightInd w:val="0"/>
                    <w:jc w:val="center"/>
                    <w:textAlignment w:val="center"/>
                    <w:rPr>
                      <w:rFonts w:hint="eastAsia"/>
                      <w:color w:val="auto"/>
                      <w:kern w:val="0"/>
                      <w:szCs w:val="21"/>
                      <w:lang w:bidi="ar"/>
                    </w:rPr>
                  </w:pPr>
                </w:p>
              </w:tc>
              <w:tc>
                <w:tcPr>
                  <w:tcW w:w="2874" w:type="pct"/>
                  <w:vAlign w:val="center"/>
                </w:tcPr>
                <w:p w14:paraId="633C9774">
                  <w:pPr>
                    <w:adjustRightInd w:val="0"/>
                    <w:jc w:val="center"/>
                    <w:textAlignment w:val="center"/>
                    <w:rPr>
                      <w:rFonts w:hint="eastAsia"/>
                      <w:color w:val="auto"/>
                      <w:kern w:val="0"/>
                      <w:szCs w:val="21"/>
                      <w:lang w:bidi="ar"/>
                    </w:rPr>
                  </w:pPr>
                  <w:r>
                    <w:rPr>
                      <w:rFonts w:hint="eastAsia"/>
                      <w:color w:val="auto"/>
                      <w:kern w:val="0"/>
                      <w:szCs w:val="21"/>
                      <w:lang w:bidi="ar"/>
                    </w:rPr>
                    <w:t>严格控制煤炭消耗强度，推动煤炭清洁高效利用。合理控制煤炭消费总量，开展新能源替代传统能源工作。针对“乌—昌—石”和“奎—独—乌”区域内师市的自备电厂、烧碱、电石、水泥、煤化工、有色金属、电解铝、工业硅等重点用能行业企业，全面开展煤耗排查，制定控煤计划，对超出计划限额的企业采取限产、错峰生产等措施。鼓励“煤—化—电—热”一体化发展，推进煤炭分级分质梯级利用；鼓励煤炭清洁高效利用技术和装备研发推广，推进煤炭清洁供应，提高洁净煤使用比例。</w:t>
                  </w:r>
                </w:p>
              </w:tc>
              <w:tc>
                <w:tcPr>
                  <w:tcW w:w="1169" w:type="pct"/>
                  <w:vAlign w:val="center"/>
                </w:tcPr>
                <w:p w14:paraId="7BBC83BA">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本项目不涉及燃煤锅炉，不属于</w:t>
                  </w:r>
                  <w:r>
                    <w:rPr>
                      <w:rFonts w:hint="eastAsia"/>
                      <w:color w:val="auto"/>
                      <w:kern w:val="0"/>
                      <w:szCs w:val="21"/>
                      <w:lang w:bidi="ar"/>
                    </w:rPr>
                    <w:t>电厂、烧碱、电石、水泥、煤化工、有色金属、电解铝、工业硅等重点用能行业企业</w:t>
                  </w:r>
                </w:p>
              </w:tc>
              <w:tc>
                <w:tcPr>
                  <w:tcW w:w="425" w:type="pct"/>
                  <w:vAlign w:val="center"/>
                </w:tcPr>
                <w:p w14:paraId="597A5D89">
                  <w:pPr>
                    <w:adjustRightInd w:val="0"/>
                    <w:jc w:val="center"/>
                    <w:textAlignment w:val="center"/>
                    <w:rPr>
                      <w:color w:val="auto"/>
                      <w:kern w:val="0"/>
                      <w:szCs w:val="21"/>
                      <w:lang w:bidi="ar"/>
                    </w:rPr>
                  </w:pPr>
                  <w:r>
                    <w:rPr>
                      <w:rFonts w:hint="eastAsia"/>
                      <w:color w:val="auto"/>
                      <w:kern w:val="0"/>
                      <w:szCs w:val="21"/>
                      <w:lang w:val="en-US" w:eastAsia="zh-CN" w:bidi="ar"/>
                    </w:rPr>
                    <w:t>符合</w:t>
                  </w:r>
                </w:p>
              </w:tc>
            </w:tr>
            <w:tr w14:paraId="4100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0" w:type="pct"/>
                  <w:vMerge w:val="continue"/>
                  <w:vAlign w:val="center"/>
                </w:tcPr>
                <w:p w14:paraId="6C05635A">
                  <w:pPr>
                    <w:widowControl/>
                    <w:adjustRightInd w:val="0"/>
                    <w:jc w:val="center"/>
                    <w:textAlignment w:val="center"/>
                    <w:rPr>
                      <w:rFonts w:hint="eastAsia"/>
                      <w:color w:val="auto"/>
                      <w:kern w:val="0"/>
                      <w:szCs w:val="21"/>
                      <w:lang w:bidi="ar"/>
                    </w:rPr>
                  </w:pPr>
                </w:p>
              </w:tc>
              <w:tc>
                <w:tcPr>
                  <w:tcW w:w="2874" w:type="pct"/>
                  <w:vAlign w:val="center"/>
                </w:tcPr>
                <w:p w14:paraId="58D349DC">
                  <w:pPr>
                    <w:adjustRightInd w:val="0"/>
                    <w:jc w:val="center"/>
                    <w:textAlignment w:val="center"/>
                    <w:rPr>
                      <w:rFonts w:hint="eastAsia"/>
                      <w:color w:val="auto"/>
                      <w:kern w:val="0"/>
                      <w:szCs w:val="21"/>
                      <w:lang w:bidi="ar"/>
                    </w:rPr>
                  </w:pPr>
                  <w:r>
                    <w:rPr>
                      <w:rFonts w:hint="eastAsia"/>
                      <w:color w:val="auto"/>
                      <w:kern w:val="0"/>
                      <w:szCs w:val="21"/>
                      <w:lang w:bidi="ar"/>
                    </w:rPr>
                    <w:t>加强PM2.5和O</w:t>
                  </w:r>
                  <w:r>
                    <w:rPr>
                      <w:rFonts w:hint="eastAsia"/>
                      <w:color w:val="auto"/>
                      <w:kern w:val="0"/>
                      <w:szCs w:val="21"/>
                      <w:lang w:val="en-US" w:eastAsia="zh-CN" w:bidi="ar"/>
                    </w:rPr>
                    <w:t>3</w:t>
                  </w:r>
                  <w:r>
                    <w:rPr>
                      <w:rFonts w:hint="eastAsia"/>
                      <w:color w:val="auto"/>
                      <w:kern w:val="0"/>
                      <w:szCs w:val="21"/>
                      <w:lang w:bidi="ar"/>
                    </w:rPr>
                    <w:t>协同控制。深入开展NOx和VOCs的总量控制和协同减排，考虑PM2.5和O</w:t>
                  </w:r>
                  <w:r>
                    <w:rPr>
                      <w:rFonts w:hint="eastAsia"/>
                      <w:color w:val="auto"/>
                      <w:kern w:val="0"/>
                      <w:szCs w:val="21"/>
                      <w:lang w:val="en-US" w:eastAsia="zh-CN" w:bidi="ar"/>
                    </w:rPr>
                    <w:t>3</w:t>
                  </w:r>
                  <w:r>
                    <w:rPr>
                      <w:rFonts w:hint="eastAsia"/>
                      <w:color w:val="auto"/>
                      <w:kern w:val="0"/>
                      <w:szCs w:val="21"/>
                      <w:lang w:bidi="ar"/>
                    </w:rPr>
                    <w:t>协同控制，制定“十四五”空气质量持续改善行动计划，推动城市PM2.5和O</w:t>
                  </w:r>
                  <w:r>
                    <w:rPr>
                      <w:rFonts w:hint="eastAsia"/>
                      <w:color w:val="auto"/>
                      <w:kern w:val="0"/>
                      <w:szCs w:val="21"/>
                      <w:lang w:val="en-US" w:eastAsia="zh-CN" w:bidi="ar"/>
                    </w:rPr>
                    <w:t>3</w:t>
                  </w:r>
                  <w:r>
                    <w:rPr>
                      <w:rFonts w:hint="eastAsia"/>
                      <w:color w:val="auto"/>
                      <w:kern w:val="0"/>
                      <w:szCs w:val="21"/>
                      <w:lang w:bidi="ar"/>
                    </w:rPr>
                    <w:t>浓度稳中有降。开展PM2.5和O</w:t>
                  </w:r>
                  <w:r>
                    <w:rPr>
                      <w:rFonts w:hint="eastAsia"/>
                      <w:color w:val="auto"/>
                      <w:kern w:val="0"/>
                      <w:szCs w:val="21"/>
                      <w:lang w:val="en-US" w:eastAsia="zh-CN" w:bidi="ar"/>
                    </w:rPr>
                    <w:t>3</w:t>
                  </w:r>
                  <w:r>
                    <w:rPr>
                      <w:rFonts w:hint="eastAsia"/>
                      <w:color w:val="auto"/>
                      <w:kern w:val="0"/>
                      <w:szCs w:val="21"/>
                      <w:lang w:bidi="ar"/>
                    </w:rPr>
                    <w:t>污染协同防控“一市一策”驻点跟踪研究，实施分区分时分类的差异化和精细化协同管控，加强污染源清单和源解析，推进重点领域、重点时段和重点行业治理。“乌—昌—石”和“奎—独—乌”区域内第六师五家渠市、第八师石河子市为大气复合型污染严重区，重点针对不同时段PM2.5和O</w:t>
                  </w:r>
                  <w:r>
                    <w:rPr>
                      <w:rFonts w:hint="eastAsia"/>
                      <w:color w:val="auto"/>
                      <w:kern w:val="0"/>
                      <w:szCs w:val="21"/>
                      <w:lang w:val="en-US" w:eastAsia="zh-CN" w:bidi="ar"/>
                    </w:rPr>
                    <w:t>3</w:t>
                  </w:r>
                  <w:r>
                    <w:rPr>
                      <w:rFonts w:hint="eastAsia"/>
                      <w:color w:val="auto"/>
                      <w:kern w:val="0"/>
                      <w:szCs w:val="21"/>
                      <w:lang w:bidi="ar"/>
                    </w:rPr>
                    <w:t>等突出问题，深化多污染物协同治理。</w:t>
                  </w:r>
                </w:p>
              </w:tc>
              <w:tc>
                <w:tcPr>
                  <w:tcW w:w="1169" w:type="pct"/>
                  <w:vAlign w:val="center"/>
                </w:tcPr>
                <w:p w14:paraId="4DBE726B">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本项目严格控制粉尘污染物排放，采取集气罩+布袋除尘器的方式，减少颗粒物影响</w:t>
                  </w:r>
                </w:p>
              </w:tc>
              <w:tc>
                <w:tcPr>
                  <w:tcW w:w="425" w:type="pct"/>
                  <w:vAlign w:val="center"/>
                </w:tcPr>
                <w:p w14:paraId="3B94B975">
                  <w:pPr>
                    <w:adjustRightInd w:val="0"/>
                    <w:jc w:val="center"/>
                    <w:textAlignment w:val="center"/>
                    <w:rPr>
                      <w:rFonts w:hint="eastAsia"/>
                      <w:color w:val="auto"/>
                      <w:kern w:val="0"/>
                      <w:szCs w:val="21"/>
                      <w:lang w:bidi="ar"/>
                    </w:rPr>
                  </w:pPr>
                  <w:r>
                    <w:rPr>
                      <w:rFonts w:hint="eastAsia"/>
                      <w:color w:val="auto"/>
                      <w:kern w:val="0"/>
                      <w:szCs w:val="21"/>
                      <w:lang w:val="en-US" w:eastAsia="zh-CN" w:bidi="ar"/>
                    </w:rPr>
                    <w:t>符合</w:t>
                  </w:r>
                </w:p>
              </w:tc>
            </w:tr>
            <w:tr w14:paraId="1A86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0" w:type="pct"/>
                  <w:vMerge w:val="continue"/>
                  <w:vAlign w:val="center"/>
                </w:tcPr>
                <w:p w14:paraId="7100F7F6">
                  <w:pPr>
                    <w:widowControl/>
                    <w:adjustRightInd w:val="0"/>
                    <w:jc w:val="center"/>
                    <w:textAlignment w:val="center"/>
                    <w:rPr>
                      <w:rFonts w:hint="eastAsia"/>
                      <w:color w:val="auto"/>
                      <w:kern w:val="0"/>
                      <w:szCs w:val="21"/>
                      <w:lang w:bidi="ar"/>
                    </w:rPr>
                  </w:pPr>
                </w:p>
              </w:tc>
              <w:tc>
                <w:tcPr>
                  <w:tcW w:w="2874" w:type="pct"/>
                  <w:vAlign w:val="center"/>
                </w:tcPr>
                <w:p w14:paraId="003ED3E9">
                  <w:pPr>
                    <w:adjustRightInd w:val="0"/>
                    <w:jc w:val="center"/>
                    <w:textAlignment w:val="center"/>
                    <w:rPr>
                      <w:rFonts w:hint="eastAsia"/>
                      <w:color w:val="auto"/>
                      <w:kern w:val="0"/>
                      <w:szCs w:val="21"/>
                      <w:lang w:bidi="ar"/>
                    </w:rPr>
                  </w:pPr>
                  <w:r>
                    <w:rPr>
                      <w:rFonts w:hint="eastAsia"/>
                      <w:color w:val="auto"/>
                      <w:kern w:val="0"/>
                      <w:szCs w:val="21"/>
                      <w:lang w:bidi="ar"/>
                    </w:rPr>
                    <w:t>深化工业污染源头治理。以“乌—昌—石”和“奎—独—乌”区域内师市为重点，开展工业污染深度治理，全面执行大气污染物特别排放限值要求，实现工业行业污染物排放总量进一步下降。深化煤化工、煤电硅、建材等产业的循环产业链条发展，全面推动循环经济建设和绿色清洁发展，通过改进工艺技术、提高原料利用率等，减少污染物源头产生量，力争污染物排放量最小化。加快推进钢铁、水泥、电解铝等行业超低排放改造和转型升级，加大石化化工行业整治力度。</w:t>
                  </w:r>
                </w:p>
              </w:tc>
              <w:tc>
                <w:tcPr>
                  <w:tcW w:w="1169" w:type="pct"/>
                  <w:vAlign w:val="center"/>
                </w:tcPr>
                <w:p w14:paraId="534960FF">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本项目执行</w:t>
                  </w:r>
                  <w:r>
                    <w:rPr>
                      <w:rFonts w:hint="eastAsia"/>
                      <w:color w:val="auto"/>
                      <w:kern w:val="0"/>
                      <w:szCs w:val="21"/>
                      <w:lang w:bidi="ar"/>
                    </w:rPr>
                    <w:t>大气污染物特别排放限值</w:t>
                  </w:r>
                  <w:r>
                    <w:rPr>
                      <w:rFonts w:hint="eastAsia"/>
                      <w:color w:val="auto"/>
                      <w:kern w:val="0"/>
                      <w:szCs w:val="21"/>
                      <w:lang w:val="en-US" w:eastAsia="zh-CN" w:bidi="ar"/>
                    </w:rPr>
                    <w:t>要求，本项目为复配农药，且为安全环保类型，不涉及重污染工艺</w:t>
                  </w:r>
                </w:p>
              </w:tc>
              <w:tc>
                <w:tcPr>
                  <w:tcW w:w="425" w:type="pct"/>
                  <w:vAlign w:val="center"/>
                </w:tcPr>
                <w:p w14:paraId="652DE6EA">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符合</w:t>
                  </w:r>
                </w:p>
              </w:tc>
            </w:tr>
          </w:tbl>
          <w:p w14:paraId="5EA96FAE">
            <w:pPr>
              <w:pStyle w:val="18"/>
              <w:ind w:firstLine="422"/>
              <w:rPr>
                <w:b/>
                <w:bCs/>
                <w:color w:val="auto"/>
              </w:rPr>
            </w:pPr>
            <w:r>
              <w:rPr>
                <w:rFonts w:hint="eastAsia"/>
                <w:b/>
                <w:bCs/>
                <w:color w:val="auto"/>
                <w:lang w:val="en-US" w:eastAsia="zh-CN"/>
              </w:rPr>
              <w:t>3、</w:t>
            </w:r>
            <w:r>
              <w:rPr>
                <w:rFonts w:hint="eastAsia"/>
                <w:b/>
                <w:bCs/>
                <w:color w:val="auto"/>
              </w:rPr>
              <w:t>土地利用规划符合性分析</w:t>
            </w:r>
          </w:p>
          <w:p w14:paraId="6420A1F2">
            <w:pPr>
              <w:pStyle w:val="18"/>
              <w:rPr>
                <w:rFonts w:hint="eastAsia" w:eastAsia="宋体"/>
                <w:b/>
                <w:bCs/>
                <w:color w:val="auto"/>
                <w:vertAlign w:val="baseline"/>
                <w:lang w:eastAsia="zh-CN"/>
              </w:rPr>
            </w:pPr>
            <w:r>
              <w:rPr>
                <w:rFonts w:hint="eastAsia"/>
                <w:color w:val="auto"/>
              </w:rPr>
              <w:t>本项目位于胡杨河经济技术开发区西环路以东、高泉西路以北，胡杨河经济技术开发区南园区-煤、盐、油、精细化工及新材料产业区，项目属于园区规划产业</w:t>
            </w:r>
            <w:r>
              <w:rPr>
                <w:rFonts w:hint="eastAsia"/>
                <w:b w:val="0"/>
                <w:bCs w:val="0"/>
                <w:color w:val="auto"/>
              </w:rPr>
              <w:t>，</w:t>
            </w:r>
            <w:r>
              <w:rPr>
                <w:rFonts w:hint="eastAsia"/>
                <w:b/>
                <w:bCs/>
                <w:color w:val="auto"/>
                <w:lang w:val="en-US" w:eastAsia="zh-CN"/>
              </w:rPr>
              <w:t>2022年1月29日建设单位取得第七师自然资源和规划局出具的《建设用地规划许可证》（地字第6590102022HY003号），</w:t>
            </w:r>
            <w:r>
              <w:rPr>
                <w:rFonts w:hint="eastAsia"/>
                <w:b/>
                <w:bCs/>
                <w:color w:val="auto"/>
              </w:rPr>
              <w:t>项目用地性质为工业用地，占地面积</w:t>
            </w:r>
            <w:r>
              <w:rPr>
                <w:rFonts w:hint="eastAsia"/>
                <w:b/>
                <w:bCs/>
                <w:color w:val="auto"/>
                <w:lang w:val="en-US" w:eastAsia="zh-CN"/>
              </w:rPr>
              <w:t>33379.41</w:t>
            </w:r>
            <w:r>
              <w:rPr>
                <w:rFonts w:hint="eastAsia"/>
                <w:b/>
                <w:bCs/>
                <w:color w:val="auto"/>
              </w:rPr>
              <w:t>m</w:t>
            </w:r>
            <w:r>
              <w:rPr>
                <w:b/>
                <w:bCs/>
                <w:color w:val="auto"/>
                <w:vertAlign w:val="superscript"/>
              </w:rPr>
              <w:t>2</w:t>
            </w:r>
            <w:r>
              <w:rPr>
                <w:rFonts w:hint="eastAsia"/>
                <w:b/>
                <w:bCs/>
                <w:color w:val="auto"/>
                <w:vertAlign w:val="baseline"/>
                <w:lang w:eastAsia="zh-CN"/>
              </w:rPr>
              <w:t>，项目建设用地属于规划的三类工业用地。</w:t>
            </w:r>
          </w:p>
          <w:p w14:paraId="3B6C4552">
            <w:pPr>
              <w:pStyle w:val="18"/>
              <w:rPr>
                <w:b/>
                <w:bCs/>
                <w:color w:val="auto"/>
              </w:rPr>
            </w:pPr>
            <w:r>
              <w:rPr>
                <w:rFonts w:hint="eastAsia"/>
                <w:b/>
                <w:bCs/>
                <w:color w:val="auto"/>
              </w:rPr>
              <w:t>本项目用地合法，项目建设符合当地规划。</w:t>
            </w:r>
          </w:p>
          <w:p w14:paraId="3513E8ED">
            <w:pPr>
              <w:pStyle w:val="18"/>
              <w:rPr>
                <w:b/>
                <w:bCs/>
                <w:color w:val="auto"/>
              </w:rPr>
            </w:pPr>
            <w:r>
              <w:rPr>
                <w:rFonts w:hint="eastAsia"/>
                <w:b/>
                <w:bCs/>
                <w:color w:val="auto"/>
                <w:lang w:val="en-US" w:eastAsia="zh-CN"/>
              </w:rPr>
              <w:t>4、</w:t>
            </w:r>
            <w:r>
              <w:rPr>
                <w:rFonts w:hint="eastAsia"/>
                <w:b/>
                <w:bCs/>
                <w:color w:val="auto"/>
              </w:rPr>
              <w:t>选址合理性分析</w:t>
            </w:r>
          </w:p>
          <w:p w14:paraId="60200235">
            <w:pPr>
              <w:pStyle w:val="18"/>
              <w:rPr>
                <w:color w:val="auto"/>
              </w:rPr>
            </w:pPr>
            <w:r>
              <w:rPr>
                <w:rFonts w:hint="eastAsia"/>
                <w:b/>
                <w:bCs/>
                <w:color w:val="auto"/>
              </w:rPr>
              <w:t>本项目位于胡杨河经济技术开发区西环路以东、高泉西路以北，</w:t>
            </w:r>
            <w:r>
              <w:rPr>
                <w:rFonts w:hint="eastAsia"/>
                <w:b/>
                <w:bCs/>
                <w:color w:val="auto"/>
                <w:lang w:val="en-US" w:eastAsia="zh-CN"/>
              </w:rPr>
              <w:t>属于</w:t>
            </w:r>
            <w:r>
              <w:rPr>
                <w:rFonts w:hint="eastAsia"/>
                <w:b/>
                <w:bCs/>
                <w:color w:val="auto"/>
              </w:rPr>
              <w:t>胡杨河经济技术开发区南园区-煤、盐、油、精细化工及新材料产业区</w:t>
            </w:r>
            <w:r>
              <w:rPr>
                <w:rFonts w:hint="eastAsia"/>
                <w:color w:val="auto"/>
                <w:lang w:eastAsia="zh-CN"/>
              </w:rPr>
              <w:t>，</w:t>
            </w:r>
            <w:r>
              <w:rPr>
                <w:rFonts w:hint="eastAsia"/>
                <w:color w:val="auto"/>
              </w:rPr>
              <w:t>项目</w:t>
            </w:r>
            <w:r>
              <w:rPr>
                <w:rFonts w:hint="eastAsia"/>
                <w:color w:val="auto"/>
                <w:lang w:val="en-US" w:eastAsia="zh-CN"/>
              </w:rPr>
              <w:t>拟建</w:t>
            </w:r>
            <w:r>
              <w:rPr>
                <w:rFonts w:hint="eastAsia"/>
                <w:color w:val="auto"/>
              </w:rPr>
              <w:t>厂址所在地周围无名胜古迹、风景区、自然保护区等特殊环境敏感点，无明显的环境制约因素，不会与周围的其他服务项目和设施产生冲突，用地性质为工业用地。产业园区交通便利，供电、供水设施均已到位，园区基础设施配套基本完善，可满足项目运营的需求。</w:t>
            </w:r>
          </w:p>
          <w:p w14:paraId="6F46F2CB">
            <w:pPr>
              <w:pStyle w:val="18"/>
              <w:rPr>
                <w:b/>
                <w:bCs/>
                <w:color w:val="auto"/>
              </w:rPr>
            </w:pPr>
            <w:r>
              <w:rPr>
                <w:rFonts w:hint="eastAsia"/>
                <w:b/>
                <w:bCs/>
                <w:color w:val="auto"/>
                <w:lang w:val="en-US" w:eastAsia="zh-CN"/>
              </w:rPr>
              <w:t>5、</w:t>
            </w:r>
            <w:r>
              <w:rPr>
                <w:b/>
                <w:bCs/>
                <w:color w:val="auto"/>
              </w:rPr>
              <w:t>项目选址与环境相容性分析</w:t>
            </w:r>
          </w:p>
          <w:p w14:paraId="27735E59">
            <w:pPr>
              <w:pStyle w:val="18"/>
              <w:rPr>
                <w:rFonts w:eastAsia="宋体产业结构调整指导目录"/>
                <w:b/>
                <w:bCs/>
                <w:color w:val="auto"/>
              </w:rPr>
            </w:pPr>
            <w:r>
              <w:rPr>
                <w:b/>
                <w:bCs/>
                <w:color w:val="auto"/>
              </w:rPr>
              <w:t>（1）外环境关系</w:t>
            </w:r>
          </w:p>
          <w:p w14:paraId="230BDF18">
            <w:pPr>
              <w:pStyle w:val="18"/>
              <w:rPr>
                <w:rFonts w:hint="default" w:eastAsia="宋体"/>
                <w:b/>
                <w:bCs/>
                <w:color w:val="auto"/>
                <w:lang w:val="en-US" w:eastAsia="zh-CN"/>
              </w:rPr>
            </w:pPr>
            <w:r>
              <w:rPr>
                <w:color w:val="auto"/>
              </w:rPr>
              <w:t>项目所在地无需特殊保护的风景名</w:t>
            </w:r>
            <w:r>
              <w:rPr>
                <w:rFonts w:hint="eastAsia"/>
                <w:color w:val="auto"/>
                <w:lang w:eastAsia="zh-CN"/>
              </w:rPr>
              <w:t>胜区</w:t>
            </w:r>
            <w:r>
              <w:rPr>
                <w:color w:val="auto"/>
              </w:rPr>
              <w:t>、自然保护区，未发现文物古迹等敏感区域和目标</w:t>
            </w:r>
            <w:r>
              <w:rPr>
                <w:rFonts w:hint="eastAsia"/>
                <w:color w:val="auto"/>
                <w:lang w:val="en-US" w:eastAsia="zh-CN"/>
              </w:rPr>
              <w:t>。</w:t>
            </w:r>
          </w:p>
          <w:p w14:paraId="5D58892A">
            <w:pPr>
              <w:pStyle w:val="18"/>
              <w:ind w:firstLine="422"/>
              <w:rPr>
                <w:color w:val="auto"/>
              </w:rPr>
            </w:pPr>
            <w:r>
              <w:rPr>
                <w:b/>
                <w:bCs/>
                <w:color w:val="auto"/>
              </w:rPr>
              <w:t>周边情况：</w:t>
            </w:r>
            <w:r>
              <w:rPr>
                <w:color w:val="auto"/>
              </w:rPr>
              <w:t>结合</w:t>
            </w:r>
            <w:r>
              <w:rPr>
                <w:rFonts w:hint="eastAsia"/>
                <w:color w:val="auto"/>
              </w:rPr>
              <w:t>园区</w:t>
            </w:r>
            <w:r>
              <w:rPr>
                <w:color w:val="auto"/>
              </w:rPr>
              <w:t>用地布局规划图</w:t>
            </w:r>
            <w:r>
              <w:rPr>
                <w:rFonts w:hint="eastAsia"/>
                <w:color w:val="auto"/>
              </w:rPr>
              <w:t>，</w:t>
            </w:r>
            <w:r>
              <w:rPr>
                <w:color w:val="auto"/>
              </w:rPr>
              <w:t>项目周边用地布局规划图，项目周边规划地块</w:t>
            </w:r>
            <w:r>
              <w:rPr>
                <w:rFonts w:hint="eastAsia"/>
                <w:color w:val="auto"/>
              </w:rPr>
              <w:t>以</w:t>
            </w:r>
            <w:r>
              <w:rPr>
                <w:color w:val="auto"/>
              </w:rPr>
              <w:t>工业用地</w:t>
            </w:r>
            <w:r>
              <w:rPr>
                <w:rFonts w:hint="eastAsia"/>
                <w:color w:val="auto"/>
              </w:rPr>
              <w:t>为主，</w:t>
            </w:r>
            <w:r>
              <w:rPr>
                <w:rFonts w:hint="eastAsia"/>
                <w:b/>
                <w:bCs/>
                <w:color w:val="auto"/>
              </w:rPr>
              <w:t>周边现有企业均为生产性企业，无对外环境特殊要求的企业，根据气象资料，</w:t>
            </w:r>
            <w:r>
              <w:rPr>
                <w:rFonts w:hint="eastAsia"/>
                <w:b/>
                <w:bCs/>
                <w:color w:val="auto"/>
                <w:lang w:val="en-US" w:eastAsia="zh-CN"/>
              </w:rPr>
              <w:t>第七师</w:t>
            </w:r>
            <w:r>
              <w:rPr>
                <w:rFonts w:hint="eastAsia"/>
                <w:b/>
                <w:bCs/>
                <w:color w:val="auto"/>
              </w:rPr>
              <w:t>主导风向为</w:t>
            </w:r>
            <w:r>
              <w:rPr>
                <w:rFonts w:hint="eastAsia"/>
                <w:b/>
                <w:bCs/>
                <w:color w:val="auto"/>
                <w:lang w:val="en-US" w:eastAsia="zh-CN"/>
              </w:rPr>
              <w:t>西风</w:t>
            </w:r>
            <w:r>
              <w:rPr>
                <w:rFonts w:hint="eastAsia"/>
                <w:b/>
                <w:bCs/>
                <w:color w:val="auto"/>
              </w:rPr>
              <w:t>，本项目</w:t>
            </w:r>
            <w:r>
              <w:rPr>
                <w:rFonts w:hint="eastAsia"/>
                <w:b/>
                <w:bCs/>
                <w:color w:val="auto"/>
                <w:lang w:val="en-US" w:eastAsia="zh-CN"/>
              </w:rPr>
              <w:t>西侧和南</w:t>
            </w:r>
            <w:r>
              <w:rPr>
                <w:rFonts w:hint="eastAsia"/>
                <w:b/>
                <w:bCs/>
                <w:color w:val="auto"/>
              </w:rPr>
              <w:t>侧</w:t>
            </w:r>
            <w:r>
              <w:rPr>
                <w:rFonts w:hint="eastAsia"/>
                <w:b/>
                <w:bCs/>
                <w:color w:val="auto"/>
                <w:lang w:val="en-US" w:eastAsia="zh-CN"/>
              </w:rPr>
              <w:t>紧邻园区道路，108m为奎塔高速公路</w:t>
            </w:r>
            <w:r>
              <w:rPr>
                <w:rFonts w:hint="eastAsia"/>
                <w:b/>
                <w:bCs/>
                <w:color w:val="auto"/>
              </w:rPr>
              <w:t>，本项目的建设与区域环境均相容。</w:t>
            </w:r>
            <w:r>
              <w:rPr>
                <w:color w:val="auto"/>
              </w:rPr>
              <w:t>项目外环境关系见表1-9。</w:t>
            </w:r>
          </w:p>
          <w:p w14:paraId="62E2D0B3">
            <w:pPr>
              <w:autoSpaceDE w:val="0"/>
              <w:autoSpaceDN w:val="0"/>
              <w:adjustRightInd w:val="0"/>
              <w:snapToGrid w:val="0"/>
              <w:jc w:val="center"/>
              <w:rPr>
                <w:b/>
                <w:bCs/>
                <w:color w:val="auto"/>
                <w:kern w:val="0"/>
                <w:szCs w:val="21"/>
              </w:rPr>
            </w:pPr>
            <w:r>
              <w:rPr>
                <w:b/>
                <w:bCs/>
                <w:color w:val="auto"/>
                <w:kern w:val="0"/>
                <w:szCs w:val="21"/>
              </w:rPr>
              <w:t>表1-9项目外环境关系表</w:t>
            </w:r>
          </w:p>
          <w:tbl>
            <w:tblPr>
              <w:tblStyle w:val="19"/>
              <w:tblW w:w="6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3352"/>
              <w:gridCol w:w="960"/>
              <w:gridCol w:w="1452"/>
            </w:tblGrid>
            <w:tr w14:paraId="60D7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14:paraId="7BC18056">
                  <w:pPr>
                    <w:adjustRightInd w:val="0"/>
                    <w:jc w:val="center"/>
                    <w:textAlignment w:val="center"/>
                    <w:rPr>
                      <w:color w:val="auto"/>
                      <w:kern w:val="0"/>
                      <w:szCs w:val="21"/>
                      <w:lang w:bidi="ar"/>
                    </w:rPr>
                  </w:pPr>
                  <w:bookmarkStart w:id="6" w:name="_Hlk139026621"/>
                  <w:r>
                    <w:rPr>
                      <w:color w:val="auto"/>
                      <w:kern w:val="0"/>
                      <w:szCs w:val="21"/>
                      <w:lang w:bidi="ar"/>
                    </w:rPr>
                    <w:t>方位</w:t>
                  </w:r>
                </w:p>
              </w:tc>
              <w:tc>
                <w:tcPr>
                  <w:tcW w:w="3352" w:type="dxa"/>
                  <w:vAlign w:val="center"/>
                </w:tcPr>
                <w:p w14:paraId="7E0C452F">
                  <w:pPr>
                    <w:adjustRightInd w:val="0"/>
                    <w:jc w:val="center"/>
                    <w:textAlignment w:val="center"/>
                    <w:rPr>
                      <w:color w:val="auto"/>
                      <w:kern w:val="0"/>
                      <w:szCs w:val="21"/>
                      <w:lang w:bidi="ar"/>
                    </w:rPr>
                  </w:pPr>
                  <w:r>
                    <w:rPr>
                      <w:color w:val="auto"/>
                      <w:kern w:val="0"/>
                      <w:szCs w:val="21"/>
                      <w:lang w:bidi="ar"/>
                    </w:rPr>
                    <w:t>名称</w:t>
                  </w:r>
                </w:p>
              </w:tc>
              <w:tc>
                <w:tcPr>
                  <w:tcW w:w="960" w:type="dxa"/>
                  <w:vAlign w:val="center"/>
                </w:tcPr>
                <w:p w14:paraId="04C6F569">
                  <w:pPr>
                    <w:adjustRightInd w:val="0"/>
                    <w:jc w:val="center"/>
                    <w:textAlignment w:val="center"/>
                    <w:rPr>
                      <w:color w:val="auto"/>
                      <w:kern w:val="0"/>
                      <w:szCs w:val="21"/>
                      <w:lang w:bidi="ar"/>
                    </w:rPr>
                  </w:pPr>
                  <w:r>
                    <w:rPr>
                      <w:color w:val="auto"/>
                      <w:kern w:val="0"/>
                      <w:szCs w:val="21"/>
                      <w:lang w:bidi="ar"/>
                    </w:rPr>
                    <w:t>与本项目距离</w:t>
                  </w:r>
                </w:p>
              </w:tc>
              <w:tc>
                <w:tcPr>
                  <w:tcW w:w="1452" w:type="dxa"/>
                  <w:vAlign w:val="center"/>
                </w:tcPr>
                <w:p w14:paraId="0F3EB1F0">
                  <w:pPr>
                    <w:adjustRightInd w:val="0"/>
                    <w:jc w:val="center"/>
                    <w:textAlignment w:val="center"/>
                    <w:rPr>
                      <w:color w:val="auto"/>
                      <w:kern w:val="0"/>
                      <w:szCs w:val="21"/>
                      <w:lang w:bidi="ar"/>
                    </w:rPr>
                  </w:pPr>
                  <w:r>
                    <w:rPr>
                      <w:color w:val="auto"/>
                      <w:kern w:val="0"/>
                      <w:szCs w:val="21"/>
                      <w:lang w:bidi="ar"/>
                    </w:rPr>
                    <w:t>备注</w:t>
                  </w:r>
                </w:p>
              </w:tc>
            </w:tr>
            <w:tr w14:paraId="7343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Merge w:val="restart"/>
                  <w:vAlign w:val="center"/>
                </w:tcPr>
                <w:p w14:paraId="54591F25">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北侧</w:t>
                  </w:r>
                </w:p>
              </w:tc>
              <w:tc>
                <w:tcPr>
                  <w:tcW w:w="3352" w:type="dxa"/>
                  <w:vAlign w:val="center"/>
                </w:tcPr>
                <w:p w14:paraId="012AD9B0">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新疆悦通振新道路材料有限责任公司</w:t>
                  </w:r>
                </w:p>
              </w:tc>
              <w:tc>
                <w:tcPr>
                  <w:tcW w:w="960" w:type="dxa"/>
                  <w:vAlign w:val="center"/>
                </w:tcPr>
                <w:p w14:paraId="2C32A744">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紧邻</w:t>
                  </w:r>
                </w:p>
              </w:tc>
              <w:tc>
                <w:tcPr>
                  <w:tcW w:w="1452" w:type="dxa"/>
                  <w:vAlign w:val="center"/>
                </w:tcPr>
                <w:p w14:paraId="47456873">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化学材料</w:t>
                  </w:r>
                </w:p>
              </w:tc>
            </w:tr>
            <w:tr w14:paraId="5427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Merge w:val="continue"/>
                  <w:vAlign w:val="center"/>
                </w:tcPr>
                <w:p w14:paraId="6396DCAA">
                  <w:pPr>
                    <w:adjustRightInd w:val="0"/>
                    <w:jc w:val="center"/>
                    <w:textAlignment w:val="center"/>
                    <w:rPr>
                      <w:color w:val="auto"/>
                      <w:kern w:val="0"/>
                      <w:szCs w:val="21"/>
                      <w:lang w:bidi="ar"/>
                    </w:rPr>
                  </w:pPr>
                </w:p>
              </w:tc>
              <w:tc>
                <w:tcPr>
                  <w:tcW w:w="3352" w:type="dxa"/>
                  <w:vAlign w:val="center"/>
                </w:tcPr>
                <w:p w14:paraId="2B9AD0DD">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新疆曼海姆肥业有限责任公司</w:t>
                  </w:r>
                </w:p>
              </w:tc>
              <w:tc>
                <w:tcPr>
                  <w:tcW w:w="960" w:type="dxa"/>
                  <w:vAlign w:val="center"/>
                </w:tcPr>
                <w:p w14:paraId="410E7BE8">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185m</w:t>
                  </w:r>
                </w:p>
              </w:tc>
              <w:tc>
                <w:tcPr>
                  <w:tcW w:w="1452" w:type="dxa"/>
                  <w:vAlign w:val="center"/>
                </w:tcPr>
                <w:p w14:paraId="35144AF6">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有机肥生产</w:t>
                  </w:r>
                </w:p>
              </w:tc>
            </w:tr>
            <w:tr w14:paraId="4756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14:paraId="40770AC6">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东侧</w:t>
                  </w:r>
                </w:p>
              </w:tc>
              <w:tc>
                <w:tcPr>
                  <w:tcW w:w="3352" w:type="dxa"/>
                  <w:vAlign w:val="center"/>
                </w:tcPr>
                <w:p w14:paraId="0C2C35B0">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新疆邦德生物科技有限公司</w:t>
                  </w:r>
                </w:p>
              </w:tc>
              <w:tc>
                <w:tcPr>
                  <w:tcW w:w="960" w:type="dxa"/>
                  <w:vAlign w:val="center"/>
                </w:tcPr>
                <w:p w14:paraId="7800C19D">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232m</w:t>
                  </w:r>
                </w:p>
              </w:tc>
              <w:tc>
                <w:tcPr>
                  <w:tcW w:w="1452" w:type="dxa"/>
                  <w:vAlign w:val="center"/>
                </w:tcPr>
                <w:p w14:paraId="0DEA1290">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化工生产</w:t>
                  </w:r>
                </w:p>
              </w:tc>
            </w:tr>
            <w:tr w14:paraId="5467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14:paraId="23B21056">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西北侧</w:t>
                  </w:r>
                </w:p>
              </w:tc>
              <w:tc>
                <w:tcPr>
                  <w:tcW w:w="3352" w:type="dxa"/>
                  <w:vAlign w:val="center"/>
                </w:tcPr>
                <w:p w14:paraId="6600B651">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散户</w:t>
                  </w:r>
                </w:p>
              </w:tc>
              <w:tc>
                <w:tcPr>
                  <w:tcW w:w="960" w:type="dxa"/>
                  <w:vAlign w:val="center"/>
                </w:tcPr>
                <w:p w14:paraId="319A7DBB">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289m</w:t>
                  </w:r>
                </w:p>
              </w:tc>
              <w:tc>
                <w:tcPr>
                  <w:tcW w:w="1452" w:type="dxa"/>
                  <w:vAlign w:val="center"/>
                </w:tcPr>
                <w:p w14:paraId="30CA5655">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侧风向2户</w:t>
                  </w:r>
                </w:p>
              </w:tc>
            </w:tr>
            <w:tr w14:paraId="38D5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14:paraId="5EB83734">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东北侧</w:t>
                  </w:r>
                </w:p>
              </w:tc>
              <w:tc>
                <w:tcPr>
                  <w:tcW w:w="3352" w:type="dxa"/>
                  <w:vAlign w:val="center"/>
                </w:tcPr>
                <w:p w14:paraId="1FC1A761">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新疆佳宇恒能源科技有限公司</w:t>
                  </w:r>
                </w:p>
              </w:tc>
              <w:tc>
                <w:tcPr>
                  <w:tcW w:w="960" w:type="dxa"/>
                  <w:vAlign w:val="center"/>
                </w:tcPr>
                <w:p w14:paraId="046D54C0">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110m</w:t>
                  </w:r>
                </w:p>
              </w:tc>
              <w:tc>
                <w:tcPr>
                  <w:tcW w:w="1452" w:type="dxa"/>
                  <w:vAlign w:val="center"/>
                </w:tcPr>
                <w:p w14:paraId="08189B2E">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石油化工制品</w:t>
                  </w:r>
                </w:p>
              </w:tc>
            </w:tr>
            <w:tr w14:paraId="5602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14:paraId="04B581C5">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南侧</w:t>
                  </w:r>
                </w:p>
              </w:tc>
              <w:tc>
                <w:tcPr>
                  <w:tcW w:w="3352" w:type="dxa"/>
                  <w:vAlign w:val="center"/>
                </w:tcPr>
                <w:p w14:paraId="0335FFE8">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变电站</w:t>
                  </w:r>
                </w:p>
              </w:tc>
              <w:tc>
                <w:tcPr>
                  <w:tcW w:w="960" w:type="dxa"/>
                  <w:vAlign w:val="center"/>
                </w:tcPr>
                <w:p w14:paraId="19AD60CD">
                  <w:pPr>
                    <w:adjustRightInd w:val="0"/>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245m</w:t>
                  </w:r>
                </w:p>
              </w:tc>
              <w:tc>
                <w:tcPr>
                  <w:tcW w:w="1452" w:type="dxa"/>
                  <w:vAlign w:val="center"/>
                </w:tcPr>
                <w:p w14:paraId="6DCBB45B">
                  <w:pPr>
                    <w:adjustRightInd w:val="0"/>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w:t>
                  </w:r>
                </w:p>
              </w:tc>
            </w:tr>
            <w:bookmarkEnd w:id="6"/>
          </w:tbl>
          <w:p w14:paraId="7214D689">
            <w:pPr>
              <w:pStyle w:val="18"/>
              <w:rPr>
                <w:b/>
                <w:bCs/>
                <w:color w:val="auto"/>
              </w:rPr>
            </w:pPr>
            <w:r>
              <w:rPr>
                <w:b/>
                <w:bCs/>
                <w:color w:val="auto"/>
              </w:rPr>
              <w:t>（2）相容性分析</w:t>
            </w:r>
          </w:p>
          <w:p w14:paraId="0C54E25C">
            <w:pPr>
              <w:pStyle w:val="18"/>
              <w:rPr>
                <w:color w:val="auto"/>
              </w:rPr>
            </w:pPr>
            <w:r>
              <w:rPr>
                <w:color w:val="auto"/>
              </w:rPr>
              <w:t>由上表可知，拟建项目地块邻近周围主要为规划工业用地和工业</w:t>
            </w:r>
            <w:r>
              <w:rPr>
                <w:rFonts w:hint="eastAsia"/>
                <w:color w:val="auto"/>
              </w:rPr>
              <w:t>企业</w:t>
            </w:r>
            <w:r>
              <w:rPr>
                <w:color w:val="auto"/>
              </w:rPr>
              <w:t>，外环境关系相对简单，对本项目建设无限制性因素</w:t>
            </w:r>
            <w:r>
              <w:rPr>
                <w:rFonts w:hint="eastAsia"/>
                <w:color w:val="auto"/>
                <w:lang w:eastAsia="zh-CN"/>
              </w:rPr>
              <w:t>，</w:t>
            </w:r>
            <w:r>
              <w:rPr>
                <w:rFonts w:hint="eastAsia"/>
                <w:b/>
                <w:bCs/>
                <w:color w:val="auto"/>
                <w:lang w:val="en-US" w:eastAsia="zh-CN"/>
              </w:rPr>
              <w:t>西北侧居民距离本项目较远，且位于侧风向</w:t>
            </w:r>
            <w:r>
              <w:rPr>
                <w:color w:val="auto"/>
              </w:rPr>
              <w:t>。本项目按照相关规范要求拟采取严格的环境治理措施，较大程度减小对外环境的影响；</w:t>
            </w:r>
            <w:r>
              <w:rPr>
                <w:rFonts w:hint="eastAsia"/>
                <w:color w:val="auto"/>
              </w:rPr>
              <w:t>周边不涉及自然保护区、风景名胜区和饮用水水源保护区等生态敏感区。</w:t>
            </w:r>
          </w:p>
          <w:p w14:paraId="5787F907">
            <w:pPr>
              <w:pStyle w:val="18"/>
              <w:rPr>
                <w:b/>
                <w:bCs/>
                <w:color w:val="auto"/>
              </w:rPr>
            </w:pPr>
            <w:r>
              <w:rPr>
                <w:rFonts w:hint="eastAsia"/>
                <w:b/>
                <w:bCs/>
                <w:color w:val="auto"/>
              </w:rPr>
              <w:t>本项目所在地500m范围内无自然保护区、风景名胜区、集中式生活饮用水源保护区、生态保护区、</w:t>
            </w:r>
            <w:r>
              <w:rPr>
                <w:rFonts w:hint="eastAsia"/>
                <w:b/>
                <w:bCs/>
                <w:color w:val="auto"/>
                <w:lang w:val="en-US" w:eastAsia="zh-CN"/>
              </w:rPr>
              <w:t>集中</w:t>
            </w:r>
            <w:r>
              <w:rPr>
                <w:rFonts w:hint="eastAsia"/>
                <w:b/>
                <w:bCs/>
                <w:color w:val="auto"/>
              </w:rPr>
              <w:t>居民区等特殊敏感目标存在。</w:t>
            </w:r>
          </w:p>
          <w:p w14:paraId="4DFAC5AB">
            <w:pPr>
              <w:pStyle w:val="18"/>
              <w:rPr>
                <w:color w:val="auto"/>
              </w:rPr>
            </w:pPr>
            <w:r>
              <w:rPr>
                <w:rFonts w:hint="eastAsia"/>
                <w:color w:val="auto"/>
              </w:rPr>
              <w:t>不会对周边环境及敏感目标产生明显影响；项目废水进入预处理池处理后排入污水处理厂；在厂内设置一般固废暂存间和</w:t>
            </w:r>
            <w:r>
              <w:rPr>
                <w:rFonts w:hint="eastAsia"/>
                <w:color w:val="auto"/>
                <w:lang w:eastAsia="zh-CN"/>
              </w:rPr>
              <w:t>危废贮存库</w:t>
            </w:r>
            <w:r>
              <w:rPr>
                <w:rFonts w:hint="eastAsia"/>
                <w:color w:val="auto"/>
              </w:rPr>
              <w:t>，固体废物在场内暂存后分类妥善处置，亦不会对周边环境造成二次污染。同时，评价要求拟采取严格风险控制措施，确保环境风险可接受；厂区实施地下水分区防渗，有效防范地下水污染；对产噪设备拟采取相应的消声、隔声措施，不会对区域声环境质量造成明显影响。</w:t>
            </w:r>
          </w:p>
          <w:p w14:paraId="3D1B0B7F">
            <w:pPr>
              <w:pStyle w:val="18"/>
              <w:ind w:firstLine="422"/>
              <w:rPr>
                <w:b/>
                <w:bCs/>
                <w:color w:val="auto"/>
              </w:rPr>
            </w:pPr>
            <w:r>
              <w:rPr>
                <w:b/>
                <w:bCs/>
                <w:color w:val="auto"/>
              </w:rPr>
              <w:t>综上，评价认为本项目与外环境相容，外环境无重大制约因素。</w:t>
            </w:r>
          </w:p>
          <w:p w14:paraId="52956C77">
            <w:pPr>
              <w:rPr>
                <w:b/>
                <w:bCs/>
                <w:color w:val="auto"/>
              </w:rPr>
            </w:pPr>
          </w:p>
          <w:p w14:paraId="4D86633B">
            <w:pPr>
              <w:rPr>
                <w:b/>
                <w:bCs/>
                <w:color w:val="auto"/>
              </w:rPr>
            </w:pPr>
          </w:p>
          <w:p w14:paraId="05991167">
            <w:pPr>
              <w:rPr>
                <w:b/>
                <w:bCs/>
                <w:color w:val="auto"/>
              </w:rPr>
            </w:pPr>
          </w:p>
          <w:p w14:paraId="558302A2">
            <w:pPr>
              <w:rPr>
                <w:b/>
                <w:bCs/>
                <w:color w:val="auto"/>
              </w:rPr>
            </w:pPr>
          </w:p>
          <w:p w14:paraId="21834F6D">
            <w:pPr>
              <w:rPr>
                <w:b/>
                <w:bCs/>
                <w:color w:val="auto"/>
              </w:rPr>
            </w:pPr>
          </w:p>
          <w:p w14:paraId="4E1B5667">
            <w:pPr>
              <w:rPr>
                <w:b/>
                <w:bCs/>
                <w:color w:val="auto"/>
              </w:rPr>
            </w:pPr>
          </w:p>
          <w:p w14:paraId="583ABC56">
            <w:pPr>
              <w:rPr>
                <w:b/>
                <w:bCs/>
                <w:color w:val="auto"/>
              </w:rPr>
            </w:pPr>
          </w:p>
          <w:p w14:paraId="0315F186">
            <w:pPr>
              <w:rPr>
                <w:b/>
                <w:bCs/>
                <w:color w:val="auto"/>
              </w:rPr>
            </w:pPr>
          </w:p>
          <w:p w14:paraId="1F96D78D">
            <w:pPr>
              <w:rPr>
                <w:b/>
                <w:bCs/>
                <w:color w:val="auto"/>
              </w:rPr>
            </w:pPr>
          </w:p>
          <w:p w14:paraId="5039C308">
            <w:pPr>
              <w:rPr>
                <w:b/>
                <w:bCs/>
                <w:color w:val="auto"/>
              </w:rPr>
            </w:pPr>
          </w:p>
          <w:p w14:paraId="5D4709E5">
            <w:pPr>
              <w:rPr>
                <w:b/>
                <w:bCs/>
                <w:color w:val="auto"/>
              </w:rPr>
            </w:pPr>
          </w:p>
          <w:p w14:paraId="6DBAE178">
            <w:pPr>
              <w:rPr>
                <w:b/>
                <w:bCs/>
                <w:color w:val="auto"/>
              </w:rPr>
            </w:pPr>
          </w:p>
          <w:p w14:paraId="201046F8">
            <w:pPr>
              <w:rPr>
                <w:b/>
                <w:bCs/>
                <w:color w:val="auto"/>
              </w:rPr>
            </w:pPr>
          </w:p>
          <w:p w14:paraId="6A92622C">
            <w:pPr>
              <w:rPr>
                <w:b/>
                <w:bCs/>
                <w:color w:val="auto"/>
              </w:rPr>
            </w:pPr>
          </w:p>
          <w:p w14:paraId="044FF17D">
            <w:pPr>
              <w:rPr>
                <w:b/>
                <w:bCs/>
                <w:color w:val="auto"/>
              </w:rPr>
            </w:pPr>
          </w:p>
          <w:p w14:paraId="417A3272">
            <w:pPr>
              <w:rPr>
                <w:b/>
                <w:bCs/>
                <w:color w:val="auto"/>
              </w:rPr>
            </w:pPr>
          </w:p>
          <w:p w14:paraId="1D4B0733">
            <w:pPr>
              <w:rPr>
                <w:b/>
                <w:bCs/>
                <w:color w:val="auto"/>
              </w:rPr>
            </w:pPr>
          </w:p>
          <w:p w14:paraId="01A2950E">
            <w:pPr>
              <w:rPr>
                <w:b/>
                <w:bCs/>
                <w:color w:val="auto"/>
              </w:rPr>
            </w:pPr>
          </w:p>
          <w:p w14:paraId="5B8F0D76">
            <w:pPr>
              <w:rPr>
                <w:b/>
                <w:bCs/>
                <w:color w:val="auto"/>
              </w:rPr>
            </w:pPr>
          </w:p>
          <w:p w14:paraId="4B6E45EA">
            <w:pPr>
              <w:rPr>
                <w:b/>
                <w:bCs/>
                <w:color w:val="auto"/>
              </w:rPr>
            </w:pPr>
          </w:p>
          <w:p w14:paraId="08DA0E84">
            <w:pPr>
              <w:rPr>
                <w:b/>
                <w:bCs/>
                <w:color w:val="auto"/>
              </w:rPr>
            </w:pPr>
          </w:p>
          <w:p w14:paraId="6718A710">
            <w:pPr>
              <w:rPr>
                <w:b/>
                <w:bCs/>
                <w:color w:val="auto"/>
              </w:rPr>
            </w:pPr>
          </w:p>
          <w:p w14:paraId="430B5915">
            <w:pPr>
              <w:rPr>
                <w:b/>
                <w:bCs/>
                <w:color w:val="auto"/>
              </w:rPr>
            </w:pPr>
          </w:p>
          <w:p w14:paraId="60F0B2E1">
            <w:pPr>
              <w:rPr>
                <w:b/>
                <w:bCs/>
                <w:color w:val="auto"/>
              </w:rPr>
            </w:pPr>
          </w:p>
          <w:p w14:paraId="4DD51753">
            <w:pPr>
              <w:rPr>
                <w:b/>
                <w:bCs/>
                <w:color w:val="auto"/>
              </w:rPr>
            </w:pPr>
          </w:p>
          <w:p w14:paraId="1A22ED61">
            <w:pPr>
              <w:rPr>
                <w:b/>
                <w:bCs/>
                <w:color w:val="auto"/>
              </w:rPr>
            </w:pPr>
          </w:p>
          <w:p w14:paraId="1F5C42CD">
            <w:pPr>
              <w:rPr>
                <w:b/>
                <w:bCs/>
                <w:color w:val="auto"/>
              </w:rPr>
            </w:pPr>
          </w:p>
          <w:p w14:paraId="2C39C99C">
            <w:pPr>
              <w:rPr>
                <w:b/>
                <w:bCs/>
                <w:color w:val="auto"/>
              </w:rPr>
            </w:pPr>
          </w:p>
          <w:p w14:paraId="5A8B6795">
            <w:pPr>
              <w:rPr>
                <w:b/>
                <w:bCs/>
                <w:color w:val="auto"/>
              </w:rPr>
            </w:pPr>
          </w:p>
          <w:p w14:paraId="1510E8FE">
            <w:pPr>
              <w:rPr>
                <w:b/>
                <w:bCs/>
                <w:color w:val="auto"/>
              </w:rPr>
            </w:pPr>
          </w:p>
          <w:p w14:paraId="53685394">
            <w:pPr>
              <w:rPr>
                <w:b/>
                <w:bCs/>
                <w:color w:val="auto"/>
              </w:rPr>
            </w:pPr>
          </w:p>
          <w:p w14:paraId="77457DC8">
            <w:pPr>
              <w:rPr>
                <w:b/>
                <w:bCs/>
                <w:color w:val="auto"/>
              </w:rPr>
            </w:pPr>
          </w:p>
          <w:p w14:paraId="5F47FDE0">
            <w:pPr>
              <w:rPr>
                <w:b/>
                <w:bCs/>
                <w:color w:val="auto"/>
              </w:rPr>
            </w:pPr>
          </w:p>
          <w:p w14:paraId="0C786887">
            <w:pPr>
              <w:rPr>
                <w:b/>
                <w:bCs/>
                <w:color w:val="auto"/>
              </w:rPr>
            </w:pPr>
          </w:p>
          <w:p w14:paraId="44F271C0">
            <w:pPr>
              <w:rPr>
                <w:b/>
                <w:bCs/>
                <w:color w:val="auto"/>
              </w:rPr>
            </w:pPr>
          </w:p>
          <w:p w14:paraId="0BF8F26D">
            <w:pPr>
              <w:rPr>
                <w:b/>
                <w:bCs/>
                <w:color w:val="auto"/>
              </w:rPr>
            </w:pPr>
          </w:p>
          <w:p w14:paraId="5AA599F3">
            <w:pPr>
              <w:rPr>
                <w:b/>
                <w:bCs/>
                <w:color w:val="auto"/>
              </w:rPr>
            </w:pPr>
          </w:p>
          <w:p w14:paraId="543357CC">
            <w:pPr>
              <w:rPr>
                <w:b/>
                <w:bCs/>
                <w:color w:val="auto"/>
              </w:rPr>
            </w:pPr>
          </w:p>
          <w:p w14:paraId="0D3BED03">
            <w:pPr>
              <w:rPr>
                <w:b/>
                <w:bCs/>
                <w:color w:val="auto"/>
              </w:rPr>
            </w:pPr>
          </w:p>
          <w:p w14:paraId="489D6B96">
            <w:pPr>
              <w:rPr>
                <w:b/>
                <w:bCs/>
                <w:color w:val="auto"/>
              </w:rPr>
            </w:pPr>
          </w:p>
          <w:p w14:paraId="7349CC0E">
            <w:pPr>
              <w:rPr>
                <w:b/>
                <w:bCs/>
                <w:color w:val="auto"/>
              </w:rPr>
            </w:pPr>
          </w:p>
          <w:p w14:paraId="7E6BC018">
            <w:pPr>
              <w:rPr>
                <w:b/>
                <w:bCs/>
                <w:color w:val="auto"/>
              </w:rPr>
            </w:pPr>
          </w:p>
          <w:p w14:paraId="7F6AC75B">
            <w:pPr>
              <w:rPr>
                <w:b/>
                <w:bCs/>
                <w:color w:val="auto"/>
              </w:rPr>
            </w:pPr>
          </w:p>
        </w:tc>
      </w:tr>
    </w:tbl>
    <w:p w14:paraId="0852949C">
      <w:pPr>
        <w:pStyle w:val="18"/>
        <w:rPr>
          <w:snapToGrid w:val="0"/>
        </w:rPr>
        <w:sectPr>
          <w:pgSz w:w="11906" w:h="16838"/>
          <w:pgMar w:top="1701" w:right="1531" w:bottom="1701" w:left="1531" w:header="851" w:footer="851" w:gutter="0"/>
          <w:cols w:space="720" w:num="1"/>
          <w:docGrid w:linePitch="312" w:charSpace="0"/>
        </w:sectPr>
      </w:pPr>
    </w:p>
    <w:p w14:paraId="58FB8FE8">
      <w:pPr>
        <w:pStyle w:val="15"/>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5"/>
      </w:tblGrid>
      <w:tr w14:paraId="3CD7F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Align w:val="center"/>
          </w:tcPr>
          <w:p w14:paraId="6EA4073E">
            <w:pPr>
              <w:pStyle w:val="1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385" w:type="dxa"/>
          </w:tcPr>
          <w:p w14:paraId="7B5BD76C">
            <w:pPr>
              <w:pStyle w:val="18"/>
              <w:ind w:firstLine="422"/>
              <w:rPr>
                <w:b/>
                <w:bCs/>
                <w:color w:val="auto"/>
              </w:rPr>
            </w:pPr>
            <w:r>
              <w:rPr>
                <w:b/>
                <w:bCs/>
                <w:color w:val="auto"/>
              </w:rPr>
              <w:t>1、项目由来</w:t>
            </w:r>
          </w:p>
          <w:p w14:paraId="33F2648D">
            <w:pPr>
              <w:pStyle w:val="18"/>
              <w:rPr>
                <w:rFonts w:hint="eastAsia"/>
                <w:color w:val="auto"/>
              </w:rPr>
            </w:pPr>
            <w:r>
              <w:rPr>
                <w:rFonts w:hint="eastAsia"/>
                <w:color w:val="auto"/>
              </w:rPr>
              <w:t>新疆晟地沃丰生物科技有限公司为2021年招商引资的师、市重要企业，其致力于从事复配农药尤其是环保安全型水剂复配农药的研发、生产和推广应用，结合自身引进的丰富的生产管理经验，已经在第七师逐步形成了具有规模的营销网络。</w:t>
            </w:r>
          </w:p>
          <w:p w14:paraId="601C891B">
            <w:pPr>
              <w:pStyle w:val="18"/>
              <w:rPr>
                <w:rFonts w:hint="eastAsia" w:eastAsia="宋体"/>
                <w:color w:val="auto"/>
                <w:lang w:val="en-US" w:eastAsia="zh-CN"/>
              </w:rPr>
            </w:pPr>
            <w:r>
              <w:rPr>
                <w:rFonts w:hint="eastAsia"/>
                <w:color w:val="auto"/>
              </w:rPr>
              <w:t>为了切实加快公司发展及迅速投产，新疆晟地沃丰生物科技有限公司拟筹集资金，</w:t>
            </w:r>
            <w:r>
              <w:rPr>
                <w:rFonts w:hint="eastAsia"/>
                <w:color w:val="auto"/>
                <w:lang w:eastAsia="zh-CN"/>
              </w:rPr>
              <w:t>拟在</w:t>
            </w:r>
            <w:r>
              <w:rPr>
                <w:rFonts w:hint="eastAsia"/>
                <w:color w:val="auto"/>
              </w:rPr>
              <w:t>胡杨河经济技术开发区</w:t>
            </w:r>
            <w:r>
              <w:rPr>
                <w:rFonts w:hint="eastAsia"/>
                <w:color w:val="auto"/>
                <w:lang w:val="en-US" w:eastAsia="zh-CN"/>
              </w:rPr>
              <w:t>新建《新疆晟地沃丰生物科技有限公司年产3500吨环保安全型复配农药加工项目》</w:t>
            </w:r>
            <w:r>
              <w:rPr>
                <w:rFonts w:hint="eastAsia"/>
                <w:color w:val="auto"/>
              </w:rPr>
              <w:t>，按照国家安全条例、环保政策的要求，建设农药复配加工厂区，使之达到年产3500吨的生产规模。</w:t>
            </w:r>
            <w:r>
              <w:rPr>
                <w:b/>
                <w:bCs/>
                <w:color w:val="auto"/>
              </w:rPr>
              <w:t>根据《</w:t>
            </w:r>
            <w:r>
              <w:rPr>
                <w:rFonts w:hint="eastAsia"/>
                <w:b/>
                <w:bCs/>
                <w:color w:val="auto"/>
                <w:lang w:val="en-US" w:eastAsia="zh-CN"/>
              </w:rPr>
              <w:t>新疆生产建设兵团投资项目备案证</w:t>
            </w:r>
            <w:r>
              <w:rPr>
                <w:b/>
                <w:bCs/>
                <w:color w:val="auto"/>
              </w:rPr>
              <w:t>》</w:t>
            </w:r>
            <w:r>
              <w:rPr>
                <w:color w:val="auto"/>
              </w:rPr>
              <w:t>：</w:t>
            </w:r>
            <w:r>
              <w:rPr>
                <w:rFonts w:hint="eastAsia"/>
                <w:color w:val="auto"/>
                <w:lang w:val="en-US" w:eastAsia="zh-CN"/>
              </w:rPr>
              <w:t>新建3500吨/年复配农药，分别为1300吨/年水剂装置，1300吨/年水悬浮剂装置，700吨/年水乳剂装置，200吨/年可湿性粉剂装置。新建办公楼，原料库一栋，成品库一栋，水剂生产车间一栋，水悬浮剂生产车间一栋，水乳剂生产车间一栋，可湿性粉剂生产车间一栋，配套建设供汽站、配电室等公辅工程。</w:t>
            </w:r>
          </w:p>
          <w:p w14:paraId="5CB5E19E">
            <w:pPr>
              <w:pStyle w:val="18"/>
              <w:rPr>
                <w:color w:val="auto"/>
              </w:rPr>
            </w:pPr>
            <w:r>
              <w:rPr>
                <w:color w:val="auto"/>
              </w:rPr>
              <w:t>对照《建设项目环境影响评价分类管理名录（2021版）》的有关规定，项目属于其中</w:t>
            </w:r>
            <w:r>
              <w:rPr>
                <w:rFonts w:hint="eastAsia"/>
                <w:color w:val="auto"/>
              </w:rPr>
              <w:t>“二十三、化学原料和化学制品制造业26-44农药制造263－单纯物理分离、物理提纯、混合、分装的（不产生废水或挥发性有机物的除外）”</w:t>
            </w:r>
            <w:r>
              <w:rPr>
                <w:color w:val="auto"/>
              </w:rPr>
              <w:t>，环评工作形式为报告表。为此，</w:t>
            </w:r>
            <w:r>
              <w:rPr>
                <w:rFonts w:hint="eastAsia"/>
                <w:color w:val="auto"/>
              </w:rPr>
              <w:t>项目业主新疆晟地沃丰生物科技有限公司特委托乌鲁木齐润泽天辰环保科技有限公司进行环境影响评价工作。</w:t>
            </w:r>
            <w:r>
              <w:rPr>
                <w:color w:val="auto"/>
              </w:rPr>
              <w:t>接受委托后，评价单位在充分研读有关文件和资料后，通过对该项目的工程分析和对建设地区环境现状调查、评价，编制出本项目环境影响报告表，</w:t>
            </w:r>
            <w:r>
              <w:rPr>
                <w:b/>
                <w:bCs/>
                <w:color w:val="auto"/>
              </w:rPr>
              <w:t>呈报</w:t>
            </w:r>
            <w:r>
              <w:rPr>
                <w:rFonts w:hint="eastAsia"/>
                <w:b/>
                <w:bCs/>
                <w:color w:val="auto"/>
                <w:lang w:val="en-US" w:eastAsia="zh-CN"/>
              </w:rPr>
              <w:t>第七师</w:t>
            </w:r>
            <w:r>
              <w:rPr>
                <w:rFonts w:hint="eastAsia"/>
                <w:b/>
                <w:bCs/>
                <w:color w:val="auto"/>
                <w:lang w:eastAsia="zh-CN"/>
              </w:rPr>
              <w:t>胡杨河市生</w:t>
            </w:r>
            <w:bookmarkStart w:id="45" w:name="_GoBack"/>
            <w:bookmarkEnd w:id="45"/>
            <w:r>
              <w:rPr>
                <w:b/>
                <w:bCs/>
                <w:color w:val="auto"/>
              </w:rPr>
              <w:t>态环境局审批</w:t>
            </w:r>
            <w:r>
              <w:rPr>
                <w:color w:val="auto"/>
              </w:rPr>
              <w:t>。</w:t>
            </w:r>
          </w:p>
          <w:p w14:paraId="51EAD1C8">
            <w:pPr>
              <w:pStyle w:val="18"/>
              <w:ind w:firstLine="422"/>
              <w:rPr>
                <w:b/>
                <w:bCs/>
                <w:color w:val="auto"/>
              </w:rPr>
            </w:pPr>
            <w:r>
              <w:rPr>
                <w:b/>
                <w:bCs/>
                <w:color w:val="auto"/>
              </w:rPr>
              <w:t>2、项目名称、地点、建设性质及规模</w:t>
            </w:r>
          </w:p>
          <w:p w14:paraId="13A17605">
            <w:pPr>
              <w:pStyle w:val="18"/>
              <w:rPr>
                <w:rFonts w:hint="eastAsia"/>
                <w:color w:val="auto"/>
              </w:rPr>
            </w:pPr>
            <w:r>
              <w:rPr>
                <w:color w:val="auto"/>
              </w:rPr>
              <w:t>项目名称：</w:t>
            </w:r>
            <w:r>
              <w:rPr>
                <w:rFonts w:hint="eastAsia"/>
                <w:color w:val="auto"/>
              </w:rPr>
              <w:t>新疆晟地沃丰生物科技有限公司年产3500吨环保安全型复配农药加工项目</w:t>
            </w:r>
          </w:p>
          <w:p w14:paraId="784EF76B">
            <w:pPr>
              <w:pStyle w:val="18"/>
              <w:rPr>
                <w:color w:val="auto"/>
              </w:rPr>
            </w:pPr>
            <w:r>
              <w:rPr>
                <w:color w:val="auto"/>
              </w:rPr>
              <w:t>建设单位：</w:t>
            </w:r>
            <w:r>
              <w:rPr>
                <w:rFonts w:hint="eastAsia"/>
                <w:color w:val="auto"/>
              </w:rPr>
              <w:t>新疆晟地沃丰生物科技有限公司</w:t>
            </w:r>
          </w:p>
          <w:p w14:paraId="304A5697">
            <w:pPr>
              <w:pStyle w:val="18"/>
              <w:rPr>
                <w:color w:val="auto"/>
              </w:rPr>
            </w:pPr>
            <w:r>
              <w:rPr>
                <w:color w:val="auto"/>
              </w:rPr>
              <w:t>建设地点：</w:t>
            </w:r>
            <w:r>
              <w:rPr>
                <w:rFonts w:hint="eastAsia"/>
                <w:color w:val="auto"/>
                <w:szCs w:val="21"/>
                <w:lang w:val="en-US" w:eastAsia="zh-CN"/>
              </w:rPr>
              <w:t>胡杨河经济技术开发区西环路以东、高泉西路以北</w:t>
            </w:r>
          </w:p>
          <w:p w14:paraId="421B0F4A">
            <w:pPr>
              <w:pStyle w:val="18"/>
              <w:rPr>
                <w:color w:val="auto"/>
              </w:rPr>
            </w:pPr>
            <w:r>
              <w:rPr>
                <w:color w:val="auto"/>
              </w:rPr>
              <w:t>项目性质：新建</w:t>
            </w:r>
          </w:p>
          <w:p w14:paraId="55016E3B">
            <w:pPr>
              <w:pStyle w:val="18"/>
              <w:rPr>
                <w:color w:val="auto"/>
              </w:rPr>
            </w:pPr>
            <w:r>
              <w:rPr>
                <w:color w:val="auto"/>
              </w:rPr>
              <w:t>项目投资：总投资</w:t>
            </w:r>
            <w:r>
              <w:rPr>
                <w:rFonts w:hint="eastAsia"/>
                <w:color w:val="auto"/>
                <w:lang w:val="en-US" w:eastAsia="zh-CN"/>
              </w:rPr>
              <w:t>35644.17</w:t>
            </w:r>
            <w:r>
              <w:rPr>
                <w:color w:val="auto"/>
              </w:rPr>
              <w:t>万元，其中环保投资</w:t>
            </w:r>
            <w:r>
              <w:rPr>
                <w:rFonts w:hint="eastAsia"/>
                <w:color w:val="auto"/>
                <w:lang w:val="en-US" w:eastAsia="zh-CN"/>
              </w:rPr>
              <w:t>115</w:t>
            </w:r>
            <w:r>
              <w:rPr>
                <w:color w:val="auto"/>
              </w:rPr>
              <w:t>万元。</w:t>
            </w:r>
          </w:p>
          <w:p w14:paraId="11A59839">
            <w:pPr>
              <w:pStyle w:val="18"/>
              <w:rPr>
                <w:color w:val="auto"/>
              </w:rPr>
            </w:pPr>
            <w:r>
              <w:rPr>
                <w:color w:val="auto"/>
              </w:rPr>
              <w:t>项目占地：</w:t>
            </w:r>
            <w:r>
              <w:rPr>
                <w:rFonts w:hint="eastAsia"/>
                <w:color w:val="auto"/>
                <w:lang w:val="en-US" w:eastAsia="zh-CN"/>
              </w:rPr>
              <w:t>33379.41</w:t>
            </w:r>
            <w:r>
              <w:rPr>
                <w:color w:val="auto"/>
              </w:rPr>
              <w:t>m</w:t>
            </w:r>
            <w:r>
              <w:rPr>
                <w:color w:val="auto"/>
                <w:vertAlign w:val="superscript"/>
              </w:rPr>
              <w:t>2</w:t>
            </w:r>
          </w:p>
          <w:p w14:paraId="57E00191">
            <w:pPr>
              <w:pStyle w:val="18"/>
              <w:rPr>
                <w:color w:val="auto"/>
              </w:rPr>
            </w:pPr>
            <w:r>
              <w:rPr>
                <w:color w:val="auto"/>
              </w:rPr>
              <w:t>项目建设期：</w:t>
            </w:r>
            <w:r>
              <w:rPr>
                <w:rFonts w:hint="eastAsia"/>
                <w:color w:val="auto"/>
                <w:lang w:val="en-US" w:eastAsia="zh-CN"/>
              </w:rPr>
              <w:t>12</w:t>
            </w:r>
            <w:r>
              <w:rPr>
                <w:color w:val="auto"/>
              </w:rPr>
              <w:t>个月，预计202</w:t>
            </w:r>
            <w:r>
              <w:rPr>
                <w:rFonts w:hint="eastAsia"/>
                <w:color w:val="auto"/>
                <w:lang w:val="en-US" w:eastAsia="zh-CN"/>
              </w:rPr>
              <w:t>7</w:t>
            </w:r>
            <w:r>
              <w:rPr>
                <w:color w:val="auto"/>
              </w:rPr>
              <w:t>年</w:t>
            </w:r>
            <w:r>
              <w:rPr>
                <w:rFonts w:hint="eastAsia"/>
                <w:color w:val="auto"/>
                <w:lang w:val="en-US" w:eastAsia="zh-CN"/>
              </w:rPr>
              <w:t>1</w:t>
            </w:r>
            <w:r>
              <w:rPr>
                <w:color w:val="auto"/>
              </w:rPr>
              <w:t>建成运营</w:t>
            </w:r>
          </w:p>
          <w:p w14:paraId="635A1C9E">
            <w:pPr>
              <w:pStyle w:val="18"/>
              <w:ind w:firstLine="422"/>
              <w:rPr>
                <w:b/>
                <w:bCs/>
                <w:color w:val="auto"/>
              </w:rPr>
            </w:pPr>
            <w:r>
              <w:rPr>
                <w:b/>
                <w:bCs/>
                <w:color w:val="auto"/>
              </w:rPr>
              <w:t>3、建设内容</w:t>
            </w:r>
          </w:p>
          <w:p w14:paraId="7F03B667">
            <w:pPr>
              <w:pStyle w:val="18"/>
              <w:rPr>
                <w:color w:val="auto"/>
              </w:rPr>
            </w:pPr>
            <w:r>
              <w:rPr>
                <w:rFonts w:hint="eastAsia"/>
                <w:color w:val="auto"/>
                <w:lang w:val="en-US" w:eastAsia="zh-CN"/>
              </w:rPr>
              <w:t>本项目新建办公楼，原料库一栋，成品库两栋，水剂生产车间一栋，水悬浮剂生产车间一栋，水乳剂生产车间一栋，可湿性粉剂生产车间一栋，配套建设供汽站、配电室等公辅工程。</w:t>
            </w:r>
            <w:r>
              <w:rPr>
                <w:rFonts w:hint="eastAsia"/>
                <w:b/>
                <w:bCs/>
                <w:color w:val="auto"/>
              </w:rPr>
              <w:t>本项目总占地面积</w:t>
            </w:r>
            <w:r>
              <w:rPr>
                <w:rFonts w:hint="eastAsia"/>
                <w:b/>
                <w:bCs/>
                <w:color w:val="auto"/>
                <w:lang w:val="en-US" w:eastAsia="zh-CN"/>
              </w:rPr>
              <w:t>33379.41</w:t>
            </w:r>
            <w:r>
              <w:rPr>
                <w:rFonts w:hint="eastAsia"/>
                <w:b/>
                <w:bCs/>
                <w:color w:val="auto"/>
              </w:rPr>
              <w:t>平方米，</w:t>
            </w:r>
            <w:r>
              <w:rPr>
                <w:b/>
                <w:bCs/>
                <w:color w:val="auto"/>
              </w:rPr>
              <w:t>总建筑面积为</w:t>
            </w:r>
            <w:r>
              <w:rPr>
                <w:rFonts w:hint="eastAsia"/>
                <w:b/>
                <w:bCs/>
                <w:color w:val="auto"/>
                <w:lang w:val="en-US" w:eastAsia="zh-CN"/>
              </w:rPr>
              <w:t>10991</w:t>
            </w:r>
            <w:r>
              <w:rPr>
                <w:b/>
                <w:bCs/>
                <w:color w:val="auto"/>
              </w:rPr>
              <w:t>平方米</w:t>
            </w:r>
            <w:r>
              <w:rPr>
                <w:color w:val="auto"/>
              </w:rPr>
              <w:t>。</w:t>
            </w:r>
          </w:p>
          <w:p w14:paraId="76072D04">
            <w:pPr>
              <w:autoSpaceDE w:val="0"/>
              <w:autoSpaceDN w:val="0"/>
              <w:adjustRightInd w:val="0"/>
              <w:snapToGrid w:val="0"/>
              <w:jc w:val="center"/>
              <w:rPr>
                <w:b/>
                <w:bCs/>
                <w:color w:val="auto"/>
                <w:kern w:val="0"/>
                <w:szCs w:val="21"/>
              </w:rPr>
            </w:pPr>
            <w:r>
              <w:rPr>
                <w:b/>
                <w:bCs/>
                <w:color w:val="auto"/>
                <w:kern w:val="0"/>
                <w:szCs w:val="21"/>
              </w:rPr>
              <w:t>表2-1</w:t>
            </w:r>
            <w:r>
              <w:rPr>
                <w:rFonts w:hint="eastAsia"/>
                <w:b/>
                <w:bCs/>
                <w:color w:val="auto"/>
                <w:kern w:val="0"/>
                <w:szCs w:val="21"/>
                <w:lang w:val="en-US" w:eastAsia="zh-CN"/>
              </w:rPr>
              <w:t xml:space="preserve"> </w:t>
            </w:r>
            <w:r>
              <w:rPr>
                <w:b/>
                <w:bCs/>
                <w:color w:val="auto"/>
                <w:kern w:val="0"/>
                <w:szCs w:val="21"/>
              </w:rPr>
              <w:t>项目建筑技术情况表</w:t>
            </w:r>
          </w:p>
          <w:tbl>
            <w:tblPr>
              <w:tblStyle w:val="2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954"/>
              <w:gridCol w:w="2865"/>
              <w:gridCol w:w="2268"/>
            </w:tblGrid>
            <w:tr w14:paraId="131F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9" w:type="dxa"/>
                  <w:gridSpan w:val="2"/>
                  <w:vAlign w:val="center"/>
                </w:tcPr>
                <w:p w14:paraId="753D37F1">
                  <w:pPr>
                    <w:pStyle w:val="42"/>
                    <w:rPr>
                      <w:color w:val="auto"/>
                      <w:sz w:val="21"/>
                      <w:szCs w:val="21"/>
                    </w:rPr>
                  </w:pPr>
                  <w:bookmarkStart w:id="7" w:name="_Hlk165194117"/>
                  <w:r>
                    <w:rPr>
                      <w:color w:val="auto"/>
                      <w:sz w:val="21"/>
                      <w:szCs w:val="21"/>
                    </w:rPr>
                    <w:t>项目</w:t>
                  </w:r>
                </w:p>
              </w:tc>
              <w:tc>
                <w:tcPr>
                  <w:tcW w:w="2865" w:type="dxa"/>
                  <w:vAlign w:val="center"/>
                </w:tcPr>
                <w:p w14:paraId="339925D0">
                  <w:pPr>
                    <w:pStyle w:val="42"/>
                    <w:rPr>
                      <w:color w:val="auto"/>
                      <w:sz w:val="21"/>
                      <w:szCs w:val="21"/>
                    </w:rPr>
                  </w:pPr>
                  <w:r>
                    <w:rPr>
                      <w:color w:val="auto"/>
                      <w:sz w:val="21"/>
                      <w:szCs w:val="21"/>
                    </w:rPr>
                    <w:t>面积</w:t>
                  </w:r>
                </w:p>
              </w:tc>
              <w:tc>
                <w:tcPr>
                  <w:tcW w:w="2268" w:type="dxa"/>
                  <w:vAlign w:val="center"/>
                </w:tcPr>
                <w:p w14:paraId="13A07B18">
                  <w:pPr>
                    <w:pStyle w:val="42"/>
                    <w:rPr>
                      <w:color w:val="auto"/>
                      <w:sz w:val="21"/>
                      <w:szCs w:val="21"/>
                    </w:rPr>
                  </w:pPr>
                  <w:r>
                    <w:rPr>
                      <w:color w:val="auto"/>
                      <w:sz w:val="21"/>
                      <w:szCs w:val="21"/>
                    </w:rPr>
                    <w:t>备注</w:t>
                  </w:r>
                </w:p>
              </w:tc>
            </w:tr>
            <w:tr w14:paraId="0A97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9" w:type="dxa"/>
                  <w:gridSpan w:val="2"/>
                  <w:vAlign w:val="center"/>
                </w:tcPr>
                <w:p w14:paraId="743B4830">
                  <w:pPr>
                    <w:pStyle w:val="42"/>
                    <w:rPr>
                      <w:color w:val="auto"/>
                      <w:sz w:val="21"/>
                      <w:szCs w:val="21"/>
                    </w:rPr>
                  </w:pPr>
                  <w:r>
                    <w:rPr>
                      <w:color w:val="auto"/>
                      <w:sz w:val="21"/>
                      <w:szCs w:val="21"/>
                    </w:rPr>
                    <w:t>总用地面积</w:t>
                  </w:r>
                </w:p>
              </w:tc>
              <w:tc>
                <w:tcPr>
                  <w:tcW w:w="2865" w:type="dxa"/>
                  <w:vAlign w:val="center"/>
                </w:tcPr>
                <w:p w14:paraId="6D06FC43">
                  <w:pPr>
                    <w:pStyle w:val="42"/>
                    <w:rPr>
                      <w:color w:val="auto"/>
                      <w:sz w:val="21"/>
                      <w:szCs w:val="21"/>
                    </w:rPr>
                  </w:pPr>
                  <w:r>
                    <w:rPr>
                      <w:rFonts w:hint="eastAsia"/>
                      <w:color w:val="auto"/>
                      <w:sz w:val="21"/>
                      <w:szCs w:val="21"/>
                      <w:lang w:val="en-US" w:eastAsia="zh-CN"/>
                    </w:rPr>
                    <w:t>33379.41</w:t>
                  </w:r>
                  <w:r>
                    <w:rPr>
                      <w:color w:val="auto"/>
                      <w:sz w:val="21"/>
                      <w:szCs w:val="21"/>
                    </w:rPr>
                    <w:t>m</w:t>
                  </w:r>
                  <w:r>
                    <w:rPr>
                      <w:color w:val="auto"/>
                      <w:sz w:val="21"/>
                      <w:szCs w:val="21"/>
                      <w:vertAlign w:val="superscript"/>
                    </w:rPr>
                    <w:t>2</w:t>
                  </w:r>
                </w:p>
              </w:tc>
              <w:tc>
                <w:tcPr>
                  <w:tcW w:w="2268" w:type="dxa"/>
                  <w:vAlign w:val="center"/>
                </w:tcPr>
                <w:p w14:paraId="33428D46">
                  <w:pPr>
                    <w:pStyle w:val="42"/>
                    <w:rPr>
                      <w:color w:val="auto"/>
                      <w:sz w:val="21"/>
                      <w:szCs w:val="21"/>
                    </w:rPr>
                  </w:pPr>
                  <w:r>
                    <w:rPr>
                      <w:color w:val="auto"/>
                      <w:sz w:val="21"/>
                      <w:szCs w:val="21"/>
                    </w:rPr>
                    <w:t>/</w:t>
                  </w:r>
                </w:p>
              </w:tc>
            </w:tr>
            <w:tr w14:paraId="2A07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9" w:type="dxa"/>
                  <w:gridSpan w:val="2"/>
                  <w:vAlign w:val="center"/>
                </w:tcPr>
                <w:p w14:paraId="223E08B7">
                  <w:pPr>
                    <w:pStyle w:val="42"/>
                    <w:rPr>
                      <w:color w:val="auto"/>
                      <w:sz w:val="21"/>
                      <w:szCs w:val="21"/>
                    </w:rPr>
                  </w:pPr>
                  <w:r>
                    <w:rPr>
                      <w:color w:val="auto"/>
                      <w:sz w:val="21"/>
                      <w:szCs w:val="21"/>
                    </w:rPr>
                    <w:t>总建筑面积</w:t>
                  </w:r>
                </w:p>
              </w:tc>
              <w:tc>
                <w:tcPr>
                  <w:tcW w:w="2865" w:type="dxa"/>
                  <w:vAlign w:val="center"/>
                </w:tcPr>
                <w:p w14:paraId="32C9A54A">
                  <w:pPr>
                    <w:pStyle w:val="42"/>
                    <w:rPr>
                      <w:color w:val="auto"/>
                      <w:sz w:val="21"/>
                      <w:szCs w:val="21"/>
                    </w:rPr>
                  </w:pPr>
                  <w:r>
                    <w:rPr>
                      <w:rFonts w:hint="eastAsia"/>
                      <w:color w:val="auto"/>
                      <w:sz w:val="21"/>
                      <w:szCs w:val="21"/>
                      <w:lang w:val="en-US" w:eastAsia="zh-CN"/>
                    </w:rPr>
                    <w:t>12510</w:t>
                  </w:r>
                  <w:r>
                    <w:rPr>
                      <w:color w:val="auto"/>
                      <w:sz w:val="21"/>
                      <w:szCs w:val="21"/>
                    </w:rPr>
                    <w:t>m</w:t>
                  </w:r>
                  <w:r>
                    <w:rPr>
                      <w:color w:val="auto"/>
                      <w:sz w:val="21"/>
                      <w:szCs w:val="21"/>
                      <w:vertAlign w:val="superscript"/>
                    </w:rPr>
                    <w:t>2</w:t>
                  </w:r>
                </w:p>
              </w:tc>
              <w:tc>
                <w:tcPr>
                  <w:tcW w:w="2268" w:type="dxa"/>
                  <w:vAlign w:val="center"/>
                </w:tcPr>
                <w:p w14:paraId="51134516">
                  <w:pPr>
                    <w:pStyle w:val="42"/>
                    <w:rPr>
                      <w:color w:val="auto"/>
                      <w:sz w:val="21"/>
                      <w:szCs w:val="21"/>
                    </w:rPr>
                  </w:pPr>
                  <w:r>
                    <w:rPr>
                      <w:color w:val="auto"/>
                      <w:sz w:val="21"/>
                      <w:szCs w:val="21"/>
                    </w:rPr>
                    <w:t>/</w:t>
                  </w:r>
                </w:p>
              </w:tc>
            </w:tr>
            <w:tr w14:paraId="0508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restart"/>
                  <w:vAlign w:val="center"/>
                </w:tcPr>
                <w:p w14:paraId="59B0CC93">
                  <w:pPr>
                    <w:pStyle w:val="42"/>
                    <w:rPr>
                      <w:color w:val="auto"/>
                      <w:sz w:val="21"/>
                      <w:szCs w:val="21"/>
                    </w:rPr>
                  </w:pPr>
                  <w:r>
                    <w:rPr>
                      <w:rFonts w:hint="eastAsia"/>
                      <w:color w:val="auto"/>
                      <w:sz w:val="21"/>
                      <w:szCs w:val="21"/>
                    </w:rPr>
                    <w:t>其中</w:t>
                  </w:r>
                </w:p>
              </w:tc>
              <w:tc>
                <w:tcPr>
                  <w:tcW w:w="1954" w:type="dxa"/>
                  <w:vAlign w:val="center"/>
                </w:tcPr>
                <w:p w14:paraId="7316124B">
                  <w:pPr>
                    <w:pStyle w:val="42"/>
                    <w:rPr>
                      <w:rFonts w:hint="eastAsia" w:eastAsia="宋体"/>
                      <w:color w:val="auto"/>
                      <w:sz w:val="21"/>
                      <w:szCs w:val="21"/>
                      <w:lang w:eastAsia="zh-CN"/>
                    </w:rPr>
                  </w:pPr>
                  <w:r>
                    <w:rPr>
                      <w:rFonts w:hint="eastAsia"/>
                      <w:color w:val="auto"/>
                      <w:sz w:val="21"/>
                      <w:szCs w:val="21"/>
                    </w:rPr>
                    <w:t>1</w:t>
                  </w:r>
                  <w:r>
                    <w:rPr>
                      <w:color w:val="auto"/>
                      <w:sz w:val="21"/>
                      <w:szCs w:val="21"/>
                    </w:rPr>
                    <w:t>#</w:t>
                  </w:r>
                  <w:r>
                    <w:rPr>
                      <w:rFonts w:hint="eastAsia"/>
                      <w:color w:val="auto"/>
                      <w:sz w:val="21"/>
                      <w:szCs w:val="21"/>
                      <w:lang w:val="en-US" w:eastAsia="zh-CN"/>
                    </w:rPr>
                    <w:t>厂房</w:t>
                  </w:r>
                </w:p>
              </w:tc>
              <w:tc>
                <w:tcPr>
                  <w:tcW w:w="2865" w:type="dxa"/>
                  <w:vAlign w:val="center"/>
                </w:tcPr>
                <w:p w14:paraId="11232BBC">
                  <w:pPr>
                    <w:pStyle w:val="42"/>
                    <w:rPr>
                      <w:color w:val="auto"/>
                      <w:sz w:val="21"/>
                      <w:szCs w:val="21"/>
                    </w:rPr>
                  </w:pPr>
                  <w:r>
                    <w:rPr>
                      <w:rFonts w:hint="eastAsia"/>
                      <w:color w:val="auto"/>
                      <w:sz w:val="21"/>
                      <w:szCs w:val="21"/>
                      <w:lang w:val="en-US" w:eastAsia="zh-CN"/>
                    </w:rPr>
                    <w:t>1296</w:t>
                  </w:r>
                  <w:r>
                    <w:rPr>
                      <w:color w:val="auto"/>
                      <w:sz w:val="21"/>
                      <w:szCs w:val="21"/>
                    </w:rPr>
                    <w:t>m</w:t>
                  </w:r>
                  <w:r>
                    <w:rPr>
                      <w:color w:val="auto"/>
                      <w:sz w:val="21"/>
                      <w:szCs w:val="21"/>
                      <w:vertAlign w:val="superscript"/>
                    </w:rPr>
                    <w:t>2</w:t>
                  </w:r>
                </w:p>
              </w:tc>
              <w:tc>
                <w:tcPr>
                  <w:tcW w:w="2268" w:type="dxa"/>
                </w:tcPr>
                <w:p w14:paraId="6616A57E">
                  <w:pPr>
                    <w:pStyle w:val="42"/>
                    <w:rPr>
                      <w:rFonts w:hint="default"/>
                      <w:color w:val="auto"/>
                      <w:sz w:val="21"/>
                      <w:szCs w:val="21"/>
                      <w:lang w:val="en-US"/>
                    </w:rPr>
                  </w:pPr>
                  <w:r>
                    <w:rPr>
                      <w:rFonts w:hint="eastAsia" w:ascii="Times New Roman" w:hAnsi="Times New Roman" w:eastAsia="宋体" w:cs="Times New Roman"/>
                      <w:color w:val="auto"/>
                      <w:sz w:val="21"/>
                      <w:szCs w:val="21"/>
                      <w:lang w:val="en-US" w:eastAsia="zh-CN"/>
                    </w:rPr>
                    <w:t>可湿性粉剂生产线</w:t>
                  </w:r>
                </w:p>
              </w:tc>
            </w:tr>
            <w:tr w14:paraId="4EB5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6CABDB6D">
                  <w:pPr>
                    <w:pStyle w:val="42"/>
                    <w:rPr>
                      <w:color w:val="auto"/>
                      <w:sz w:val="21"/>
                      <w:szCs w:val="21"/>
                    </w:rPr>
                  </w:pPr>
                </w:p>
              </w:tc>
              <w:tc>
                <w:tcPr>
                  <w:tcW w:w="1954" w:type="dxa"/>
                  <w:vAlign w:val="center"/>
                </w:tcPr>
                <w:p w14:paraId="23BCD71C">
                  <w:pPr>
                    <w:pStyle w:val="42"/>
                    <w:rPr>
                      <w:color w:val="auto"/>
                      <w:sz w:val="21"/>
                      <w:szCs w:val="21"/>
                    </w:rPr>
                  </w:pPr>
                  <w:r>
                    <w:rPr>
                      <w:color w:val="auto"/>
                      <w:sz w:val="21"/>
                      <w:szCs w:val="21"/>
                    </w:rPr>
                    <w:t>2#</w:t>
                  </w:r>
                  <w:r>
                    <w:rPr>
                      <w:rFonts w:hint="eastAsia"/>
                      <w:color w:val="auto"/>
                      <w:sz w:val="21"/>
                      <w:szCs w:val="21"/>
                      <w:lang w:val="en-US" w:eastAsia="zh-CN"/>
                    </w:rPr>
                    <w:t>厂房</w:t>
                  </w:r>
                </w:p>
              </w:tc>
              <w:tc>
                <w:tcPr>
                  <w:tcW w:w="2865" w:type="dxa"/>
                  <w:vAlign w:val="center"/>
                </w:tcPr>
                <w:p w14:paraId="17CD4D6C">
                  <w:pPr>
                    <w:pStyle w:val="42"/>
                    <w:rPr>
                      <w:rFonts w:hint="default" w:eastAsia="宋体"/>
                      <w:color w:val="auto"/>
                      <w:sz w:val="21"/>
                      <w:szCs w:val="21"/>
                      <w:lang w:val="en-US" w:eastAsia="zh-CN"/>
                    </w:rPr>
                  </w:pPr>
                  <w:r>
                    <w:rPr>
                      <w:rFonts w:hint="eastAsia"/>
                      <w:color w:val="auto"/>
                      <w:sz w:val="21"/>
                      <w:szCs w:val="21"/>
                      <w:lang w:val="en-US" w:eastAsia="zh-CN"/>
                    </w:rPr>
                    <w:t>1296</w:t>
                  </w:r>
                  <w:r>
                    <w:rPr>
                      <w:color w:val="auto"/>
                      <w:sz w:val="21"/>
                      <w:szCs w:val="21"/>
                    </w:rPr>
                    <w:t>m</w:t>
                  </w:r>
                  <w:r>
                    <w:rPr>
                      <w:color w:val="auto"/>
                      <w:sz w:val="21"/>
                      <w:szCs w:val="21"/>
                      <w:vertAlign w:val="superscript"/>
                    </w:rPr>
                    <w:t>2</w:t>
                  </w:r>
                </w:p>
              </w:tc>
              <w:tc>
                <w:tcPr>
                  <w:tcW w:w="2268" w:type="dxa"/>
                </w:tcPr>
                <w:p w14:paraId="6D452423">
                  <w:pPr>
                    <w:pStyle w:val="42"/>
                    <w:rPr>
                      <w:rFonts w:hint="default" w:eastAsia="宋体"/>
                      <w:color w:val="auto"/>
                      <w:sz w:val="21"/>
                      <w:szCs w:val="21"/>
                      <w:lang w:val="en-US" w:eastAsia="zh-CN"/>
                    </w:rPr>
                  </w:pPr>
                  <w:r>
                    <w:rPr>
                      <w:rFonts w:hint="eastAsia"/>
                      <w:color w:val="auto"/>
                      <w:sz w:val="21"/>
                      <w:szCs w:val="21"/>
                      <w:lang w:val="en-US" w:eastAsia="zh-CN"/>
                    </w:rPr>
                    <w:t>悬浮剂生产线</w:t>
                  </w:r>
                </w:p>
              </w:tc>
            </w:tr>
            <w:tr w14:paraId="77C3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2767AD7D">
                  <w:pPr>
                    <w:pStyle w:val="42"/>
                    <w:rPr>
                      <w:color w:val="auto"/>
                      <w:sz w:val="21"/>
                      <w:szCs w:val="21"/>
                    </w:rPr>
                  </w:pPr>
                </w:p>
              </w:tc>
              <w:tc>
                <w:tcPr>
                  <w:tcW w:w="1954" w:type="dxa"/>
                  <w:vAlign w:val="center"/>
                </w:tcPr>
                <w:p w14:paraId="71679F8B">
                  <w:pPr>
                    <w:pStyle w:val="42"/>
                    <w:rPr>
                      <w:color w:val="auto"/>
                      <w:sz w:val="21"/>
                      <w:szCs w:val="21"/>
                    </w:rPr>
                  </w:pPr>
                  <w:r>
                    <w:rPr>
                      <w:color w:val="auto"/>
                      <w:sz w:val="21"/>
                      <w:szCs w:val="21"/>
                    </w:rPr>
                    <w:t>3#</w:t>
                  </w:r>
                  <w:r>
                    <w:rPr>
                      <w:rFonts w:hint="eastAsia"/>
                      <w:color w:val="auto"/>
                      <w:sz w:val="21"/>
                      <w:szCs w:val="21"/>
                      <w:lang w:val="en-US" w:eastAsia="zh-CN"/>
                    </w:rPr>
                    <w:t>厂房</w:t>
                  </w:r>
                </w:p>
              </w:tc>
              <w:tc>
                <w:tcPr>
                  <w:tcW w:w="2865" w:type="dxa"/>
                  <w:vAlign w:val="center"/>
                </w:tcPr>
                <w:p w14:paraId="154530A5">
                  <w:pPr>
                    <w:pStyle w:val="42"/>
                    <w:rPr>
                      <w:color w:val="auto"/>
                      <w:sz w:val="21"/>
                      <w:szCs w:val="21"/>
                    </w:rPr>
                  </w:pPr>
                  <w:r>
                    <w:rPr>
                      <w:rFonts w:hint="eastAsia"/>
                      <w:color w:val="auto"/>
                      <w:sz w:val="21"/>
                      <w:szCs w:val="21"/>
                      <w:lang w:val="en-US" w:eastAsia="zh-CN"/>
                    </w:rPr>
                    <w:t>1296</w:t>
                  </w:r>
                  <w:r>
                    <w:rPr>
                      <w:color w:val="auto"/>
                      <w:sz w:val="21"/>
                      <w:szCs w:val="21"/>
                    </w:rPr>
                    <w:t>m</w:t>
                  </w:r>
                  <w:r>
                    <w:rPr>
                      <w:color w:val="auto"/>
                      <w:sz w:val="21"/>
                      <w:szCs w:val="21"/>
                      <w:vertAlign w:val="superscript"/>
                    </w:rPr>
                    <w:t>2</w:t>
                  </w:r>
                </w:p>
              </w:tc>
              <w:tc>
                <w:tcPr>
                  <w:tcW w:w="2268" w:type="dxa"/>
                </w:tcPr>
                <w:p w14:paraId="6517B00B">
                  <w:pPr>
                    <w:pStyle w:val="42"/>
                    <w:rPr>
                      <w:color w:val="auto"/>
                      <w:sz w:val="21"/>
                      <w:szCs w:val="21"/>
                    </w:rPr>
                  </w:pPr>
                  <w:r>
                    <w:rPr>
                      <w:rFonts w:hint="eastAsia" w:ascii="Times New Roman" w:hAnsi="Times New Roman" w:eastAsia="宋体" w:cs="Times New Roman"/>
                      <w:color w:val="auto"/>
                      <w:sz w:val="21"/>
                      <w:szCs w:val="21"/>
                      <w:lang w:val="en-US" w:eastAsia="zh-CN"/>
                    </w:rPr>
                    <w:t>水乳剂生产线</w:t>
                  </w:r>
                </w:p>
              </w:tc>
            </w:tr>
            <w:tr w14:paraId="4A37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7DAC4289">
                  <w:pPr>
                    <w:pStyle w:val="42"/>
                    <w:rPr>
                      <w:color w:val="auto"/>
                      <w:sz w:val="21"/>
                      <w:szCs w:val="21"/>
                    </w:rPr>
                  </w:pPr>
                </w:p>
              </w:tc>
              <w:tc>
                <w:tcPr>
                  <w:tcW w:w="1954" w:type="dxa"/>
                  <w:vAlign w:val="center"/>
                </w:tcPr>
                <w:p w14:paraId="646840D0">
                  <w:pPr>
                    <w:pStyle w:val="42"/>
                    <w:rPr>
                      <w:rFonts w:hint="default" w:eastAsia="宋体"/>
                      <w:color w:val="auto"/>
                      <w:sz w:val="21"/>
                      <w:szCs w:val="21"/>
                      <w:lang w:val="en-US" w:eastAsia="zh-CN"/>
                    </w:rPr>
                  </w:pPr>
                  <w:r>
                    <w:rPr>
                      <w:rFonts w:hint="eastAsia"/>
                      <w:color w:val="auto"/>
                      <w:sz w:val="21"/>
                      <w:szCs w:val="21"/>
                      <w:lang w:val="en-US" w:eastAsia="zh-CN"/>
                    </w:rPr>
                    <w:t>4#厂房</w:t>
                  </w:r>
                </w:p>
              </w:tc>
              <w:tc>
                <w:tcPr>
                  <w:tcW w:w="2865" w:type="dxa"/>
                  <w:vAlign w:val="center"/>
                </w:tcPr>
                <w:p w14:paraId="5698388F">
                  <w:pPr>
                    <w:pStyle w:val="42"/>
                    <w:rPr>
                      <w:rFonts w:hint="default" w:eastAsia="宋体"/>
                      <w:color w:val="auto"/>
                      <w:sz w:val="21"/>
                      <w:szCs w:val="21"/>
                      <w:lang w:val="en-US" w:eastAsia="zh-CN"/>
                    </w:rPr>
                  </w:pPr>
                  <w:r>
                    <w:rPr>
                      <w:rFonts w:hint="eastAsia"/>
                      <w:color w:val="auto"/>
                      <w:sz w:val="21"/>
                      <w:szCs w:val="21"/>
                      <w:lang w:val="en-US" w:eastAsia="zh-CN"/>
                    </w:rPr>
                    <w:t>1296</w:t>
                  </w:r>
                  <w:r>
                    <w:rPr>
                      <w:color w:val="auto"/>
                      <w:sz w:val="21"/>
                      <w:szCs w:val="21"/>
                    </w:rPr>
                    <w:t>m</w:t>
                  </w:r>
                  <w:r>
                    <w:rPr>
                      <w:color w:val="auto"/>
                      <w:sz w:val="21"/>
                      <w:szCs w:val="21"/>
                      <w:vertAlign w:val="superscript"/>
                    </w:rPr>
                    <w:t>2</w:t>
                  </w:r>
                </w:p>
              </w:tc>
              <w:tc>
                <w:tcPr>
                  <w:tcW w:w="2268" w:type="dxa"/>
                </w:tcPr>
                <w:p w14:paraId="0AAFCCD1">
                  <w:pPr>
                    <w:pStyle w:val="42"/>
                    <w:rPr>
                      <w:rFonts w:hint="default"/>
                      <w:color w:val="auto"/>
                      <w:sz w:val="21"/>
                      <w:szCs w:val="21"/>
                      <w:lang w:val="en-US"/>
                    </w:rPr>
                  </w:pPr>
                  <w:r>
                    <w:rPr>
                      <w:rFonts w:hint="eastAsia" w:ascii="Times New Roman" w:hAnsi="Times New Roman" w:eastAsia="宋体" w:cs="Times New Roman"/>
                      <w:color w:val="auto"/>
                      <w:sz w:val="21"/>
                      <w:szCs w:val="21"/>
                      <w:lang w:val="en-US" w:eastAsia="zh-CN"/>
                    </w:rPr>
                    <w:t>水剂生产线</w:t>
                  </w:r>
                </w:p>
              </w:tc>
            </w:tr>
            <w:tr w14:paraId="0FC7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3AEED9AE">
                  <w:pPr>
                    <w:pStyle w:val="42"/>
                    <w:rPr>
                      <w:color w:val="auto"/>
                      <w:sz w:val="21"/>
                      <w:szCs w:val="21"/>
                    </w:rPr>
                  </w:pPr>
                </w:p>
              </w:tc>
              <w:tc>
                <w:tcPr>
                  <w:tcW w:w="1954" w:type="dxa"/>
                  <w:vAlign w:val="center"/>
                </w:tcPr>
                <w:p w14:paraId="7B9C1734">
                  <w:pPr>
                    <w:pStyle w:val="42"/>
                    <w:rPr>
                      <w:rFonts w:hint="default" w:eastAsia="宋体"/>
                      <w:color w:val="auto"/>
                      <w:sz w:val="21"/>
                      <w:szCs w:val="21"/>
                      <w:lang w:val="en-US" w:eastAsia="zh-CN"/>
                    </w:rPr>
                  </w:pPr>
                  <w:r>
                    <w:rPr>
                      <w:rFonts w:hint="eastAsia"/>
                      <w:color w:val="auto"/>
                      <w:sz w:val="21"/>
                      <w:szCs w:val="21"/>
                      <w:lang w:val="en-US" w:eastAsia="zh-CN"/>
                    </w:rPr>
                    <w:t>成品库房</w:t>
                  </w:r>
                </w:p>
              </w:tc>
              <w:tc>
                <w:tcPr>
                  <w:tcW w:w="2865" w:type="dxa"/>
                  <w:vAlign w:val="center"/>
                </w:tcPr>
                <w:p w14:paraId="0B8EF90A">
                  <w:pPr>
                    <w:pStyle w:val="42"/>
                    <w:rPr>
                      <w:color w:val="auto"/>
                      <w:sz w:val="21"/>
                      <w:szCs w:val="21"/>
                    </w:rPr>
                  </w:pPr>
                  <w:r>
                    <w:rPr>
                      <w:rFonts w:hint="eastAsia"/>
                      <w:color w:val="auto"/>
                      <w:sz w:val="21"/>
                      <w:szCs w:val="21"/>
                      <w:lang w:val="en-US" w:eastAsia="zh-CN"/>
                    </w:rPr>
                    <w:t>2592</w:t>
                  </w:r>
                  <w:r>
                    <w:rPr>
                      <w:color w:val="auto"/>
                      <w:sz w:val="21"/>
                      <w:szCs w:val="21"/>
                    </w:rPr>
                    <w:t>m</w:t>
                  </w:r>
                  <w:r>
                    <w:rPr>
                      <w:color w:val="auto"/>
                      <w:sz w:val="21"/>
                      <w:szCs w:val="21"/>
                      <w:vertAlign w:val="superscript"/>
                    </w:rPr>
                    <w:t>2</w:t>
                  </w:r>
                </w:p>
              </w:tc>
              <w:tc>
                <w:tcPr>
                  <w:tcW w:w="2268" w:type="dxa"/>
                </w:tcPr>
                <w:p w14:paraId="01FC49FE">
                  <w:pPr>
                    <w:pStyle w:val="42"/>
                    <w:rPr>
                      <w:rFonts w:hint="default" w:eastAsia="宋体"/>
                      <w:color w:val="auto"/>
                      <w:sz w:val="21"/>
                      <w:szCs w:val="21"/>
                      <w:lang w:val="en-US" w:eastAsia="zh-CN"/>
                    </w:rPr>
                  </w:pPr>
                  <w:r>
                    <w:rPr>
                      <w:rFonts w:hint="eastAsia"/>
                      <w:color w:val="auto"/>
                      <w:sz w:val="21"/>
                      <w:szCs w:val="21"/>
                      <w:lang w:val="en-US" w:eastAsia="zh-CN"/>
                    </w:rPr>
                    <w:t>2个</w:t>
                  </w:r>
                </w:p>
              </w:tc>
            </w:tr>
            <w:tr w14:paraId="6FEC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1F4E61FE">
                  <w:pPr>
                    <w:pStyle w:val="42"/>
                    <w:rPr>
                      <w:color w:val="auto"/>
                      <w:sz w:val="21"/>
                      <w:szCs w:val="21"/>
                    </w:rPr>
                  </w:pPr>
                </w:p>
              </w:tc>
              <w:tc>
                <w:tcPr>
                  <w:tcW w:w="1954" w:type="dxa"/>
                  <w:vAlign w:val="center"/>
                </w:tcPr>
                <w:p w14:paraId="09752B1D">
                  <w:pPr>
                    <w:pStyle w:val="42"/>
                    <w:rPr>
                      <w:rFonts w:hint="default"/>
                      <w:color w:val="auto"/>
                      <w:sz w:val="21"/>
                      <w:szCs w:val="21"/>
                      <w:lang w:val="en-US" w:eastAsia="zh-CN"/>
                    </w:rPr>
                  </w:pPr>
                  <w:r>
                    <w:rPr>
                      <w:rFonts w:hint="eastAsia"/>
                      <w:color w:val="auto"/>
                      <w:sz w:val="21"/>
                      <w:szCs w:val="21"/>
                      <w:lang w:val="en-US" w:eastAsia="zh-CN"/>
                    </w:rPr>
                    <w:t>原料库房</w:t>
                  </w:r>
                </w:p>
              </w:tc>
              <w:tc>
                <w:tcPr>
                  <w:tcW w:w="2865" w:type="dxa"/>
                  <w:vAlign w:val="center"/>
                </w:tcPr>
                <w:p w14:paraId="28336D62">
                  <w:pPr>
                    <w:pStyle w:val="42"/>
                    <w:rPr>
                      <w:rFonts w:hint="default"/>
                      <w:color w:val="auto"/>
                      <w:sz w:val="21"/>
                      <w:szCs w:val="21"/>
                      <w:lang w:val="en-US" w:eastAsia="zh-CN"/>
                    </w:rPr>
                  </w:pPr>
                  <w:r>
                    <w:rPr>
                      <w:rFonts w:hint="eastAsia"/>
                      <w:color w:val="auto"/>
                      <w:sz w:val="21"/>
                      <w:szCs w:val="21"/>
                      <w:lang w:val="en-US" w:eastAsia="zh-CN"/>
                    </w:rPr>
                    <w:t>1296</w:t>
                  </w:r>
                  <w:r>
                    <w:rPr>
                      <w:color w:val="auto"/>
                      <w:sz w:val="21"/>
                      <w:szCs w:val="21"/>
                    </w:rPr>
                    <w:t>m</w:t>
                  </w:r>
                  <w:r>
                    <w:rPr>
                      <w:color w:val="auto"/>
                      <w:sz w:val="21"/>
                      <w:szCs w:val="21"/>
                      <w:vertAlign w:val="superscript"/>
                    </w:rPr>
                    <w:t>2</w:t>
                  </w:r>
                </w:p>
              </w:tc>
              <w:tc>
                <w:tcPr>
                  <w:tcW w:w="2268" w:type="dxa"/>
                </w:tcPr>
                <w:p w14:paraId="5827A586">
                  <w:pPr>
                    <w:pStyle w:val="42"/>
                    <w:rPr>
                      <w:rFonts w:hint="eastAsia" w:eastAsia="宋体"/>
                      <w:color w:val="auto"/>
                      <w:sz w:val="21"/>
                      <w:szCs w:val="21"/>
                      <w:lang w:val="en-US" w:eastAsia="zh-CN"/>
                    </w:rPr>
                  </w:pPr>
                  <w:r>
                    <w:rPr>
                      <w:rFonts w:hint="eastAsia"/>
                      <w:color w:val="auto"/>
                      <w:sz w:val="21"/>
                      <w:szCs w:val="21"/>
                      <w:lang w:val="en-US" w:eastAsia="zh-CN"/>
                    </w:rPr>
                    <w:t>1个</w:t>
                  </w:r>
                </w:p>
              </w:tc>
            </w:tr>
            <w:tr w14:paraId="52EA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2A9A79D1">
                  <w:pPr>
                    <w:pStyle w:val="42"/>
                    <w:rPr>
                      <w:color w:val="auto"/>
                      <w:sz w:val="21"/>
                      <w:szCs w:val="21"/>
                    </w:rPr>
                  </w:pPr>
                </w:p>
              </w:tc>
              <w:tc>
                <w:tcPr>
                  <w:tcW w:w="1954" w:type="dxa"/>
                  <w:vAlign w:val="center"/>
                </w:tcPr>
                <w:p w14:paraId="383BE167">
                  <w:pPr>
                    <w:pStyle w:val="42"/>
                    <w:rPr>
                      <w:rFonts w:hint="default" w:eastAsia="宋体"/>
                      <w:color w:val="auto"/>
                      <w:sz w:val="21"/>
                      <w:szCs w:val="21"/>
                      <w:lang w:val="en-US" w:eastAsia="zh-CN"/>
                    </w:rPr>
                  </w:pPr>
                  <w:r>
                    <w:rPr>
                      <w:rFonts w:hint="eastAsia"/>
                      <w:color w:val="auto"/>
                      <w:sz w:val="21"/>
                      <w:szCs w:val="21"/>
                      <w:lang w:val="en-US" w:eastAsia="zh-CN"/>
                    </w:rPr>
                    <w:t>办公楼</w:t>
                  </w:r>
                </w:p>
              </w:tc>
              <w:tc>
                <w:tcPr>
                  <w:tcW w:w="2865" w:type="dxa"/>
                  <w:vAlign w:val="center"/>
                </w:tcPr>
                <w:p w14:paraId="7D263183">
                  <w:pPr>
                    <w:pStyle w:val="42"/>
                    <w:rPr>
                      <w:color w:val="auto"/>
                      <w:sz w:val="21"/>
                      <w:szCs w:val="21"/>
                    </w:rPr>
                  </w:pPr>
                  <w:r>
                    <w:rPr>
                      <w:rFonts w:hint="eastAsia"/>
                      <w:color w:val="auto"/>
                      <w:sz w:val="21"/>
                      <w:szCs w:val="21"/>
                      <w:lang w:val="en-US" w:eastAsia="zh-CN"/>
                    </w:rPr>
                    <w:t>864</w:t>
                  </w:r>
                  <w:r>
                    <w:rPr>
                      <w:color w:val="auto"/>
                      <w:sz w:val="21"/>
                      <w:szCs w:val="21"/>
                    </w:rPr>
                    <w:t>m</w:t>
                  </w:r>
                  <w:r>
                    <w:rPr>
                      <w:color w:val="auto"/>
                      <w:sz w:val="21"/>
                      <w:szCs w:val="21"/>
                      <w:vertAlign w:val="superscript"/>
                    </w:rPr>
                    <w:t>2</w:t>
                  </w:r>
                </w:p>
              </w:tc>
              <w:tc>
                <w:tcPr>
                  <w:tcW w:w="2268" w:type="dxa"/>
                </w:tcPr>
                <w:p w14:paraId="4B651C38">
                  <w:pPr>
                    <w:pStyle w:val="42"/>
                    <w:rPr>
                      <w:rFonts w:hint="default" w:eastAsia="宋体"/>
                      <w:color w:val="auto"/>
                      <w:sz w:val="21"/>
                      <w:szCs w:val="21"/>
                      <w:lang w:val="en-US" w:eastAsia="zh-CN"/>
                    </w:rPr>
                  </w:pPr>
                  <w:r>
                    <w:rPr>
                      <w:rFonts w:hint="eastAsia"/>
                      <w:color w:val="auto"/>
                      <w:sz w:val="21"/>
                      <w:szCs w:val="21"/>
                      <w:lang w:val="en-US" w:eastAsia="zh-CN"/>
                    </w:rPr>
                    <w:t>宿舍、食堂、办公等</w:t>
                  </w:r>
                </w:p>
              </w:tc>
            </w:tr>
            <w:tr w14:paraId="48ED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30C8E174">
                  <w:pPr>
                    <w:pStyle w:val="42"/>
                    <w:rPr>
                      <w:color w:val="auto"/>
                      <w:sz w:val="21"/>
                      <w:szCs w:val="21"/>
                    </w:rPr>
                  </w:pPr>
                </w:p>
              </w:tc>
              <w:tc>
                <w:tcPr>
                  <w:tcW w:w="1954" w:type="dxa"/>
                  <w:vAlign w:val="center"/>
                </w:tcPr>
                <w:p w14:paraId="04851671">
                  <w:pPr>
                    <w:pStyle w:val="42"/>
                    <w:rPr>
                      <w:rFonts w:hint="default" w:eastAsia="宋体"/>
                      <w:color w:val="auto"/>
                      <w:sz w:val="21"/>
                      <w:szCs w:val="21"/>
                      <w:lang w:val="en-US" w:eastAsia="zh-CN"/>
                    </w:rPr>
                  </w:pPr>
                  <w:r>
                    <w:rPr>
                      <w:color w:val="auto"/>
                      <w:sz w:val="21"/>
                      <w:szCs w:val="21"/>
                    </w:rPr>
                    <w:t>门卫</w:t>
                  </w:r>
                </w:p>
              </w:tc>
              <w:tc>
                <w:tcPr>
                  <w:tcW w:w="2865" w:type="dxa"/>
                  <w:vAlign w:val="center"/>
                </w:tcPr>
                <w:p w14:paraId="151D58B6">
                  <w:pPr>
                    <w:pStyle w:val="42"/>
                    <w:rPr>
                      <w:color w:val="auto"/>
                      <w:sz w:val="21"/>
                      <w:szCs w:val="21"/>
                    </w:rPr>
                  </w:pPr>
                  <w:r>
                    <w:rPr>
                      <w:rFonts w:hint="eastAsia"/>
                      <w:color w:val="auto"/>
                      <w:sz w:val="21"/>
                      <w:szCs w:val="21"/>
                      <w:lang w:val="en-US" w:eastAsia="zh-CN"/>
                    </w:rPr>
                    <w:t>120</w:t>
                  </w:r>
                  <w:r>
                    <w:rPr>
                      <w:color w:val="auto"/>
                      <w:sz w:val="21"/>
                      <w:szCs w:val="21"/>
                    </w:rPr>
                    <w:t>m</w:t>
                  </w:r>
                  <w:r>
                    <w:rPr>
                      <w:color w:val="auto"/>
                      <w:sz w:val="21"/>
                      <w:szCs w:val="21"/>
                      <w:vertAlign w:val="superscript"/>
                    </w:rPr>
                    <w:t>2</w:t>
                  </w:r>
                </w:p>
              </w:tc>
              <w:tc>
                <w:tcPr>
                  <w:tcW w:w="2268" w:type="dxa"/>
                </w:tcPr>
                <w:p w14:paraId="715FADA7">
                  <w:pPr>
                    <w:pStyle w:val="42"/>
                    <w:rPr>
                      <w:rFonts w:hint="default" w:eastAsia="宋体"/>
                      <w:color w:val="auto"/>
                      <w:sz w:val="21"/>
                      <w:szCs w:val="21"/>
                      <w:lang w:val="en-US" w:eastAsia="zh-CN"/>
                    </w:rPr>
                  </w:pPr>
                  <w:r>
                    <w:rPr>
                      <w:rFonts w:hint="eastAsia"/>
                      <w:color w:val="auto"/>
                      <w:sz w:val="21"/>
                      <w:szCs w:val="21"/>
                      <w:lang w:val="en-US" w:eastAsia="zh-CN"/>
                    </w:rPr>
                    <w:t>2个</w:t>
                  </w:r>
                </w:p>
              </w:tc>
            </w:tr>
            <w:tr w14:paraId="4B90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2BF4D4ED">
                  <w:pPr>
                    <w:pStyle w:val="42"/>
                    <w:rPr>
                      <w:color w:val="auto"/>
                      <w:sz w:val="21"/>
                      <w:szCs w:val="21"/>
                    </w:rPr>
                  </w:pPr>
                </w:p>
              </w:tc>
              <w:tc>
                <w:tcPr>
                  <w:tcW w:w="1954" w:type="dxa"/>
                  <w:vAlign w:val="center"/>
                </w:tcPr>
                <w:p w14:paraId="2F7080AF">
                  <w:pPr>
                    <w:pStyle w:val="42"/>
                    <w:rPr>
                      <w:rFonts w:hint="default" w:eastAsia="宋体"/>
                      <w:color w:val="auto"/>
                      <w:sz w:val="21"/>
                      <w:szCs w:val="21"/>
                      <w:lang w:val="en-US" w:eastAsia="zh-CN"/>
                    </w:rPr>
                  </w:pPr>
                  <w:r>
                    <w:rPr>
                      <w:rFonts w:hint="eastAsia"/>
                      <w:color w:val="auto"/>
                      <w:sz w:val="21"/>
                      <w:szCs w:val="21"/>
                      <w:lang w:val="en-US" w:eastAsia="zh-CN"/>
                    </w:rPr>
                    <w:t>消防泵房</w:t>
                  </w:r>
                </w:p>
              </w:tc>
              <w:tc>
                <w:tcPr>
                  <w:tcW w:w="2865" w:type="dxa"/>
                  <w:vAlign w:val="center"/>
                </w:tcPr>
                <w:p w14:paraId="09230AFF">
                  <w:pPr>
                    <w:pStyle w:val="42"/>
                    <w:rPr>
                      <w:rFonts w:hint="default"/>
                      <w:color w:val="auto"/>
                      <w:sz w:val="21"/>
                      <w:szCs w:val="21"/>
                      <w:lang w:val="en-US" w:eastAsia="zh-CN"/>
                    </w:rPr>
                  </w:pPr>
                  <w:r>
                    <w:rPr>
                      <w:rFonts w:hint="eastAsia"/>
                      <w:color w:val="auto"/>
                      <w:sz w:val="21"/>
                      <w:szCs w:val="21"/>
                      <w:lang w:val="en-US" w:eastAsia="zh-CN"/>
                    </w:rPr>
                    <w:t>72</w:t>
                  </w:r>
                  <w:r>
                    <w:rPr>
                      <w:color w:val="auto"/>
                      <w:sz w:val="21"/>
                      <w:szCs w:val="21"/>
                    </w:rPr>
                    <w:t>m</w:t>
                  </w:r>
                  <w:r>
                    <w:rPr>
                      <w:color w:val="auto"/>
                      <w:sz w:val="21"/>
                      <w:szCs w:val="21"/>
                      <w:vertAlign w:val="superscript"/>
                    </w:rPr>
                    <w:t>2</w:t>
                  </w:r>
                </w:p>
              </w:tc>
              <w:tc>
                <w:tcPr>
                  <w:tcW w:w="2268" w:type="dxa"/>
                </w:tcPr>
                <w:p w14:paraId="61897126">
                  <w:pPr>
                    <w:pStyle w:val="42"/>
                    <w:rPr>
                      <w:rFonts w:hint="eastAsia"/>
                      <w:color w:val="auto"/>
                      <w:sz w:val="21"/>
                      <w:szCs w:val="21"/>
                      <w:lang w:val="en-US" w:eastAsia="zh-CN"/>
                    </w:rPr>
                  </w:pPr>
                </w:p>
              </w:tc>
            </w:tr>
            <w:tr w14:paraId="28F5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3957B4D5">
                  <w:pPr>
                    <w:pStyle w:val="42"/>
                    <w:rPr>
                      <w:color w:val="auto"/>
                      <w:sz w:val="21"/>
                      <w:szCs w:val="21"/>
                    </w:rPr>
                  </w:pPr>
                </w:p>
              </w:tc>
              <w:tc>
                <w:tcPr>
                  <w:tcW w:w="1954" w:type="dxa"/>
                  <w:vAlign w:val="center"/>
                </w:tcPr>
                <w:p w14:paraId="3EB25313">
                  <w:pPr>
                    <w:pStyle w:val="42"/>
                    <w:rPr>
                      <w:rFonts w:hint="default" w:eastAsia="宋体"/>
                      <w:color w:val="auto"/>
                      <w:sz w:val="21"/>
                      <w:szCs w:val="21"/>
                      <w:lang w:val="en-US" w:eastAsia="zh-CN"/>
                    </w:rPr>
                  </w:pPr>
                  <w:r>
                    <w:rPr>
                      <w:rFonts w:hint="eastAsia"/>
                      <w:color w:val="auto"/>
                      <w:sz w:val="21"/>
                      <w:szCs w:val="21"/>
                      <w:lang w:val="en-US" w:eastAsia="zh-CN"/>
                    </w:rPr>
                    <w:t>消防水池</w:t>
                  </w:r>
                </w:p>
              </w:tc>
              <w:tc>
                <w:tcPr>
                  <w:tcW w:w="2865" w:type="dxa"/>
                  <w:vAlign w:val="center"/>
                </w:tcPr>
                <w:p w14:paraId="0784E424">
                  <w:pPr>
                    <w:pStyle w:val="42"/>
                    <w:rPr>
                      <w:rFonts w:hint="default"/>
                      <w:color w:val="auto"/>
                      <w:sz w:val="21"/>
                      <w:szCs w:val="21"/>
                      <w:lang w:val="en-US" w:eastAsia="zh-CN"/>
                    </w:rPr>
                  </w:pPr>
                  <w:r>
                    <w:rPr>
                      <w:rFonts w:hint="eastAsia"/>
                      <w:color w:val="auto"/>
                      <w:sz w:val="21"/>
                      <w:szCs w:val="21"/>
                      <w:lang w:val="en-US" w:eastAsia="zh-CN"/>
                    </w:rPr>
                    <w:t>256</w:t>
                  </w:r>
                  <w:r>
                    <w:rPr>
                      <w:color w:val="auto"/>
                      <w:sz w:val="21"/>
                      <w:szCs w:val="21"/>
                    </w:rPr>
                    <w:t>m</w:t>
                  </w:r>
                  <w:r>
                    <w:rPr>
                      <w:color w:val="auto"/>
                      <w:sz w:val="21"/>
                      <w:szCs w:val="21"/>
                      <w:vertAlign w:val="superscript"/>
                    </w:rPr>
                    <w:t>2</w:t>
                  </w:r>
                </w:p>
              </w:tc>
              <w:tc>
                <w:tcPr>
                  <w:tcW w:w="2268" w:type="dxa"/>
                </w:tcPr>
                <w:p w14:paraId="03F72FF6">
                  <w:pPr>
                    <w:pStyle w:val="42"/>
                    <w:rPr>
                      <w:rFonts w:hint="eastAsia"/>
                      <w:color w:val="auto"/>
                      <w:sz w:val="21"/>
                      <w:szCs w:val="21"/>
                      <w:lang w:val="en-US" w:eastAsia="zh-CN"/>
                    </w:rPr>
                  </w:pPr>
                </w:p>
              </w:tc>
            </w:tr>
            <w:tr w14:paraId="1129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7F24448A">
                  <w:pPr>
                    <w:pStyle w:val="42"/>
                    <w:rPr>
                      <w:color w:val="auto"/>
                      <w:sz w:val="21"/>
                      <w:szCs w:val="21"/>
                    </w:rPr>
                  </w:pPr>
                </w:p>
              </w:tc>
              <w:tc>
                <w:tcPr>
                  <w:tcW w:w="1954" w:type="dxa"/>
                  <w:vAlign w:val="center"/>
                </w:tcPr>
                <w:p w14:paraId="3F7F7A0C">
                  <w:pPr>
                    <w:pStyle w:val="42"/>
                    <w:rPr>
                      <w:rFonts w:hint="default" w:eastAsia="宋体"/>
                      <w:color w:val="auto"/>
                      <w:sz w:val="21"/>
                      <w:szCs w:val="21"/>
                      <w:lang w:val="en-US" w:eastAsia="zh-CN"/>
                    </w:rPr>
                  </w:pPr>
                  <w:r>
                    <w:rPr>
                      <w:rFonts w:hint="eastAsia"/>
                      <w:color w:val="auto"/>
                      <w:sz w:val="21"/>
                      <w:szCs w:val="21"/>
                      <w:lang w:val="en-US" w:eastAsia="zh-CN"/>
                    </w:rPr>
                    <w:t>辅助工房</w:t>
                  </w:r>
                </w:p>
              </w:tc>
              <w:tc>
                <w:tcPr>
                  <w:tcW w:w="2865" w:type="dxa"/>
                  <w:vAlign w:val="center"/>
                </w:tcPr>
                <w:p w14:paraId="68F9F4DA">
                  <w:pPr>
                    <w:pStyle w:val="42"/>
                    <w:rPr>
                      <w:rFonts w:hint="default"/>
                      <w:color w:val="auto"/>
                      <w:sz w:val="21"/>
                      <w:szCs w:val="21"/>
                      <w:lang w:val="en-US" w:eastAsia="zh-CN"/>
                    </w:rPr>
                  </w:pPr>
                  <w:r>
                    <w:rPr>
                      <w:rFonts w:hint="eastAsia"/>
                      <w:color w:val="auto"/>
                      <w:sz w:val="21"/>
                      <w:szCs w:val="21"/>
                      <w:lang w:val="en-US" w:eastAsia="zh-CN"/>
                    </w:rPr>
                    <w:t>360</w:t>
                  </w:r>
                  <w:r>
                    <w:rPr>
                      <w:color w:val="auto"/>
                      <w:sz w:val="21"/>
                      <w:szCs w:val="21"/>
                    </w:rPr>
                    <w:t>m</w:t>
                  </w:r>
                  <w:r>
                    <w:rPr>
                      <w:color w:val="auto"/>
                      <w:sz w:val="21"/>
                      <w:szCs w:val="21"/>
                      <w:vertAlign w:val="superscript"/>
                    </w:rPr>
                    <w:t>2</w:t>
                  </w:r>
                </w:p>
              </w:tc>
              <w:tc>
                <w:tcPr>
                  <w:tcW w:w="2268" w:type="dxa"/>
                </w:tcPr>
                <w:p w14:paraId="06F965F9">
                  <w:pPr>
                    <w:pStyle w:val="42"/>
                    <w:rPr>
                      <w:rFonts w:hint="default"/>
                      <w:color w:val="auto"/>
                      <w:sz w:val="21"/>
                      <w:szCs w:val="21"/>
                      <w:lang w:val="en-US" w:eastAsia="zh-CN"/>
                    </w:rPr>
                  </w:pPr>
                  <w:r>
                    <w:rPr>
                      <w:rFonts w:hint="eastAsia"/>
                      <w:color w:val="auto"/>
                      <w:sz w:val="21"/>
                      <w:szCs w:val="21"/>
                      <w:lang w:val="en-US" w:eastAsia="zh-CN"/>
                    </w:rPr>
                    <w:t>配电室</w:t>
                  </w:r>
                </w:p>
              </w:tc>
            </w:tr>
            <w:tr w14:paraId="66B8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14:paraId="20B469CA">
                  <w:pPr>
                    <w:pStyle w:val="42"/>
                    <w:rPr>
                      <w:color w:val="auto"/>
                      <w:sz w:val="21"/>
                      <w:szCs w:val="21"/>
                    </w:rPr>
                  </w:pPr>
                </w:p>
              </w:tc>
              <w:tc>
                <w:tcPr>
                  <w:tcW w:w="1954" w:type="dxa"/>
                  <w:vAlign w:val="center"/>
                </w:tcPr>
                <w:p w14:paraId="3216A20F">
                  <w:pPr>
                    <w:pStyle w:val="42"/>
                    <w:rPr>
                      <w:rFonts w:hint="default" w:eastAsia="宋体"/>
                      <w:color w:val="auto"/>
                      <w:sz w:val="21"/>
                      <w:szCs w:val="21"/>
                      <w:lang w:val="en-US" w:eastAsia="zh-CN"/>
                    </w:rPr>
                  </w:pPr>
                  <w:r>
                    <w:rPr>
                      <w:rFonts w:hint="eastAsia"/>
                      <w:color w:val="auto"/>
                      <w:sz w:val="21"/>
                      <w:szCs w:val="21"/>
                      <w:lang w:val="en-US" w:eastAsia="zh-CN"/>
                    </w:rPr>
                    <w:t>事故水池</w:t>
                  </w:r>
                </w:p>
              </w:tc>
              <w:tc>
                <w:tcPr>
                  <w:tcW w:w="2865" w:type="dxa"/>
                  <w:vAlign w:val="center"/>
                </w:tcPr>
                <w:p w14:paraId="3ADCAE35">
                  <w:pPr>
                    <w:pStyle w:val="42"/>
                    <w:rPr>
                      <w:rFonts w:hint="default"/>
                      <w:color w:val="auto"/>
                      <w:sz w:val="21"/>
                      <w:szCs w:val="21"/>
                      <w:lang w:val="en-US" w:eastAsia="zh-CN"/>
                    </w:rPr>
                  </w:pPr>
                  <w:r>
                    <w:rPr>
                      <w:rFonts w:hint="eastAsia"/>
                      <w:color w:val="auto"/>
                      <w:sz w:val="21"/>
                      <w:szCs w:val="21"/>
                      <w:lang w:val="en-US" w:eastAsia="zh-CN"/>
                    </w:rPr>
                    <w:t>187</w:t>
                  </w:r>
                  <w:r>
                    <w:rPr>
                      <w:color w:val="auto"/>
                      <w:sz w:val="21"/>
                      <w:szCs w:val="21"/>
                    </w:rPr>
                    <w:t>m</w:t>
                  </w:r>
                  <w:r>
                    <w:rPr>
                      <w:color w:val="auto"/>
                      <w:sz w:val="21"/>
                      <w:szCs w:val="21"/>
                      <w:vertAlign w:val="superscript"/>
                    </w:rPr>
                    <w:t>2</w:t>
                  </w:r>
                </w:p>
              </w:tc>
              <w:tc>
                <w:tcPr>
                  <w:tcW w:w="2268" w:type="dxa"/>
                </w:tcPr>
                <w:p w14:paraId="043CE808">
                  <w:pPr>
                    <w:pStyle w:val="42"/>
                    <w:rPr>
                      <w:rFonts w:hint="eastAsia"/>
                      <w:color w:val="auto"/>
                      <w:sz w:val="21"/>
                      <w:szCs w:val="21"/>
                      <w:lang w:val="en-US" w:eastAsia="zh-CN"/>
                    </w:rPr>
                  </w:pPr>
                </w:p>
              </w:tc>
            </w:tr>
            <w:tr w14:paraId="44D1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vMerge w:val="continue"/>
                  <w:vAlign w:val="center"/>
                </w:tcPr>
                <w:p w14:paraId="36D74EEA">
                  <w:pPr>
                    <w:pStyle w:val="42"/>
                    <w:rPr>
                      <w:color w:val="auto"/>
                      <w:sz w:val="21"/>
                      <w:szCs w:val="21"/>
                    </w:rPr>
                  </w:pPr>
                </w:p>
              </w:tc>
              <w:tc>
                <w:tcPr>
                  <w:tcW w:w="1954" w:type="dxa"/>
                  <w:vAlign w:val="center"/>
                </w:tcPr>
                <w:p w14:paraId="4FC672F8">
                  <w:pPr>
                    <w:pStyle w:val="42"/>
                    <w:rPr>
                      <w:rFonts w:hint="default" w:eastAsia="宋体"/>
                      <w:color w:val="auto"/>
                      <w:sz w:val="21"/>
                      <w:szCs w:val="21"/>
                      <w:lang w:val="en-US" w:eastAsia="zh-CN"/>
                    </w:rPr>
                  </w:pPr>
                  <w:r>
                    <w:rPr>
                      <w:rFonts w:hint="eastAsia"/>
                      <w:b w:val="0"/>
                      <w:bCs w:val="0"/>
                      <w:color w:val="auto"/>
                      <w:sz w:val="21"/>
                      <w:szCs w:val="21"/>
                      <w:lang w:eastAsia="zh-CN"/>
                    </w:rPr>
                    <w:t>危废贮存库</w:t>
                  </w:r>
                </w:p>
              </w:tc>
              <w:tc>
                <w:tcPr>
                  <w:tcW w:w="2865" w:type="dxa"/>
                  <w:vAlign w:val="center"/>
                </w:tcPr>
                <w:p w14:paraId="7985CE64">
                  <w:pPr>
                    <w:pStyle w:val="42"/>
                    <w:rPr>
                      <w:rFonts w:hint="default"/>
                      <w:color w:val="auto"/>
                      <w:sz w:val="21"/>
                      <w:szCs w:val="21"/>
                      <w:lang w:val="en-US" w:eastAsia="zh-CN"/>
                    </w:rPr>
                  </w:pPr>
                  <w:r>
                    <w:rPr>
                      <w:rFonts w:hint="eastAsia"/>
                      <w:color w:val="auto"/>
                      <w:sz w:val="21"/>
                      <w:szCs w:val="21"/>
                      <w:lang w:val="en-US" w:eastAsia="zh-CN"/>
                    </w:rPr>
                    <w:t>60</w:t>
                  </w:r>
                  <w:r>
                    <w:rPr>
                      <w:color w:val="auto"/>
                      <w:sz w:val="21"/>
                      <w:szCs w:val="21"/>
                    </w:rPr>
                    <w:t>m</w:t>
                  </w:r>
                  <w:r>
                    <w:rPr>
                      <w:color w:val="auto"/>
                      <w:sz w:val="21"/>
                      <w:szCs w:val="21"/>
                      <w:vertAlign w:val="superscript"/>
                    </w:rPr>
                    <w:t>2</w:t>
                  </w:r>
                </w:p>
              </w:tc>
              <w:tc>
                <w:tcPr>
                  <w:tcW w:w="2268" w:type="dxa"/>
                </w:tcPr>
                <w:p w14:paraId="0F9DF56E">
                  <w:pPr>
                    <w:pStyle w:val="42"/>
                    <w:rPr>
                      <w:rFonts w:hint="default" w:eastAsia="宋体"/>
                      <w:color w:val="auto"/>
                      <w:sz w:val="21"/>
                      <w:szCs w:val="21"/>
                      <w:lang w:val="en-US" w:eastAsia="zh-CN"/>
                    </w:rPr>
                  </w:pPr>
                  <w:r>
                    <w:rPr>
                      <w:rFonts w:hint="eastAsia"/>
                      <w:color w:val="auto"/>
                      <w:sz w:val="21"/>
                      <w:szCs w:val="21"/>
                      <w:lang w:val="en-US" w:eastAsia="zh-CN"/>
                    </w:rPr>
                    <w:t>消防水池、配电等</w:t>
                  </w:r>
                </w:p>
              </w:tc>
            </w:tr>
            <w:tr w14:paraId="6835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9" w:type="dxa"/>
                  <w:gridSpan w:val="2"/>
                  <w:vAlign w:val="center"/>
                </w:tcPr>
                <w:p w14:paraId="7C29AFEE">
                  <w:pPr>
                    <w:pStyle w:val="42"/>
                    <w:rPr>
                      <w:rFonts w:hint="default"/>
                      <w:b w:val="0"/>
                      <w:bCs w:val="0"/>
                      <w:color w:val="auto"/>
                      <w:sz w:val="21"/>
                      <w:szCs w:val="21"/>
                      <w:lang w:val="en-US" w:eastAsia="zh-CN"/>
                    </w:rPr>
                  </w:pPr>
                  <w:r>
                    <w:rPr>
                      <w:rFonts w:hint="eastAsia"/>
                      <w:b w:val="0"/>
                      <w:bCs w:val="0"/>
                      <w:color w:val="auto"/>
                      <w:sz w:val="21"/>
                      <w:szCs w:val="21"/>
                      <w:lang w:val="en-US" w:eastAsia="zh-CN"/>
                    </w:rPr>
                    <w:t>合计</w:t>
                  </w:r>
                </w:p>
              </w:tc>
              <w:tc>
                <w:tcPr>
                  <w:tcW w:w="2865" w:type="dxa"/>
                  <w:vAlign w:val="center"/>
                </w:tcPr>
                <w:p w14:paraId="1D66A60F">
                  <w:pPr>
                    <w:pStyle w:val="42"/>
                    <w:rPr>
                      <w:rFonts w:hint="default"/>
                      <w:color w:val="auto"/>
                      <w:sz w:val="21"/>
                      <w:szCs w:val="21"/>
                      <w:lang w:val="en-US" w:eastAsia="zh-CN"/>
                    </w:rPr>
                  </w:pPr>
                  <w:r>
                    <w:rPr>
                      <w:rFonts w:hint="eastAsia"/>
                      <w:color w:val="auto"/>
                      <w:sz w:val="21"/>
                      <w:szCs w:val="21"/>
                      <w:lang w:val="en-US" w:eastAsia="zh-CN"/>
                    </w:rPr>
                    <w:t>10991</w:t>
                  </w:r>
                  <w:r>
                    <w:rPr>
                      <w:color w:val="auto"/>
                      <w:sz w:val="21"/>
                      <w:szCs w:val="21"/>
                    </w:rPr>
                    <w:t>m</w:t>
                  </w:r>
                  <w:r>
                    <w:rPr>
                      <w:color w:val="auto"/>
                      <w:sz w:val="21"/>
                      <w:szCs w:val="21"/>
                      <w:vertAlign w:val="superscript"/>
                    </w:rPr>
                    <w:t>2</w:t>
                  </w:r>
                </w:p>
              </w:tc>
              <w:tc>
                <w:tcPr>
                  <w:tcW w:w="2268" w:type="dxa"/>
                </w:tcPr>
                <w:p w14:paraId="4F3E8635">
                  <w:pPr>
                    <w:pStyle w:val="42"/>
                    <w:rPr>
                      <w:rFonts w:hint="eastAsia"/>
                      <w:color w:val="auto"/>
                      <w:sz w:val="21"/>
                      <w:szCs w:val="21"/>
                      <w:lang w:val="en-US" w:eastAsia="zh-CN"/>
                    </w:rPr>
                  </w:pPr>
                </w:p>
              </w:tc>
            </w:tr>
            <w:tr w14:paraId="1382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9" w:type="dxa"/>
                  <w:gridSpan w:val="2"/>
                  <w:vAlign w:val="center"/>
                </w:tcPr>
                <w:p w14:paraId="279593DD">
                  <w:pPr>
                    <w:pStyle w:val="42"/>
                    <w:rPr>
                      <w:color w:val="auto"/>
                      <w:sz w:val="21"/>
                      <w:szCs w:val="21"/>
                    </w:rPr>
                  </w:pPr>
                  <w:r>
                    <w:rPr>
                      <w:color w:val="auto"/>
                      <w:sz w:val="21"/>
                      <w:szCs w:val="21"/>
                    </w:rPr>
                    <w:t>绿化</w:t>
                  </w:r>
                </w:p>
              </w:tc>
              <w:tc>
                <w:tcPr>
                  <w:tcW w:w="2865" w:type="dxa"/>
                  <w:vAlign w:val="center"/>
                </w:tcPr>
                <w:p w14:paraId="69CFE310">
                  <w:pPr>
                    <w:pStyle w:val="42"/>
                    <w:rPr>
                      <w:color w:val="auto"/>
                      <w:sz w:val="21"/>
                      <w:szCs w:val="21"/>
                    </w:rPr>
                  </w:pPr>
                  <w:r>
                    <w:rPr>
                      <w:rFonts w:hint="eastAsia"/>
                      <w:color w:val="auto"/>
                      <w:sz w:val="21"/>
                      <w:szCs w:val="21"/>
                      <w:lang w:val="en-US" w:eastAsia="zh-CN"/>
                    </w:rPr>
                    <w:t>7000</w:t>
                  </w:r>
                  <w:r>
                    <w:rPr>
                      <w:color w:val="auto"/>
                      <w:sz w:val="21"/>
                      <w:szCs w:val="21"/>
                    </w:rPr>
                    <w:t>m</w:t>
                  </w:r>
                  <w:r>
                    <w:rPr>
                      <w:color w:val="auto"/>
                      <w:sz w:val="21"/>
                      <w:szCs w:val="21"/>
                      <w:vertAlign w:val="superscript"/>
                    </w:rPr>
                    <w:t>2</w:t>
                  </w:r>
                </w:p>
              </w:tc>
              <w:tc>
                <w:tcPr>
                  <w:tcW w:w="2268" w:type="dxa"/>
                  <w:vAlign w:val="center"/>
                </w:tcPr>
                <w:p w14:paraId="167E935E">
                  <w:pPr>
                    <w:pStyle w:val="42"/>
                    <w:rPr>
                      <w:color w:val="auto"/>
                      <w:sz w:val="21"/>
                      <w:szCs w:val="21"/>
                    </w:rPr>
                  </w:pPr>
                  <w:r>
                    <w:rPr>
                      <w:color w:val="auto"/>
                      <w:sz w:val="21"/>
                      <w:szCs w:val="21"/>
                    </w:rPr>
                    <w:t>/</w:t>
                  </w:r>
                </w:p>
              </w:tc>
            </w:tr>
            <w:bookmarkEnd w:id="7"/>
          </w:tbl>
          <w:p w14:paraId="541800E0">
            <w:pPr>
              <w:pStyle w:val="18"/>
              <w:ind w:firstLine="422"/>
              <w:rPr>
                <w:b/>
                <w:bCs/>
                <w:color w:val="auto"/>
              </w:rPr>
            </w:pPr>
            <w:r>
              <w:rPr>
                <w:b/>
                <w:bCs/>
                <w:color w:val="auto"/>
              </w:rPr>
              <w:t>4、产品方案</w:t>
            </w:r>
          </w:p>
          <w:p w14:paraId="21C8A9DD">
            <w:pPr>
              <w:pStyle w:val="1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本项目产品方案见表2-</w:t>
            </w:r>
            <w:r>
              <w:rPr>
                <w:rFonts w:hint="eastAsia" w:cs="Times New Roman"/>
                <w:color w:val="auto"/>
                <w:lang w:val="en-US" w:eastAsia="zh-CN"/>
              </w:rPr>
              <w:t>2</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b/>
                <w:bCs/>
                <w:color w:val="auto"/>
                <w:lang w:val="en-US" w:eastAsia="zh-CN"/>
              </w:rPr>
              <w:t>本项目产品生产质量主要遵循《农药登记资料规定》（农业农村部第10号令）要求</w:t>
            </w:r>
            <w:r>
              <w:rPr>
                <w:rFonts w:hint="eastAsia" w:ascii="Times New Roman" w:hAnsi="Times New Roman" w:eastAsia="宋体" w:cs="Times New Roman"/>
                <w:color w:val="auto"/>
                <w:lang w:val="en-US" w:eastAsia="zh-CN"/>
              </w:rPr>
              <w:t>，详见表2-</w:t>
            </w:r>
            <w:r>
              <w:rPr>
                <w:rFonts w:hint="eastAsia" w:cs="Times New Roman"/>
                <w:color w:val="auto"/>
                <w:lang w:val="en-US" w:eastAsia="zh-CN"/>
              </w:rPr>
              <w:t>3</w:t>
            </w:r>
            <w:r>
              <w:rPr>
                <w:rFonts w:hint="eastAsia" w:ascii="Times New Roman" w:hAnsi="Times New Roman" w:eastAsia="宋体" w:cs="Times New Roman"/>
                <w:color w:val="auto"/>
                <w:lang w:val="en-US" w:eastAsia="zh-CN"/>
              </w:rPr>
              <w:t>、2-</w:t>
            </w:r>
            <w:r>
              <w:rPr>
                <w:rFonts w:hint="eastAsia" w:cs="Times New Roman"/>
                <w:color w:val="auto"/>
                <w:lang w:val="en-US" w:eastAsia="zh-CN"/>
              </w:rPr>
              <w:t>4</w:t>
            </w:r>
            <w:r>
              <w:rPr>
                <w:rFonts w:hint="eastAsia" w:ascii="Times New Roman" w:hAnsi="Times New Roman" w:eastAsia="宋体" w:cs="Times New Roman"/>
                <w:color w:val="auto"/>
                <w:lang w:val="en-US" w:eastAsia="zh-CN"/>
              </w:rPr>
              <w:t>。本项目</w:t>
            </w:r>
            <w:r>
              <w:rPr>
                <w:rFonts w:hint="eastAsia" w:cs="Times New Roman"/>
                <w:color w:val="auto"/>
                <w:lang w:val="en-US" w:eastAsia="zh-CN"/>
              </w:rPr>
              <w:t>仅</w:t>
            </w:r>
            <w:r>
              <w:rPr>
                <w:rFonts w:hint="eastAsia" w:ascii="Times New Roman" w:hAnsi="Times New Roman" w:eastAsia="宋体" w:cs="Times New Roman"/>
                <w:color w:val="auto"/>
                <w:lang w:val="en-US" w:eastAsia="zh-CN"/>
              </w:rPr>
              <w:t>采用复配工艺对外购的成品原料进行加工或分装，不涉及原药的生产</w:t>
            </w:r>
            <w:r>
              <w:rPr>
                <w:rFonts w:hint="eastAsia" w:cs="Times New Roman"/>
                <w:color w:val="auto"/>
                <w:highlight w:val="none"/>
                <w:lang w:val="en-US" w:eastAsia="zh-CN"/>
              </w:rPr>
              <w:t>。</w:t>
            </w:r>
          </w:p>
          <w:p w14:paraId="0D42FFE3">
            <w:pPr>
              <w:autoSpaceDE w:val="0"/>
              <w:autoSpaceDN w:val="0"/>
              <w:adjustRightInd w:val="0"/>
              <w:snapToGrid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表2-</w:t>
            </w:r>
            <w:r>
              <w:rPr>
                <w:rFonts w:hint="eastAsia" w:cs="Times New Roman"/>
                <w:b/>
                <w:bCs/>
                <w:color w:val="auto"/>
                <w:kern w:val="0"/>
                <w:szCs w:val="21"/>
                <w:lang w:val="en-US" w:eastAsia="zh-CN"/>
              </w:rPr>
              <w:t xml:space="preserve">2 </w:t>
            </w:r>
            <w:r>
              <w:rPr>
                <w:rFonts w:hint="default" w:ascii="Times New Roman" w:hAnsi="Times New Roman" w:eastAsia="宋体" w:cs="Times New Roman"/>
                <w:b/>
                <w:bCs/>
                <w:color w:val="auto"/>
                <w:kern w:val="0"/>
                <w:szCs w:val="21"/>
                <w:lang w:val="en-US" w:eastAsia="zh-CN"/>
              </w:rPr>
              <w:t>项目产品方案一览表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667"/>
              <w:gridCol w:w="704"/>
              <w:gridCol w:w="5454"/>
            </w:tblGrid>
            <w:tr w14:paraId="588A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tcBorders>
                    <w:tl2br w:val="nil"/>
                    <w:tr2bl w:val="nil"/>
                  </w:tcBorders>
                  <w:vAlign w:val="center"/>
                </w:tcPr>
                <w:p w14:paraId="558C1E31">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产品名称</w:t>
                  </w:r>
                </w:p>
              </w:tc>
              <w:tc>
                <w:tcPr>
                  <w:tcW w:w="408" w:type="pct"/>
                  <w:tcBorders>
                    <w:tl2br w:val="nil"/>
                    <w:tr2bl w:val="nil"/>
                  </w:tcBorders>
                  <w:vAlign w:val="center"/>
                </w:tcPr>
                <w:p w14:paraId="6BF246C8">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431" w:type="pct"/>
                  <w:tcBorders>
                    <w:tl2br w:val="nil"/>
                    <w:tr2bl w:val="nil"/>
                  </w:tcBorders>
                  <w:vAlign w:val="center"/>
                </w:tcPr>
                <w:p w14:paraId="134A8551">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规模</w:t>
                  </w:r>
                </w:p>
              </w:tc>
              <w:tc>
                <w:tcPr>
                  <w:tcW w:w="3343" w:type="pct"/>
                  <w:tcBorders>
                    <w:tl2br w:val="nil"/>
                    <w:tr2bl w:val="nil"/>
                  </w:tcBorders>
                  <w:vAlign w:val="center"/>
                </w:tcPr>
                <w:p w14:paraId="79E0EB6B">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14:paraId="137F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vMerge w:val="restart"/>
                  <w:tcBorders>
                    <w:tl2br w:val="nil"/>
                    <w:tr2bl w:val="nil"/>
                  </w:tcBorders>
                  <w:shd w:val="clear" w:color="auto" w:fill="auto"/>
                  <w:vAlign w:val="center"/>
                </w:tcPr>
                <w:p w14:paraId="4AE022E4">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悬浮剂</w:t>
                  </w:r>
                </w:p>
              </w:tc>
              <w:tc>
                <w:tcPr>
                  <w:tcW w:w="408" w:type="pct"/>
                  <w:tcBorders>
                    <w:tl2br w:val="nil"/>
                    <w:tr2bl w:val="nil"/>
                  </w:tcBorders>
                  <w:vAlign w:val="center"/>
                </w:tcPr>
                <w:p w14:paraId="463EC874">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431" w:type="pct"/>
                  <w:tcBorders>
                    <w:tl2br w:val="nil"/>
                    <w:tr2bl w:val="nil"/>
                  </w:tcBorders>
                  <w:shd w:val="clear" w:color="auto" w:fill="auto"/>
                  <w:vAlign w:val="center"/>
                </w:tcPr>
                <w:p w14:paraId="46D6500B">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3343" w:type="pct"/>
                  <w:tcBorders>
                    <w:tl2br w:val="nil"/>
                    <w:tr2bl w:val="nil"/>
                  </w:tcBorders>
                  <w:shd w:val="clear" w:color="auto" w:fill="auto"/>
                  <w:vAlign w:val="center"/>
                </w:tcPr>
                <w:p w14:paraId="6D64A48D">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《25%吡唑醚菌酯水悬浮剂》（Q/XTSH06-2020）</w:t>
                  </w:r>
                </w:p>
              </w:tc>
            </w:tr>
            <w:tr w14:paraId="5578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vMerge w:val="continue"/>
                  <w:tcBorders>
                    <w:tl2br w:val="nil"/>
                    <w:tr2bl w:val="nil"/>
                  </w:tcBorders>
                  <w:shd w:val="clear" w:color="auto" w:fill="auto"/>
                  <w:vAlign w:val="center"/>
                </w:tcPr>
                <w:p w14:paraId="7F2F19AD">
                  <w:pPr>
                    <w:pStyle w:val="42"/>
                    <w:rPr>
                      <w:rFonts w:hint="eastAsia" w:ascii="Times New Roman" w:hAnsi="Times New Roman" w:eastAsia="宋体" w:cs="Times New Roman"/>
                      <w:color w:val="auto"/>
                      <w:sz w:val="21"/>
                      <w:szCs w:val="21"/>
                      <w:lang w:val="en-US" w:eastAsia="zh-CN"/>
                    </w:rPr>
                  </w:pPr>
                </w:p>
              </w:tc>
              <w:tc>
                <w:tcPr>
                  <w:tcW w:w="408" w:type="pct"/>
                  <w:tcBorders>
                    <w:tl2br w:val="nil"/>
                    <w:tr2bl w:val="nil"/>
                  </w:tcBorders>
                  <w:vAlign w:val="center"/>
                </w:tcPr>
                <w:p w14:paraId="7C3A9ADA">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431" w:type="pct"/>
                  <w:tcBorders>
                    <w:tl2br w:val="nil"/>
                    <w:tr2bl w:val="nil"/>
                  </w:tcBorders>
                  <w:shd w:val="clear" w:color="auto" w:fill="auto"/>
                  <w:vAlign w:val="center"/>
                </w:tcPr>
                <w:p w14:paraId="2755986C">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w:t>
                  </w:r>
                </w:p>
              </w:tc>
              <w:tc>
                <w:tcPr>
                  <w:tcW w:w="3343" w:type="pct"/>
                  <w:tcBorders>
                    <w:tl2br w:val="nil"/>
                    <w:tr2bl w:val="nil"/>
                  </w:tcBorders>
                  <w:shd w:val="clear" w:color="auto" w:fill="auto"/>
                  <w:vAlign w:val="center"/>
                </w:tcPr>
                <w:p w14:paraId="3DBF9B0A">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《11.6%甲维盐氯虫苯甲酰胺水悬浮剂》（Q/XTSH12-2025）</w:t>
                  </w:r>
                </w:p>
              </w:tc>
            </w:tr>
            <w:tr w14:paraId="6F4E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tcBorders>
                    <w:tl2br w:val="nil"/>
                    <w:tr2bl w:val="nil"/>
                  </w:tcBorders>
                  <w:shd w:val="clear" w:color="auto" w:fill="auto"/>
                  <w:vAlign w:val="center"/>
                </w:tcPr>
                <w:p w14:paraId="2EAF1355">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水剂</w:t>
                  </w:r>
                </w:p>
              </w:tc>
              <w:tc>
                <w:tcPr>
                  <w:tcW w:w="408" w:type="pct"/>
                  <w:tcBorders>
                    <w:tl2br w:val="nil"/>
                    <w:tr2bl w:val="nil"/>
                  </w:tcBorders>
                  <w:vAlign w:val="center"/>
                </w:tcPr>
                <w:p w14:paraId="5EDA0C37">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431" w:type="pct"/>
                  <w:tcBorders>
                    <w:tl2br w:val="nil"/>
                    <w:tr2bl w:val="nil"/>
                  </w:tcBorders>
                  <w:shd w:val="clear" w:color="auto" w:fill="auto"/>
                  <w:vAlign w:val="center"/>
                </w:tcPr>
                <w:p w14:paraId="5F1C66D1">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1300</w:t>
                  </w:r>
                </w:p>
              </w:tc>
              <w:tc>
                <w:tcPr>
                  <w:tcW w:w="3343" w:type="pct"/>
                  <w:tcBorders>
                    <w:tl2br w:val="nil"/>
                    <w:tr2bl w:val="nil"/>
                  </w:tcBorders>
                  <w:shd w:val="clear" w:color="auto" w:fill="auto"/>
                  <w:vAlign w:val="center"/>
                </w:tcPr>
                <w:p w14:paraId="3DBAC2EB">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《0.3%苦参碱水剂》（Q/XNC20-2018）</w:t>
                  </w:r>
                </w:p>
              </w:tc>
            </w:tr>
            <w:tr w14:paraId="3BA0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tcBorders>
                    <w:tl2br w:val="nil"/>
                    <w:tr2bl w:val="nil"/>
                  </w:tcBorders>
                  <w:shd w:val="clear" w:color="auto" w:fill="auto"/>
                  <w:vAlign w:val="center"/>
                </w:tcPr>
                <w:p w14:paraId="14026F40">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水乳剂</w:t>
                  </w:r>
                </w:p>
              </w:tc>
              <w:tc>
                <w:tcPr>
                  <w:tcW w:w="408" w:type="pct"/>
                  <w:tcBorders>
                    <w:tl2br w:val="nil"/>
                    <w:tr2bl w:val="nil"/>
                  </w:tcBorders>
                  <w:vAlign w:val="center"/>
                </w:tcPr>
                <w:p w14:paraId="49AF056D">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431" w:type="pct"/>
                  <w:tcBorders>
                    <w:tl2br w:val="nil"/>
                    <w:tr2bl w:val="nil"/>
                  </w:tcBorders>
                  <w:shd w:val="clear" w:color="auto" w:fill="auto"/>
                  <w:vAlign w:val="center"/>
                </w:tcPr>
                <w:p w14:paraId="1175AA04">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700</w:t>
                  </w:r>
                </w:p>
              </w:tc>
              <w:tc>
                <w:tcPr>
                  <w:tcW w:w="3343" w:type="pct"/>
                  <w:tcBorders>
                    <w:tl2br w:val="nil"/>
                    <w:tr2bl w:val="nil"/>
                  </w:tcBorders>
                  <w:shd w:val="clear" w:color="auto" w:fill="auto"/>
                  <w:vAlign w:val="center"/>
                </w:tcPr>
                <w:p w14:paraId="22AF1C0A">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《5%阿维菌素水乳剂》（Q/XTSH03-2020）</w:t>
                  </w:r>
                </w:p>
              </w:tc>
            </w:tr>
            <w:tr w14:paraId="1C0C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tcBorders>
                    <w:tl2br w:val="nil"/>
                    <w:tr2bl w:val="nil"/>
                  </w:tcBorders>
                  <w:shd w:val="clear" w:color="auto" w:fill="auto"/>
                  <w:vAlign w:val="center"/>
                </w:tcPr>
                <w:p w14:paraId="2AB54F16">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可湿性粉剂</w:t>
                  </w:r>
                </w:p>
              </w:tc>
              <w:tc>
                <w:tcPr>
                  <w:tcW w:w="408" w:type="pct"/>
                  <w:tcBorders>
                    <w:tl2br w:val="nil"/>
                    <w:tr2bl w:val="nil"/>
                  </w:tcBorders>
                  <w:vAlign w:val="center"/>
                </w:tcPr>
                <w:p w14:paraId="4D61D6B3">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431" w:type="pct"/>
                  <w:tcBorders>
                    <w:tl2br w:val="nil"/>
                    <w:tr2bl w:val="nil"/>
                  </w:tcBorders>
                  <w:shd w:val="clear" w:color="auto" w:fill="auto"/>
                  <w:vAlign w:val="center"/>
                </w:tcPr>
                <w:p w14:paraId="01459CF3">
                  <w:pPr>
                    <w:pStyle w:val="42"/>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00</w:t>
                  </w:r>
                </w:p>
              </w:tc>
              <w:tc>
                <w:tcPr>
                  <w:tcW w:w="3343" w:type="pct"/>
                  <w:tcBorders>
                    <w:tl2br w:val="nil"/>
                    <w:tr2bl w:val="nil"/>
                  </w:tcBorders>
                  <w:shd w:val="clear" w:color="auto" w:fill="auto"/>
                  <w:vAlign w:val="center"/>
                </w:tcPr>
                <w:p w14:paraId="601D28FC">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20%啶虫脒可</w:t>
                  </w:r>
                  <w:r>
                    <w:rPr>
                      <w:rFonts w:hint="eastAsia" w:cs="Times New Roman"/>
                      <w:color w:val="auto"/>
                      <w:sz w:val="21"/>
                      <w:szCs w:val="21"/>
                      <w:lang w:val="en-US" w:eastAsia="zh-CN"/>
                    </w:rPr>
                    <w:t>食性</w:t>
                  </w:r>
                  <w:r>
                    <w:rPr>
                      <w:rFonts w:hint="eastAsia" w:ascii="Times New Roman" w:hAnsi="Times New Roman" w:eastAsia="宋体" w:cs="Times New Roman"/>
                      <w:color w:val="auto"/>
                      <w:sz w:val="21"/>
                      <w:szCs w:val="21"/>
                      <w:lang w:val="en-US" w:eastAsia="zh-CN"/>
                    </w:rPr>
                    <w:t>粉剂（HG3754-2004）</w:t>
                  </w:r>
                </w:p>
              </w:tc>
            </w:tr>
            <w:tr w14:paraId="5CE3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tcBorders>
                    <w:tl2br w:val="nil"/>
                    <w:tr2bl w:val="nil"/>
                  </w:tcBorders>
                  <w:shd w:val="clear" w:color="auto" w:fill="auto"/>
                  <w:vAlign w:val="center"/>
                </w:tcPr>
                <w:p w14:paraId="009FCC22">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408" w:type="pct"/>
                  <w:tcBorders>
                    <w:tl2br w:val="nil"/>
                    <w:tr2bl w:val="nil"/>
                  </w:tcBorders>
                  <w:vAlign w:val="center"/>
                </w:tcPr>
                <w:p w14:paraId="06469575">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t/a</w:t>
                  </w:r>
                </w:p>
              </w:tc>
              <w:tc>
                <w:tcPr>
                  <w:tcW w:w="431" w:type="pct"/>
                  <w:tcBorders>
                    <w:tl2br w:val="nil"/>
                    <w:tr2bl w:val="nil"/>
                  </w:tcBorders>
                  <w:shd w:val="clear" w:color="auto" w:fill="auto"/>
                  <w:vAlign w:val="center"/>
                </w:tcPr>
                <w:p w14:paraId="1A19A617">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3500</w:t>
                  </w:r>
                </w:p>
              </w:tc>
              <w:tc>
                <w:tcPr>
                  <w:tcW w:w="3343" w:type="pct"/>
                  <w:tcBorders>
                    <w:tl2br w:val="nil"/>
                    <w:tr2bl w:val="nil"/>
                  </w:tcBorders>
                  <w:shd w:val="clear" w:color="auto" w:fill="auto"/>
                  <w:vAlign w:val="center"/>
                </w:tcPr>
                <w:p w14:paraId="0CC5BBC2">
                  <w:pPr>
                    <w:pStyle w:val="4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tbl>
            <w:tblPr>
              <w:tblStyle w:val="82"/>
              <w:tblpPr w:leftFromText="180" w:rightFromText="180" w:vertAnchor="text" w:horzAnchor="page" w:tblpXSpec="center" w:tblpY="273"/>
              <w:tblOverlap w:val="never"/>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087"/>
              <w:gridCol w:w="4072"/>
            </w:tblGrid>
            <w:tr w14:paraId="5058782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504" w:type="pct"/>
                  <w:vAlign w:val="center"/>
                </w:tcPr>
                <w:p w14:paraId="25B6F52B">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项目名称</w:t>
                  </w:r>
                </w:p>
              </w:tc>
              <w:tc>
                <w:tcPr>
                  <w:tcW w:w="2495" w:type="pct"/>
                  <w:vAlign w:val="center"/>
                </w:tcPr>
                <w:p w14:paraId="31FF5CAA">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质量指标</w:t>
                  </w:r>
                </w:p>
              </w:tc>
            </w:tr>
            <w:tr w14:paraId="090970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504" w:type="pct"/>
                  <w:vAlign w:val="center"/>
                </w:tcPr>
                <w:p w14:paraId="6EB0579C">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外观</w:t>
                  </w:r>
                </w:p>
              </w:tc>
              <w:tc>
                <w:tcPr>
                  <w:tcW w:w="2495" w:type="pct"/>
                  <w:vAlign w:val="center"/>
                </w:tcPr>
                <w:p w14:paraId="710011E2">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白色结晶粉末</w:t>
                  </w:r>
                </w:p>
              </w:tc>
            </w:tr>
            <w:tr w14:paraId="142188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504" w:type="pct"/>
                  <w:vAlign w:val="center"/>
                </w:tcPr>
                <w:p w14:paraId="39F176E3">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干燥减重%≤</w:t>
                  </w:r>
                </w:p>
              </w:tc>
              <w:tc>
                <w:tcPr>
                  <w:tcW w:w="2495" w:type="pct"/>
                  <w:vAlign w:val="center"/>
                </w:tcPr>
                <w:p w14:paraId="2A4F648F">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r>
            <w:tr w14:paraId="4835F9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504" w:type="pct"/>
                  <w:vAlign w:val="center"/>
                </w:tcPr>
                <w:p w14:paraId="1254F4F3">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碱不容物%≤</w:t>
                  </w:r>
                </w:p>
              </w:tc>
              <w:tc>
                <w:tcPr>
                  <w:tcW w:w="2495" w:type="pct"/>
                  <w:vAlign w:val="center"/>
                </w:tcPr>
                <w:p w14:paraId="6968D146">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r>
          </w:tbl>
          <w:p w14:paraId="2B1EF4C0">
            <w:pPr>
              <w:autoSpaceDE w:val="0"/>
              <w:autoSpaceDN w:val="0"/>
              <w:adjustRightInd w:val="0"/>
              <w:snapToGrid w:val="0"/>
              <w:jc w:val="center"/>
              <w:rPr>
                <w:rFonts w:hint="eastAsia"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表2-</w:t>
            </w:r>
            <w:r>
              <w:rPr>
                <w:rFonts w:hint="eastAsia" w:cs="Times New Roman"/>
                <w:b/>
                <w:bCs/>
                <w:color w:val="auto"/>
                <w:kern w:val="0"/>
                <w:szCs w:val="21"/>
                <w:lang w:val="en-US" w:eastAsia="zh-CN"/>
              </w:rPr>
              <w:t xml:space="preserve">3 </w:t>
            </w:r>
            <w:r>
              <w:rPr>
                <w:rFonts w:hint="default" w:ascii="Times New Roman" w:hAnsi="Times New Roman" w:eastAsia="宋体" w:cs="Times New Roman"/>
                <w:b/>
                <w:bCs/>
                <w:color w:val="auto"/>
                <w:kern w:val="0"/>
                <w:szCs w:val="21"/>
                <w:lang w:val="en-US" w:eastAsia="zh-CN"/>
              </w:rPr>
              <w:t>原药质量指标</w:t>
            </w:r>
          </w:p>
          <w:p w14:paraId="3DBF6CAB">
            <w:pPr>
              <w:autoSpaceDE w:val="0"/>
              <w:autoSpaceDN w:val="0"/>
              <w:adjustRightInd w:val="0"/>
              <w:snapToGrid w:val="0"/>
              <w:jc w:val="center"/>
              <w:rPr>
                <w:rFonts w:hint="eastAsia"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表2-</w:t>
            </w:r>
            <w:r>
              <w:rPr>
                <w:rFonts w:hint="eastAsia" w:cs="Times New Roman"/>
                <w:b/>
                <w:bCs/>
                <w:color w:val="auto"/>
                <w:kern w:val="0"/>
                <w:szCs w:val="21"/>
                <w:lang w:val="en-US" w:eastAsia="zh-CN"/>
              </w:rPr>
              <w:t xml:space="preserve">4 </w:t>
            </w:r>
            <w:r>
              <w:rPr>
                <w:rFonts w:hint="default" w:ascii="Times New Roman" w:hAnsi="Times New Roman" w:eastAsia="宋体" w:cs="Times New Roman"/>
                <w:b/>
                <w:bCs/>
                <w:color w:val="auto"/>
                <w:kern w:val="0"/>
                <w:szCs w:val="21"/>
                <w:lang w:val="en-US" w:eastAsia="zh-CN"/>
              </w:rPr>
              <w:t>制剂质量指标</w:t>
            </w:r>
          </w:p>
          <w:tbl>
            <w:tblPr>
              <w:tblStyle w:val="82"/>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2258"/>
              <w:gridCol w:w="5901"/>
            </w:tblGrid>
            <w:tr w14:paraId="678368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vAlign w:val="center"/>
                </w:tcPr>
                <w:p w14:paraId="2A483E73">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声明含量以g/kg或g/l表示</w:t>
                  </w:r>
                </w:p>
              </w:tc>
              <w:tc>
                <w:tcPr>
                  <w:tcW w:w="3616" w:type="pct"/>
                  <w:vAlign w:val="center"/>
                </w:tcPr>
                <w:p w14:paraId="0BCEB972">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允许范围</w:t>
                  </w:r>
                </w:p>
              </w:tc>
            </w:tr>
            <w:tr w14:paraId="6420FA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vAlign w:val="center"/>
                </w:tcPr>
                <w:p w14:paraId="612F0513">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3616" w:type="pct"/>
                  <w:vAlign w:val="center"/>
                </w:tcPr>
                <w:p w14:paraId="72D16FB4">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声明含量的±15%</w:t>
                  </w:r>
                </w:p>
              </w:tc>
            </w:tr>
            <w:tr w14:paraId="7DA661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vAlign w:val="center"/>
                </w:tcPr>
                <w:p w14:paraId="1CE5EB07">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25-100</w:t>
                  </w:r>
                </w:p>
              </w:tc>
              <w:tc>
                <w:tcPr>
                  <w:tcW w:w="3616" w:type="pct"/>
                  <w:vAlign w:val="center"/>
                </w:tcPr>
                <w:p w14:paraId="7209F030">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声明含量的±10%</w:t>
                  </w:r>
                </w:p>
              </w:tc>
            </w:tr>
            <w:tr w14:paraId="35E1EA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vAlign w:val="center"/>
                </w:tcPr>
                <w:p w14:paraId="470DA11F">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100-250</w:t>
                  </w:r>
                </w:p>
              </w:tc>
              <w:tc>
                <w:tcPr>
                  <w:tcW w:w="3616" w:type="pct"/>
                  <w:vAlign w:val="center"/>
                </w:tcPr>
                <w:p w14:paraId="52B39FE4">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声明含量的±6%</w:t>
                  </w:r>
                </w:p>
              </w:tc>
            </w:tr>
            <w:tr w14:paraId="5B300E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vAlign w:val="center"/>
                </w:tcPr>
                <w:p w14:paraId="566B28C6">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250-500</w:t>
                  </w:r>
                </w:p>
              </w:tc>
              <w:tc>
                <w:tcPr>
                  <w:tcW w:w="3616" w:type="pct"/>
                  <w:vAlign w:val="center"/>
                </w:tcPr>
                <w:p w14:paraId="5B3272E5">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声明含量的±5%</w:t>
                  </w:r>
                </w:p>
              </w:tc>
            </w:tr>
            <w:tr w14:paraId="2799660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bottom w:val="single" w:color="000000" w:sz="4" w:space="0"/>
                    <w:right w:val="single" w:color="000000" w:sz="4" w:space="0"/>
                  </w:tcBorders>
                  <w:vAlign w:val="center"/>
                </w:tcPr>
                <w:p w14:paraId="5A6764E0">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大于500</w:t>
                  </w:r>
                </w:p>
              </w:tc>
              <w:tc>
                <w:tcPr>
                  <w:tcW w:w="3616" w:type="pct"/>
                  <w:tcBorders>
                    <w:left w:val="single" w:color="000000" w:sz="4" w:space="0"/>
                    <w:bottom w:val="single" w:color="000000" w:sz="4" w:space="0"/>
                  </w:tcBorders>
                  <w:vAlign w:val="center"/>
                </w:tcPr>
                <w:p w14:paraId="5CD19063">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±25g/kg或g/l</w:t>
                  </w:r>
                </w:p>
              </w:tc>
            </w:tr>
            <w:tr w14:paraId="442E1F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2"/>
                  <w:tcBorders>
                    <w:top w:val="single" w:color="000000" w:sz="4" w:space="0"/>
                    <w:bottom w:val="single" w:color="000000" w:sz="4" w:space="0"/>
                  </w:tcBorders>
                  <w:vAlign w:val="center"/>
                </w:tcPr>
                <w:p w14:paraId="754E77E4">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物理性质</w:t>
                  </w:r>
                </w:p>
              </w:tc>
            </w:tr>
            <w:tr w14:paraId="1BB6B01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top w:val="single" w:color="000000" w:sz="4" w:space="0"/>
                    <w:bottom w:val="single" w:color="000000" w:sz="4" w:space="0"/>
                    <w:right w:val="single" w:color="000000" w:sz="4" w:space="0"/>
                  </w:tcBorders>
                  <w:vAlign w:val="center"/>
                </w:tcPr>
                <w:p w14:paraId="4A122660">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稀释稳定性</w:t>
                  </w:r>
                </w:p>
              </w:tc>
              <w:tc>
                <w:tcPr>
                  <w:tcW w:w="3616" w:type="pct"/>
                  <w:tcBorders>
                    <w:top w:val="single" w:color="000000" w:sz="4" w:space="0"/>
                    <w:left w:val="single" w:color="000000" w:sz="4" w:space="0"/>
                    <w:bottom w:val="single" w:color="000000" w:sz="4" w:space="0"/>
                  </w:tcBorders>
                  <w:vAlign w:val="center"/>
                </w:tcPr>
                <w:p w14:paraId="1DAAEA72">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经过54℃热贮稳定性试验的产品，用CIPAC标准硬度水D稀释后，在30±2℃静置18小时，其应为澄清透明溶液，无可见沉淀物，或产生的颗粒应能通过45</w:t>
                  </w:r>
                  <w:r>
                    <w:rPr>
                      <w:rFonts w:hint="default" w:ascii="Times New Roman" w:hAnsi="Times New Roman" w:eastAsia="宋体" w:cs="Times New Roman"/>
                      <w:color w:val="auto"/>
                      <w:sz w:val="21"/>
                      <w:szCs w:val="21"/>
                      <w:lang w:val="en-US" w:eastAsia="zh-CN"/>
                    </w:rPr>
                    <w:t>μ</w:t>
                  </w:r>
                  <w:r>
                    <w:rPr>
                      <w:rFonts w:hint="eastAsia" w:ascii="Times New Roman" w:hAnsi="Times New Roman" w:eastAsia="宋体" w:cs="Times New Roman"/>
                      <w:color w:val="auto"/>
                      <w:sz w:val="21"/>
                      <w:szCs w:val="21"/>
                      <w:lang w:val="en-US" w:eastAsia="zh-CN"/>
                    </w:rPr>
                    <w:t>m试验筛。</w:t>
                  </w:r>
                </w:p>
              </w:tc>
            </w:tr>
            <w:tr w14:paraId="65F478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top w:val="single" w:color="000000" w:sz="4" w:space="0"/>
                    <w:bottom w:val="single" w:color="000000" w:sz="4" w:space="0"/>
                    <w:right w:val="single" w:color="000000" w:sz="4" w:space="0"/>
                  </w:tcBorders>
                  <w:vAlign w:val="center"/>
                </w:tcPr>
                <w:p w14:paraId="591F4AB2">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持久起泡性</w:t>
                  </w:r>
                </w:p>
              </w:tc>
              <w:tc>
                <w:tcPr>
                  <w:tcW w:w="3616" w:type="pct"/>
                  <w:tcBorders>
                    <w:top w:val="single" w:color="000000" w:sz="4" w:space="0"/>
                    <w:left w:val="single" w:color="000000" w:sz="4" w:space="0"/>
                    <w:bottom w:val="single" w:color="000000" w:sz="4" w:space="0"/>
                  </w:tcBorders>
                  <w:vAlign w:val="center"/>
                </w:tcPr>
                <w:p w14:paraId="74CFEC07">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≤60ml，1分钟后</w:t>
                  </w:r>
                </w:p>
              </w:tc>
            </w:tr>
            <w:tr w14:paraId="632664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top w:val="single" w:color="000000" w:sz="4" w:space="0"/>
                    <w:bottom w:val="single" w:color="000000" w:sz="4" w:space="0"/>
                    <w:right w:val="single" w:color="000000" w:sz="4" w:space="0"/>
                  </w:tcBorders>
                  <w:vAlign w:val="center"/>
                </w:tcPr>
                <w:p w14:paraId="62C95B37">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悬浮率</w:t>
                  </w:r>
                </w:p>
              </w:tc>
              <w:tc>
                <w:tcPr>
                  <w:tcW w:w="3616" w:type="pct"/>
                  <w:tcBorders>
                    <w:top w:val="single" w:color="000000" w:sz="4" w:space="0"/>
                    <w:left w:val="single" w:color="000000" w:sz="4" w:space="0"/>
                    <w:bottom w:val="single" w:color="000000" w:sz="4" w:space="0"/>
                  </w:tcBorders>
                  <w:vAlign w:val="center"/>
                </w:tcPr>
                <w:p w14:paraId="372BDD76">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r>
            <w:tr w14:paraId="79CBAC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top w:val="single" w:color="000000" w:sz="4" w:space="0"/>
                    <w:bottom w:val="single" w:color="000000" w:sz="4" w:space="0"/>
                    <w:right w:val="single" w:color="000000" w:sz="4" w:space="0"/>
                  </w:tcBorders>
                  <w:vAlign w:val="center"/>
                </w:tcPr>
                <w:p w14:paraId="49C2FC4E">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pH值</w:t>
                  </w:r>
                </w:p>
              </w:tc>
              <w:tc>
                <w:tcPr>
                  <w:tcW w:w="3616" w:type="pct"/>
                  <w:tcBorders>
                    <w:top w:val="single" w:color="000000" w:sz="4" w:space="0"/>
                    <w:left w:val="single" w:color="000000" w:sz="4" w:space="0"/>
                    <w:bottom w:val="single" w:color="000000" w:sz="4" w:space="0"/>
                  </w:tcBorders>
                  <w:vAlign w:val="center"/>
                </w:tcPr>
                <w:p w14:paraId="091393B8">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产品稳定的范围</w:t>
                  </w:r>
                </w:p>
              </w:tc>
            </w:tr>
            <w:tr w14:paraId="1ED0C5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2"/>
                  <w:tcBorders>
                    <w:top w:val="single" w:color="000000" w:sz="4" w:space="0"/>
                    <w:bottom w:val="single" w:color="000000" w:sz="4" w:space="0"/>
                  </w:tcBorders>
                  <w:vAlign w:val="center"/>
                </w:tcPr>
                <w:p w14:paraId="20BB9C5F">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存贮稳定性</w:t>
                  </w:r>
                </w:p>
              </w:tc>
            </w:tr>
            <w:tr w14:paraId="0A6FF1D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top w:val="single" w:color="000000" w:sz="4" w:space="0"/>
                    <w:bottom w:val="single" w:color="000000" w:sz="4" w:space="0"/>
                    <w:right w:val="single" w:color="000000" w:sz="4" w:space="0"/>
                  </w:tcBorders>
                  <w:vAlign w:val="center"/>
                </w:tcPr>
                <w:p w14:paraId="47F106F8">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低温稳定性</w:t>
                  </w:r>
                </w:p>
              </w:tc>
              <w:tc>
                <w:tcPr>
                  <w:tcW w:w="3616" w:type="pct"/>
                  <w:tcBorders>
                    <w:top w:val="single" w:color="000000" w:sz="4" w:space="0"/>
                    <w:left w:val="single" w:color="000000" w:sz="4" w:space="0"/>
                    <w:bottom w:val="single" w:color="000000" w:sz="4" w:space="0"/>
                  </w:tcBorders>
                  <w:vAlign w:val="center"/>
                </w:tcPr>
                <w:p w14:paraId="2BAA0631">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在0±2℃温度下存储7天，分离出来的固体或液体应≤0.3ml。</w:t>
                  </w:r>
                </w:p>
              </w:tc>
            </w:tr>
            <w:tr w14:paraId="5E3873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83" w:type="pct"/>
                  <w:tcBorders>
                    <w:top w:val="single" w:color="000000" w:sz="4" w:space="0"/>
                    <w:right w:val="single" w:color="000000" w:sz="4" w:space="0"/>
                  </w:tcBorders>
                  <w:vAlign w:val="center"/>
                </w:tcPr>
                <w:p w14:paraId="53E33C20">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热贮稳定性试验</w:t>
                  </w:r>
                </w:p>
              </w:tc>
              <w:tc>
                <w:tcPr>
                  <w:tcW w:w="3616" w:type="pct"/>
                  <w:tcBorders>
                    <w:top w:val="single" w:color="000000" w:sz="4" w:space="0"/>
                    <w:left w:val="single" w:color="000000" w:sz="4" w:space="0"/>
                  </w:tcBorders>
                  <w:vAlign w:val="center"/>
                </w:tcPr>
                <w:p w14:paraId="60C35891">
                  <w:pPr>
                    <w:pStyle w:val="4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在54±2℃温度下存储14天，平均检测结果应大于热贮前含量的95%。</w:t>
                  </w:r>
                </w:p>
              </w:tc>
            </w:tr>
          </w:tbl>
          <w:p w14:paraId="2C72C597">
            <w:pPr>
              <w:pStyle w:val="18"/>
              <w:ind w:firstLine="422"/>
              <w:rPr>
                <w:b/>
                <w:bCs/>
                <w:color w:val="auto"/>
              </w:rPr>
            </w:pPr>
            <w:r>
              <w:rPr>
                <w:b/>
                <w:bCs/>
                <w:color w:val="auto"/>
              </w:rPr>
              <w:t>5、项目组成及主要环境问题</w:t>
            </w:r>
          </w:p>
          <w:p w14:paraId="5D10B2B4">
            <w:pPr>
              <w:pStyle w:val="18"/>
              <w:rPr>
                <w:color w:val="auto"/>
              </w:rPr>
            </w:pPr>
            <w:r>
              <w:rPr>
                <w:color w:val="auto"/>
              </w:rPr>
              <w:t>本项目组成及主要环境问题见表2-5。</w:t>
            </w:r>
          </w:p>
          <w:p w14:paraId="6DB46037">
            <w:pPr>
              <w:autoSpaceDE w:val="0"/>
              <w:autoSpaceDN w:val="0"/>
              <w:adjustRightInd w:val="0"/>
              <w:snapToGrid w:val="0"/>
              <w:jc w:val="center"/>
              <w:rPr>
                <w:b/>
                <w:bCs/>
                <w:color w:val="auto"/>
                <w:kern w:val="0"/>
                <w:szCs w:val="21"/>
              </w:rPr>
            </w:pPr>
            <w:r>
              <w:rPr>
                <w:b/>
                <w:bCs/>
                <w:color w:val="auto"/>
                <w:kern w:val="0"/>
                <w:szCs w:val="21"/>
              </w:rPr>
              <w:t>表2-5</w:t>
            </w:r>
            <w:r>
              <w:rPr>
                <w:rFonts w:hint="eastAsia"/>
                <w:b/>
                <w:bCs/>
                <w:color w:val="auto"/>
                <w:kern w:val="0"/>
                <w:szCs w:val="21"/>
                <w:lang w:val="en-US" w:eastAsia="zh-CN"/>
              </w:rPr>
              <w:t xml:space="preserve"> </w:t>
            </w:r>
            <w:r>
              <w:rPr>
                <w:b/>
                <w:bCs/>
                <w:color w:val="auto"/>
                <w:kern w:val="0"/>
                <w:szCs w:val="21"/>
              </w:rPr>
              <w:t>项目建设内容一览表</w:t>
            </w:r>
          </w:p>
          <w:tbl>
            <w:tblPr>
              <w:tblStyle w:val="19"/>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115"/>
              <w:gridCol w:w="5100"/>
              <w:gridCol w:w="835"/>
              <w:gridCol w:w="830"/>
            </w:tblGrid>
            <w:tr w14:paraId="27F9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3" w:type="dxa"/>
                  <w:gridSpan w:val="2"/>
                  <w:vMerge w:val="restart"/>
                  <w:vAlign w:val="center"/>
                </w:tcPr>
                <w:p w14:paraId="508AE151">
                  <w:pPr>
                    <w:pStyle w:val="42"/>
                    <w:jc w:val="center"/>
                    <w:rPr>
                      <w:b/>
                      <w:bCs/>
                      <w:color w:val="auto"/>
                      <w:sz w:val="21"/>
                      <w:szCs w:val="21"/>
                    </w:rPr>
                  </w:pPr>
                  <w:bookmarkStart w:id="8" w:name="_Hlk139639286"/>
                  <w:r>
                    <w:rPr>
                      <w:b/>
                      <w:bCs/>
                      <w:color w:val="auto"/>
                      <w:sz w:val="21"/>
                      <w:szCs w:val="21"/>
                    </w:rPr>
                    <w:t>项目组成</w:t>
                  </w:r>
                </w:p>
              </w:tc>
              <w:tc>
                <w:tcPr>
                  <w:tcW w:w="5100" w:type="dxa"/>
                  <w:vMerge w:val="restart"/>
                  <w:vAlign w:val="center"/>
                </w:tcPr>
                <w:p w14:paraId="4F752F52">
                  <w:pPr>
                    <w:pStyle w:val="42"/>
                    <w:jc w:val="center"/>
                    <w:rPr>
                      <w:b/>
                      <w:bCs/>
                      <w:color w:val="auto"/>
                      <w:sz w:val="21"/>
                      <w:szCs w:val="21"/>
                    </w:rPr>
                  </w:pPr>
                  <w:r>
                    <w:rPr>
                      <w:b/>
                      <w:bCs/>
                      <w:color w:val="auto"/>
                      <w:sz w:val="21"/>
                      <w:szCs w:val="21"/>
                    </w:rPr>
                    <w:t>主要建设内容及规模</w:t>
                  </w:r>
                </w:p>
              </w:tc>
              <w:tc>
                <w:tcPr>
                  <w:tcW w:w="1665" w:type="dxa"/>
                  <w:gridSpan w:val="2"/>
                  <w:vAlign w:val="center"/>
                </w:tcPr>
                <w:p w14:paraId="70172C46">
                  <w:pPr>
                    <w:pStyle w:val="42"/>
                    <w:jc w:val="center"/>
                    <w:rPr>
                      <w:b/>
                      <w:bCs/>
                      <w:color w:val="auto"/>
                      <w:sz w:val="21"/>
                      <w:szCs w:val="21"/>
                    </w:rPr>
                  </w:pPr>
                  <w:r>
                    <w:rPr>
                      <w:b/>
                      <w:bCs/>
                      <w:color w:val="auto"/>
                      <w:sz w:val="21"/>
                      <w:szCs w:val="21"/>
                    </w:rPr>
                    <w:t>主要环境问题</w:t>
                  </w:r>
                </w:p>
              </w:tc>
            </w:tr>
            <w:tr w14:paraId="6592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gridSpan w:val="2"/>
                  <w:vMerge w:val="continue"/>
                  <w:vAlign w:val="center"/>
                </w:tcPr>
                <w:p w14:paraId="55004797">
                  <w:pPr>
                    <w:pStyle w:val="42"/>
                    <w:jc w:val="center"/>
                    <w:rPr>
                      <w:b/>
                      <w:bCs/>
                      <w:color w:val="auto"/>
                      <w:sz w:val="21"/>
                      <w:szCs w:val="21"/>
                    </w:rPr>
                  </w:pPr>
                </w:p>
              </w:tc>
              <w:tc>
                <w:tcPr>
                  <w:tcW w:w="5100" w:type="dxa"/>
                  <w:vMerge w:val="continue"/>
                  <w:vAlign w:val="center"/>
                </w:tcPr>
                <w:p w14:paraId="5BDF73E9">
                  <w:pPr>
                    <w:pStyle w:val="42"/>
                    <w:jc w:val="center"/>
                    <w:rPr>
                      <w:b/>
                      <w:bCs/>
                      <w:color w:val="auto"/>
                      <w:sz w:val="21"/>
                      <w:szCs w:val="21"/>
                    </w:rPr>
                  </w:pPr>
                </w:p>
              </w:tc>
              <w:tc>
                <w:tcPr>
                  <w:tcW w:w="835" w:type="dxa"/>
                  <w:vAlign w:val="center"/>
                </w:tcPr>
                <w:p w14:paraId="63F437D0">
                  <w:pPr>
                    <w:pStyle w:val="42"/>
                    <w:jc w:val="center"/>
                    <w:rPr>
                      <w:b/>
                      <w:bCs/>
                      <w:color w:val="auto"/>
                      <w:sz w:val="21"/>
                      <w:szCs w:val="21"/>
                    </w:rPr>
                  </w:pPr>
                  <w:r>
                    <w:rPr>
                      <w:b/>
                      <w:bCs/>
                      <w:color w:val="auto"/>
                      <w:sz w:val="21"/>
                      <w:szCs w:val="21"/>
                    </w:rPr>
                    <w:t>施工期</w:t>
                  </w:r>
                </w:p>
              </w:tc>
              <w:tc>
                <w:tcPr>
                  <w:tcW w:w="830" w:type="dxa"/>
                  <w:vAlign w:val="center"/>
                </w:tcPr>
                <w:p w14:paraId="1E47F32A">
                  <w:pPr>
                    <w:pStyle w:val="42"/>
                    <w:jc w:val="center"/>
                    <w:rPr>
                      <w:b/>
                      <w:bCs/>
                      <w:color w:val="auto"/>
                      <w:sz w:val="21"/>
                      <w:szCs w:val="21"/>
                    </w:rPr>
                  </w:pPr>
                  <w:r>
                    <w:rPr>
                      <w:b/>
                      <w:bCs/>
                      <w:color w:val="auto"/>
                      <w:sz w:val="21"/>
                      <w:szCs w:val="21"/>
                    </w:rPr>
                    <w:t>营运期</w:t>
                  </w:r>
                </w:p>
              </w:tc>
            </w:tr>
            <w:tr w14:paraId="7CFA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restart"/>
                  <w:vAlign w:val="center"/>
                </w:tcPr>
                <w:p w14:paraId="0BF216A0">
                  <w:pPr>
                    <w:pStyle w:val="42"/>
                    <w:jc w:val="center"/>
                    <w:rPr>
                      <w:color w:val="auto"/>
                      <w:sz w:val="21"/>
                      <w:szCs w:val="21"/>
                    </w:rPr>
                  </w:pPr>
                  <w:r>
                    <w:rPr>
                      <w:color w:val="auto"/>
                      <w:sz w:val="21"/>
                      <w:szCs w:val="21"/>
                    </w:rPr>
                    <w:t>主体工程</w:t>
                  </w:r>
                </w:p>
              </w:tc>
              <w:tc>
                <w:tcPr>
                  <w:tcW w:w="1115" w:type="dxa"/>
                  <w:vMerge w:val="restart"/>
                  <w:vAlign w:val="center"/>
                </w:tcPr>
                <w:p w14:paraId="00704013">
                  <w:pPr>
                    <w:pStyle w:val="42"/>
                    <w:jc w:val="center"/>
                    <w:rPr>
                      <w:color w:val="auto"/>
                      <w:sz w:val="21"/>
                      <w:szCs w:val="21"/>
                    </w:rPr>
                  </w:pPr>
                  <w:r>
                    <w:rPr>
                      <w:color w:val="auto"/>
                      <w:sz w:val="21"/>
                      <w:szCs w:val="21"/>
                    </w:rPr>
                    <w:t>生产车间</w:t>
                  </w:r>
                </w:p>
              </w:tc>
              <w:tc>
                <w:tcPr>
                  <w:tcW w:w="5100" w:type="dxa"/>
                  <w:vAlign w:val="center"/>
                </w:tcPr>
                <w:p w14:paraId="7835D374">
                  <w:pPr>
                    <w:pStyle w:val="42"/>
                    <w:adjustRightInd w:val="0"/>
                    <w:jc w:val="left"/>
                    <w:rPr>
                      <w:rFonts w:hint="default" w:eastAsia="宋体"/>
                      <w:color w:val="auto"/>
                      <w:sz w:val="21"/>
                      <w:szCs w:val="21"/>
                      <w:lang w:val="en-US" w:eastAsia="zh-CN"/>
                    </w:rPr>
                  </w:pPr>
                  <w:r>
                    <w:rPr>
                      <w:color w:val="auto"/>
                      <w:sz w:val="21"/>
                      <w:szCs w:val="21"/>
                    </w:rPr>
                    <w:t>新建生产车间1#，占地面积</w:t>
                  </w:r>
                  <w:r>
                    <w:rPr>
                      <w:rFonts w:hint="eastAsia"/>
                      <w:color w:val="auto"/>
                      <w:sz w:val="21"/>
                      <w:szCs w:val="21"/>
                      <w:lang w:val="en-US" w:eastAsia="zh-CN"/>
                    </w:rPr>
                    <w:t>1296</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lang w:val="en-US" w:eastAsia="zh-CN"/>
                    </w:rPr>
                    <w:t>建设</w:t>
                  </w:r>
                  <w:r>
                    <w:rPr>
                      <w:rFonts w:hint="eastAsia" w:ascii="Times New Roman" w:hAnsi="Times New Roman" w:eastAsia="宋体" w:cs="Times New Roman"/>
                      <w:color w:val="auto"/>
                      <w:sz w:val="21"/>
                      <w:szCs w:val="21"/>
                      <w:lang w:val="en-US" w:eastAsia="zh-CN"/>
                    </w:rPr>
                    <w:t>可湿性粉剂生产线，内设混料罐、气流粉碎机等</w:t>
                  </w:r>
                </w:p>
              </w:tc>
              <w:tc>
                <w:tcPr>
                  <w:tcW w:w="835" w:type="dxa"/>
                  <w:vMerge w:val="restart"/>
                  <w:vAlign w:val="center"/>
                </w:tcPr>
                <w:p w14:paraId="7DA4994E">
                  <w:pPr>
                    <w:pStyle w:val="42"/>
                    <w:kinsoku w:val="0"/>
                    <w:wordWrap w:val="0"/>
                    <w:jc w:val="center"/>
                    <w:rPr>
                      <w:color w:val="auto"/>
                      <w:sz w:val="21"/>
                      <w:szCs w:val="21"/>
                    </w:rPr>
                  </w:pPr>
                  <w:r>
                    <w:rPr>
                      <w:color w:val="auto"/>
                      <w:sz w:val="21"/>
                      <w:szCs w:val="21"/>
                    </w:rPr>
                    <w:t>施工废水、施工扬尘等</w:t>
                  </w:r>
                </w:p>
              </w:tc>
              <w:tc>
                <w:tcPr>
                  <w:tcW w:w="830" w:type="dxa"/>
                  <w:vMerge w:val="restart"/>
                  <w:vAlign w:val="center"/>
                </w:tcPr>
                <w:p w14:paraId="7CE60190">
                  <w:pPr>
                    <w:pStyle w:val="42"/>
                    <w:jc w:val="center"/>
                    <w:rPr>
                      <w:rFonts w:hint="eastAsia" w:eastAsia="宋体"/>
                      <w:color w:val="auto"/>
                      <w:sz w:val="21"/>
                      <w:szCs w:val="21"/>
                      <w:lang w:val="en-US" w:eastAsia="zh-CN"/>
                    </w:rPr>
                  </w:pPr>
                  <w:r>
                    <w:rPr>
                      <w:color w:val="auto"/>
                      <w:sz w:val="21"/>
                      <w:szCs w:val="21"/>
                    </w:rPr>
                    <w:t>恶臭、粉尘、固废</w:t>
                  </w:r>
                  <w:r>
                    <w:rPr>
                      <w:rFonts w:hint="eastAsia"/>
                      <w:color w:val="auto"/>
                      <w:sz w:val="21"/>
                      <w:szCs w:val="21"/>
                      <w:lang w:val="en-US" w:eastAsia="zh-CN"/>
                    </w:rPr>
                    <w:t>等</w:t>
                  </w:r>
                </w:p>
              </w:tc>
            </w:tr>
            <w:tr w14:paraId="2666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740A92BE">
                  <w:pPr>
                    <w:pStyle w:val="42"/>
                    <w:jc w:val="center"/>
                    <w:rPr>
                      <w:color w:val="auto"/>
                      <w:sz w:val="21"/>
                      <w:szCs w:val="21"/>
                    </w:rPr>
                  </w:pPr>
                </w:p>
              </w:tc>
              <w:tc>
                <w:tcPr>
                  <w:tcW w:w="1115" w:type="dxa"/>
                  <w:vMerge w:val="continue"/>
                  <w:vAlign w:val="center"/>
                </w:tcPr>
                <w:p w14:paraId="21718D86">
                  <w:pPr>
                    <w:pStyle w:val="42"/>
                    <w:jc w:val="center"/>
                    <w:rPr>
                      <w:color w:val="auto"/>
                      <w:sz w:val="21"/>
                      <w:szCs w:val="21"/>
                    </w:rPr>
                  </w:pPr>
                </w:p>
              </w:tc>
              <w:tc>
                <w:tcPr>
                  <w:tcW w:w="5100" w:type="dxa"/>
                  <w:vAlign w:val="center"/>
                </w:tcPr>
                <w:p w14:paraId="2F64052E">
                  <w:pPr>
                    <w:pStyle w:val="42"/>
                    <w:adjustRightInd w:val="0"/>
                    <w:jc w:val="left"/>
                    <w:rPr>
                      <w:color w:val="auto"/>
                      <w:sz w:val="21"/>
                      <w:szCs w:val="21"/>
                    </w:rPr>
                  </w:pPr>
                  <w:r>
                    <w:rPr>
                      <w:color w:val="auto"/>
                      <w:sz w:val="21"/>
                      <w:szCs w:val="21"/>
                    </w:rPr>
                    <w:t>新建生产车间</w:t>
                  </w:r>
                  <w:r>
                    <w:rPr>
                      <w:rFonts w:hint="eastAsia"/>
                      <w:color w:val="auto"/>
                      <w:sz w:val="21"/>
                      <w:szCs w:val="21"/>
                      <w:lang w:val="en-US" w:eastAsia="zh-CN"/>
                    </w:rPr>
                    <w:t>2</w:t>
                  </w:r>
                  <w:r>
                    <w:rPr>
                      <w:color w:val="auto"/>
                      <w:sz w:val="21"/>
                      <w:szCs w:val="21"/>
                    </w:rPr>
                    <w:t>#，占地面积</w:t>
                  </w:r>
                  <w:r>
                    <w:rPr>
                      <w:rFonts w:hint="eastAsia"/>
                      <w:color w:val="auto"/>
                      <w:sz w:val="21"/>
                      <w:szCs w:val="21"/>
                      <w:lang w:val="en-US" w:eastAsia="zh-CN"/>
                    </w:rPr>
                    <w:t>1296</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lang w:val="en-US" w:eastAsia="zh-CN"/>
                    </w:rPr>
                    <w:t>建设悬浮剂</w:t>
                  </w:r>
                  <w:r>
                    <w:rPr>
                      <w:rFonts w:hint="eastAsia" w:ascii="Times New Roman" w:hAnsi="Times New Roman" w:eastAsia="宋体" w:cs="Times New Roman"/>
                      <w:color w:val="auto"/>
                      <w:sz w:val="21"/>
                      <w:szCs w:val="21"/>
                      <w:lang w:val="en-US" w:eastAsia="zh-CN"/>
                    </w:rPr>
                    <w:t>生产线，内设配置釜、计量罐、剪切机等</w:t>
                  </w:r>
                </w:p>
              </w:tc>
              <w:tc>
                <w:tcPr>
                  <w:tcW w:w="835" w:type="dxa"/>
                  <w:vMerge w:val="continue"/>
                  <w:vAlign w:val="center"/>
                </w:tcPr>
                <w:p w14:paraId="2CDCC205">
                  <w:pPr>
                    <w:pStyle w:val="42"/>
                    <w:kinsoku w:val="0"/>
                    <w:wordWrap w:val="0"/>
                    <w:jc w:val="center"/>
                    <w:rPr>
                      <w:color w:val="auto"/>
                      <w:sz w:val="21"/>
                      <w:szCs w:val="21"/>
                    </w:rPr>
                  </w:pPr>
                </w:p>
              </w:tc>
              <w:tc>
                <w:tcPr>
                  <w:tcW w:w="830" w:type="dxa"/>
                  <w:vMerge w:val="continue"/>
                  <w:vAlign w:val="center"/>
                </w:tcPr>
                <w:p w14:paraId="7CC74267">
                  <w:pPr>
                    <w:pStyle w:val="42"/>
                    <w:jc w:val="center"/>
                    <w:rPr>
                      <w:color w:val="auto"/>
                      <w:sz w:val="21"/>
                      <w:szCs w:val="21"/>
                    </w:rPr>
                  </w:pPr>
                </w:p>
              </w:tc>
            </w:tr>
            <w:tr w14:paraId="6C4D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7672B980">
                  <w:pPr>
                    <w:pStyle w:val="42"/>
                    <w:jc w:val="center"/>
                    <w:rPr>
                      <w:color w:val="auto"/>
                      <w:sz w:val="21"/>
                      <w:szCs w:val="21"/>
                    </w:rPr>
                  </w:pPr>
                </w:p>
              </w:tc>
              <w:tc>
                <w:tcPr>
                  <w:tcW w:w="1115" w:type="dxa"/>
                  <w:vMerge w:val="continue"/>
                  <w:vAlign w:val="center"/>
                </w:tcPr>
                <w:p w14:paraId="65F20D73">
                  <w:pPr>
                    <w:pStyle w:val="42"/>
                    <w:jc w:val="center"/>
                    <w:rPr>
                      <w:color w:val="auto"/>
                      <w:sz w:val="21"/>
                      <w:szCs w:val="21"/>
                    </w:rPr>
                  </w:pPr>
                </w:p>
              </w:tc>
              <w:tc>
                <w:tcPr>
                  <w:tcW w:w="5100" w:type="dxa"/>
                  <w:vAlign w:val="center"/>
                </w:tcPr>
                <w:p w14:paraId="2799DE17">
                  <w:pPr>
                    <w:pStyle w:val="42"/>
                    <w:adjustRightInd w:val="0"/>
                    <w:jc w:val="left"/>
                    <w:rPr>
                      <w:color w:val="auto"/>
                      <w:sz w:val="21"/>
                      <w:szCs w:val="21"/>
                    </w:rPr>
                  </w:pPr>
                  <w:r>
                    <w:rPr>
                      <w:color w:val="auto"/>
                      <w:sz w:val="21"/>
                      <w:szCs w:val="21"/>
                    </w:rPr>
                    <w:t>新建生产车间</w:t>
                  </w:r>
                  <w:r>
                    <w:rPr>
                      <w:rFonts w:hint="eastAsia"/>
                      <w:color w:val="auto"/>
                      <w:sz w:val="21"/>
                      <w:szCs w:val="21"/>
                      <w:lang w:val="en-US" w:eastAsia="zh-CN"/>
                    </w:rPr>
                    <w:t>3</w:t>
                  </w:r>
                  <w:r>
                    <w:rPr>
                      <w:color w:val="auto"/>
                      <w:sz w:val="21"/>
                      <w:szCs w:val="21"/>
                    </w:rPr>
                    <w:t>#，占地面积</w:t>
                  </w:r>
                  <w:r>
                    <w:rPr>
                      <w:rFonts w:hint="eastAsia"/>
                      <w:color w:val="auto"/>
                      <w:sz w:val="21"/>
                      <w:szCs w:val="21"/>
                      <w:lang w:val="en-US" w:eastAsia="zh-CN"/>
                    </w:rPr>
                    <w:t>1296</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lang w:val="en-US" w:eastAsia="zh-CN"/>
                    </w:rPr>
                    <w:t>建设水乳剂生产线</w:t>
                  </w:r>
                  <w:r>
                    <w:rPr>
                      <w:rFonts w:hint="eastAsia" w:ascii="Times New Roman" w:hAnsi="Times New Roman" w:eastAsia="宋体" w:cs="Times New Roman"/>
                      <w:color w:val="auto"/>
                      <w:sz w:val="21"/>
                      <w:szCs w:val="21"/>
                      <w:lang w:val="en-US" w:eastAsia="zh-CN"/>
                    </w:rPr>
                    <w:t>，内设搅拌机、灌装机等</w:t>
                  </w:r>
                </w:p>
              </w:tc>
              <w:tc>
                <w:tcPr>
                  <w:tcW w:w="835" w:type="dxa"/>
                  <w:vMerge w:val="continue"/>
                  <w:vAlign w:val="center"/>
                </w:tcPr>
                <w:p w14:paraId="77757038">
                  <w:pPr>
                    <w:pStyle w:val="42"/>
                    <w:kinsoku w:val="0"/>
                    <w:wordWrap w:val="0"/>
                    <w:jc w:val="center"/>
                    <w:rPr>
                      <w:color w:val="auto"/>
                      <w:sz w:val="21"/>
                      <w:szCs w:val="21"/>
                    </w:rPr>
                  </w:pPr>
                </w:p>
              </w:tc>
              <w:tc>
                <w:tcPr>
                  <w:tcW w:w="830" w:type="dxa"/>
                  <w:vMerge w:val="continue"/>
                  <w:vAlign w:val="center"/>
                </w:tcPr>
                <w:p w14:paraId="5564E9FA">
                  <w:pPr>
                    <w:pStyle w:val="42"/>
                    <w:jc w:val="center"/>
                    <w:rPr>
                      <w:color w:val="auto"/>
                      <w:sz w:val="21"/>
                      <w:szCs w:val="21"/>
                    </w:rPr>
                  </w:pPr>
                </w:p>
              </w:tc>
            </w:tr>
            <w:tr w14:paraId="7E3B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1A97077C">
                  <w:pPr>
                    <w:pStyle w:val="42"/>
                    <w:jc w:val="center"/>
                    <w:rPr>
                      <w:color w:val="auto"/>
                      <w:sz w:val="21"/>
                      <w:szCs w:val="21"/>
                    </w:rPr>
                  </w:pPr>
                </w:p>
              </w:tc>
              <w:tc>
                <w:tcPr>
                  <w:tcW w:w="1115" w:type="dxa"/>
                  <w:vMerge w:val="continue"/>
                  <w:vAlign w:val="center"/>
                </w:tcPr>
                <w:p w14:paraId="37B9BB41">
                  <w:pPr>
                    <w:pStyle w:val="42"/>
                    <w:jc w:val="center"/>
                    <w:rPr>
                      <w:color w:val="auto"/>
                      <w:sz w:val="21"/>
                      <w:szCs w:val="21"/>
                    </w:rPr>
                  </w:pPr>
                </w:p>
              </w:tc>
              <w:tc>
                <w:tcPr>
                  <w:tcW w:w="5100" w:type="dxa"/>
                  <w:vAlign w:val="center"/>
                </w:tcPr>
                <w:p w14:paraId="5DE1E9F7">
                  <w:pPr>
                    <w:pStyle w:val="42"/>
                    <w:adjustRightInd w:val="0"/>
                    <w:jc w:val="left"/>
                    <w:rPr>
                      <w:color w:val="auto"/>
                      <w:sz w:val="21"/>
                      <w:szCs w:val="21"/>
                    </w:rPr>
                  </w:pPr>
                  <w:r>
                    <w:rPr>
                      <w:color w:val="auto"/>
                      <w:sz w:val="21"/>
                      <w:szCs w:val="21"/>
                    </w:rPr>
                    <w:t>新建生产车间</w:t>
                  </w:r>
                  <w:r>
                    <w:rPr>
                      <w:rFonts w:hint="eastAsia"/>
                      <w:color w:val="auto"/>
                      <w:sz w:val="21"/>
                      <w:szCs w:val="21"/>
                      <w:lang w:val="en-US" w:eastAsia="zh-CN"/>
                    </w:rPr>
                    <w:t>4</w:t>
                  </w:r>
                  <w:r>
                    <w:rPr>
                      <w:color w:val="auto"/>
                      <w:sz w:val="21"/>
                      <w:szCs w:val="21"/>
                    </w:rPr>
                    <w:t>#，占地面积</w:t>
                  </w:r>
                  <w:r>
                    <w:rPr>
                      <w:rFonts w:hint="eastAsia"/>
                      <w:color w:val="auto"/>
                      <w:sz w:val="21"/>
                      <w:szCs w:val="21"/>
                      <w:lang w:val="en-US" w:eastAsia="zh-CN"/>
                    </w:rPr>
                    <w:t>1296</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lang w:val="en-US" w:eastAsia="zh-CN"/>
                    </w:rPr>
                    <w:t>建设</w:t>
                  </w:r>
                  <w:r>
                    <w:rPr>
                      <w:rFonts w:hint="eastAsia" w:ascii="Times New Roman" w:hAnsi="Times New Roman" w:eastAsia="宋体" w:cs="Times New Roman"/>
                      <w:color w:val="auto"/>
                      <w:sz w:val="21"/>
                      <w:szCs w:val="21"/>
                      <w:lang w:val="en-US" w:eastAsia="zh-CN"/>
                    </w:rPr>
                    <w:t>水剂生产线，内设搅拌机、封口机等</w:t>
                  </w:r>
                </w:p>
              </w:tc>
              <w:tc>
                <w:tcPr>
                  <w:tcW w:w="835" w:type="dxa"/>
                  <w:vMerge w:val="continue"/>
                  <w:vAlign w:val="center"/>
                </w:tcPr>
                <w:p w14:paraId="3A4DA1BA">
                  <w:pPr>
                    <w:pStyle w:val="42"/>
                    <w:kinsoku w:val="0"/>
                    <w:wordWrap w:val="0"/>
                    <w:jc w:val="center"/>
                    <w:rPr>
                      <w:color w:val="auto"/>
                      <w:sz w:val="21"/>
                      <w:szCs w:val="21"/>
                    </w:rPr>
                  </w:pPr>
                </w:p>
              </w:tc>
              <w:tc>
                <w:tcPr>
                  <w:tcW w:w="830" w:type="dxa"/>
                  <w:vMerge w:val="continue"/>
                  <w:vAlign w:val="center"/>
                </w:tcPr>
                <w:p w14:paraId="77EA207C">
                  <w:pPr>
                    <w:pStyle w:val="42"/>
                    <w:jc w:val="center"/>
                    <w:rPr>
                      <w:color w:val="auto"/>
                      <w:sz w:val="21"/>
                      <w:szCs w:val="21"/>
                    </w:rPr>
                  </w:pPr>
                </w:p>
              </w:tc>
            </w:tr>
            <w:tr w14:paraId="3CB2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restart"/>
                  <w:vAlign w:val="center"/>
                </w:tcPr>
                <w:p w14:paraId="7FBA763D">
                  <w:pPr>
                    <w:pStyle w:val="42"/>
                    <w:jc w:val="center"/>
                    <w:rPr>
                      <w:color w:val="auto"/>
                      <w:sz w:val="21"/>
                      <w:szCs w:val="21"/>
                    </w:rPr>
                  </w:pPr>
                  <w:r>
                    <w:rPr>
                      <w:color w:val="auto"/>
                      <w:sz w:val="21"/>
                      <w:szCs w:val="21"/>
                    </w:rPr>
                    <w:t>公辅工程</w:t>
                  </w:r>
                </w:p>
              </w:tc>
              <w:tc>
                <w:tcPr>
                  <w:tcW w:w="1115" w:type="dxa"/>
                  <w:vAlign w:val="center"/>
                </w:tcPr>
                <w:p w14:paraId="5C07E93D">
                  <w:pPr>
                    <w:pStyle w:val="42"/>
                    <w:jc w:val="center"/>
                    <w:rPr>
                      <w:rFonts w:hint="eastAsia" w:eastAsia="宋体"/>
                      <w:color w:val="auto"/>
                      <w:sz w:val="21"/>
                      <w:szCs w:val="21"/>
                      <w:lang w:val="en-US" w:eastAsia="zh-CN"/>
                    </w:rPr>
                  </w:pPr>
                  <w:r>
                    <w:rPr>
                      <w:color w:val="auto"/>
                      <w:sz w:val="21"/>
                      <w:szCs w:val="21"/>
                    </w:rPr>
                    <w:t>配电</w:t>
                  </w:r>
                  <w:r>
                    <w:rPr>
                      <w:rFonts w:hint="eastAsia"/>
                      <w:color w:val="auto"/>
                      <w:sz w:val="21"/>
                      <w:szCs w:val="21"/>
                      <w:lang w:val="en-US" w:eastAsia="zh-CN"/>
                    </w:rPr>
                    <w:t>室</w:t>
                  </w:r>
                </w:p>
              </w:tc>
              <w:tc>
                <w:tcPr>
                  <w:tcW w:w="5100" w:type="dxa"/>
                  <w:vAlign w:val="center"/>
                </w:tcPr>
                <w:p w14:paraId="5B18A139">
                  <w:pPr>
                    <w:pStyle w:val="42"/>
                    <w:jc w:val="left"/>
                    <w:rPr>
                      <w:color w:val="auto"/>
                      <w:sz w:val="21"/>
                      <w:szCs w:val="21"/>
                    </w:rPr>
                  </w:pPr>
                  <w:r>
                    <w:rPr>
                      <w:rFonts w:hint="eastAsia"/>
                      <w:color w:val="auto"/>
                      <w:sz w:val="21"/>
                      <w:szCs w:val="21"/>
                      <w:lang w:val="en-US" w:eastAsia="zh-CN"/>
                    </w:rPr>
                    <w:t>位于</w:t>
                  </w:r>
                  <w:r>
                    <w:rPr>
                      <w:color w:val="auto"/>
                      <w:sz w:val="21"/>
                      <w:szCs w:val="21"/>
                    </w:rPr>
                    <w:t>厂区</w:t>
                  </w:r>
                  <w:r>
                    <w:rPr>
                      <w:rFonts w:hint="eastAsia"/>
                      <w:color w:val="auto"/>
                      <w:sz w:val="21"/>
                      <w:szCs w:val="21"/>
                      <w:lang w:val="en-US" w:eastAsia="zh-CN"/>
                    </w:rPr>
                    <w:t>西侧</w:t>
                  </w:r>
                  <w:r>
                    <w:rPr>
                      <w:color w:val="auto"/>
                      <w:sz w:val="21"/>
                      <w:szCs w:val="21"/>
                    </w:rPr>
                    <w:t>，</w:t>
                  </w:r>
                  <w:r>
                    <w:rPr>
                      <w:rFonts w:hint="eastAsia"/>
                      <w:color w:val="auto"/>
                      <w:sz w:val="21"/>
                      <w:szCs w:val="21"/>
                      <w:lang w:val="en-US" w:eastAsia="zh-CN"/>
                    </w:rPr>
                    <w:t>辅助工房内，</w:t>
                  </w:r>
                  <w:r>
                    <w:rPr>
                      <w:color w:val="auto"/>
                      <w:sz w:val="21"/>
                      <w:szCs w:val="21"/>
                    </w:rPr>
                    <w:t>占地面积</w:t>
                  </w:r>
                  <w:r>
                    <w:rPr>
                      <w:rFonts w:hint="eastAsia"/>
                      <w:color w:val="auto"/>
                      <w:sz w:val="21"/>
                      <w:szCs w:val="21"/>
                      <w:lang w:val="en-US" w:eastAsia="zh-CN"/>
                    </w:rPr>
                    <w:t>160</w:t>
                  </w:r>
                  <w:r>
                    <w:rPr>
                      <w:color w:val="auto"/>
                      <w:sz w:val="21"/>
                      <w:szCs w:val="21"/>
                    </w:rPr>
                    <w:t>m</w:t>
                  </w:r>
                  <w:r>
                    <w:rPr>
                      <w:color w:val="auto"/>
                      <w:sz w:val="21"/>
                      <w:szCs w:val="21"/>
                      <w:vertAlign w:val="superscript"/>
                    </w:rPr>
                    <w:t>2</w:t>
                  </w:r>
                  <w:r>
                    <w:rPr>
                      <w:color w:val="auto"/>
                      <w:sz w:val="21"/>
                      <w:szCs w:val="21"/>
                    </w:rPr>
                    <w:t>。</w:t>
                  </w:r>
                </w:p>
              </w:tc>
              <w:tc>
                <w:tcPr>
                  <w:tcW w:w="835" w:type="dxa"/>
                  <w:vMerge w:val="continue"/>
                  <w:vAlign w:val="center"/>
                </w:tcPr>
                <w:p w14:paraId="5396585A">
                  <w:pPr>
                    <w:pStyle w:val="42"/>
                    <w:jc w:val="center"/>
                    <w:rPr>
                      <w:color w:val="auto"/>
                      <w:sz w:val="21"/>
                      <w:szCs w:val="21"/>
                    </w:rPr>
                  </w:pPr>
                </w:p>
              </w:tc>
              <w:tc>
                <w:tcPr>
                  <w:tcW w:w="830" w:type="dxa"/>
                  <w:vAlign w:val="center"/>
                </w:tcPr>
                <w:p w14:paraId="47EB0F3F">
                  <w:pPr>
                    <w:pStyle w:val="42"/>
                    <w:jc w:val="center"/>
                    <w:rPr>
                      <w:color w:val="auto"/>
                      <w:sz w:val="21"/>
                      <w:szCs w:val="21"/>
                    </w:rPr>
                  </w:pPr>
                  <w:r>
                    <w:rPr>
                      <w:color w:val="auto"/>
                      <w:sz w:val="21"/>
                      <w:szCs w:val="21"/>
                    </w:rPr>
                    <w:t>/</w:t>
                  </w:r>
                </w:p>
              </w:tc>
            </w:tr>
            <w:tr w14:paraId="482C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03849E1B">
                  <w:pPr>
                    <w:pStyle w:val="42"/>
                    <w:jc w:val="center"/>
                    <w:rPr>
                      <w:color w:val="auto"/>
                      <w:sz w:val="21"/>
                      <w:szCs w:val="21"/>
                    </w:rPr>
                  </w:pPr>
                </w:p>
              </w:tc>
              <w:tc>
                <w:tcPr>
                  <w:tcW w:w="1115" w:type="dxa"/>
                  <w:vAlign w:val="center"/>
                </w:tcPr>
                <w:p w14:paraId="1768B613">
                  <w:pPr>
                    <w:pStyle w:val="42"/>
                    <w:jc w:val="center"/>
                    <w:rPr>
                      <w:color w:val="auto"/>
                      <w:sz w:val="21"/>
                      <w:szCs w:val="21"/>
                    </w:rPr>
                  </w:pPr>
                  <w:r>
                    <w:rPr>
                      <w:rFonts w:hint="eastAsia"/>
                      <w:color w:val="auto"/>
                      <w:sz w:val="21"/>
                      <w:szCs w:val="21"/>
                    </w:rPr>
                    <w:t>办公区域</w:t>
                  </w:r>
                </w:p>
              </w:tc>
              <w:tc>
                <w:tcPr>
                  <w:tcW w:w="5100" w:type="dxa"/>
                  <w:vAlign w:val="center"/>
                </w:tcPr>
                <w:p w14:paraId="5F2365D5">
                  <w:pPr>
                    <w:pStyle w:val="42"/>
                    <w:jc w:val="left"/>
                    <w:rPr>
                      <w:rFonts w:hint="default"/>
                      <w:color w:val="auto"/>
                      <w:sz w:val="21"/>
                      <w:szCs w:val="21"/>
                      <w:lang w:val="en-US" w:eastAsia="zh-CN"/>
                    </w:rPr>
                  </w:pPr>
                  <w:r>
                    <w:rPr>
                      <w:rFonts w:hint="eastAsia"/>
                      <w:color w:val="auto"/>
                      <w:sz w:val="21"/>
                      <w:szCs w:val="21"/>
                      <w:lang w:val="en-US" w:eastAsia="zh-CN"/>
                    </w:rPr>
                    <w:t>位于</w:t>
                  </w:r>
                  <w:r>
                    <w:rPr>
                      <w:color w:val="auto"/>
                      <w:sz w:val="21"/>
                      <w:szCs w:val="21"/>
                    </w:rPr>
                    <w:t>厂区的</w:t>
                  </w:r>
                  <w:r>
                    <w:rPr>
                      <w:rFonts w:hint="eastAsia"/>
                      <w:color w:val="auto"/>
                      <w:sz w:val="21"/>
                      <w:szCs w:val="21"/>
                      <w:lang w:val="en-US" w:eastAsia="zh-CN"/>
                    </w:rPr>
                    <w:t>东南侧，3F</w:t>
                  </w:r>
                  <w:r>
                    <w:rPr>
                      <w:color w:val="auto"/>
                      <w:sz w:val="21"/>
                      <w:szCs w:val="21"/>
                    </w:rPr>
                    <w:t>，</w:t>
                  </w:r>
                  <w:r>
                    <w:rPr>
                      <w:rFonts w:hint="eastAsia"/>
                      <w:color w:val="auto"/>
                      <w:sz w:val="21"/>
                      <w:szCs w:val="21"/>
                      <w:lang w:val="en-US" w:eastAsia="zh-CN"/>
                    </w:rPr>
                    <w:t>砖混</w:t>
                  </w:r>
                  <w:r>
                    <w:rPr>
                      <w:color w:val="auto"/>
                      <w:sz w:val="21"/>
                      <w:szCs w:val="21"/>
                    </w:rPr>
                    <w:t>结构，</w:t>
                  </w:r>
                  <w:r>
                    <w:rPr>
                      <w:rFonts w:hint="eastAsia"/>
                      <w:color w:val="auto"/>
                      <w:sz w:val="21"/>
                      <w:szCs w:val="21"/>
                      <w:lang w:val="en-US" w:eastAsia="zh-CN"/>
                    </w:rPr>
                    <w:t>内设办公、食堂、住宿以及检验室，总占地864m</w:t>
                  </w:r>
                  <w:r>
                    <w:rPr>
                      <w:rFonts w:hint="eastAsia"/>
                      <w:color w:val="auto"/>
                      <w:sz w:val="21"/>
                      <w:szCs w:val="21"/>
                      <w:vertAlign w:val="superscript"/>
                      <w:lang w:val="en-US" w:eastAsia="zh-CN"/>
                    </w:rPr>
                    <w:t>2</w:t>
                  </w:r>
                </w:p>
              </w:tc>
              <w:tc>
                <w:tcPr>
                  <w:tcW w:w="835" w:type="dxa"/>
                  <w:vMerge w:val="continue"/>
                  <w:vAlign w:val="center"/>
                </w:tcPr>
                <w:p w14:paraId="34F15C4F">
                  <w:pPr>
                    <w:pStyle w:val="42"/>
                    <w:jc w:val="center"/>
                    <w:rPr>
                      <w:color w:val="auto"/>
                      <w:sz w:val="21"/>
                      <w:szCs w:val="21"/>
                    </w:rPr>
                  </w:pPr>
                </w:p>
              </w:tc>
              <w:tc>
                <w:tcPr>
                  <w:tcW w:w="830" w:type="dxa"/>
                  <w:vAlign w:val="center"/>
                </w:tcPr>
                <w:p w14:paraId="760F0592">
                  <w:pPr>
                    <w:pStyle w:val="42"/>
                    <w:jc w:val="center"/>
                    <w:rPr>
                      <w:rFonts w:hint="eastAsia" w:eastAsia="宋体"/>
                      <w:color w:val="auto"/>
                      <w:sz w:val="21"/>
                      <w:szCs w:val="21"/>
                      <w:lang w:val="en-US" w:eastAsia="zh-CN"/>
                    </w:rPr>
                  </w:pPr>
                  <w:r>
                    <w:rPr>
                      <w:color w:val="auto"/>
                      <w:sz w:val="21"/>
                      <w:szCs w:val="21"/>
                    </w:rPr>
                    <w:t>生活废水</w:t>
                  </w:r>
                  <w:r>
                    <w:rPr>
                      <w:rFonts w:hint="eastAsia"/>
                      <w:color w:val="auto"/>
                      <w:sz w:val="21"/>
                      <w:szCs w:val="21"/>
                      <w:lang w:val="en-US" w:eastAsia="zh-CN"/>
                    </w:rPr>
                    <w:t>等</w:t>
                  </w:r>
                </w:p>
              </w:tc>
            </w:tr>
            <w:tr w14:paraId="01EA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406AFC88">
                  <w:pPr>
                    <w:pStyle w:val="42"/>
                    <w:jc w:val="center"/>
                    <w:rPr>
                      <w:color w:val="auto"/>
                      <w:sz w:val="21"/>
                      <w:szCs w:val="21"/>
                    </w:rPr>
                  </w:pPr>
                </w:p>
              </w:tc>
              <w:tc>
                <w:tcPr>
                  <w:tcW w:w="1115" w:type="dxa"/>
                  <w:vAlign w:val="center"/>
                </w:tcPr>
                <w:p w14:paraId="1FBCEFCB">
                  <w:pPr>
                    <w:pStyle w:val="42"/>
                    <w:jc w:val="center"/>
                    <w:rPr>
                      <w:color w:val="auto"/>
                      <w:sz w:val="21"/>
                      <w:szCs w:val="21"/>
                    </w:rPr>
                  </w:pPr>
                  <w:r>
                    <w:rPr>
                      <w:color w:val="auto"/>
                      <w:sz w:val="21"/>
                      <w:szCs w:val="21"/>
                    </w:rPr>
                    <w:t>门卫</w:t>
                  </w:r>
                </w:p>
              </w:tc>
              <w:tc>
                <w:tcPr>
                  <w:tcW w:w="5100" w:type="dxa"/>
                  <w:vAlign w:val="center"/>
                </w:tcPr>
                <w:p w14:paraId="254FC041">
                  <w:pPr>
                    <w:pStyle w:val="42"/>
                    <w:jc w:val="left"/>
                    <w:rPr>
                      <w:color w:val="auto"/>
                      <w:sz w:val="21"/>
                      <w:szCs w:val="21"/>
                    </w:rPr>
                  </w:pPr>
                  <w:r>
                    <w:rPr>
                      <w:color w:val="auto"/>
                      <w:sz w:val="21"/>
                      <w:szCs w:val="21"/>
                    </w:rPr>
                    <w:t>位于厂区</w:t>
                  </w:r>
                  <w:r>
                    <w:rPr>
                      <w:rFonts w:hint="eastAsia"/>
                      <w:color w:val="auto"/>
                      <w:sz w:val="21"/>
                      <w:szCs w:val="21"/>
                      <w:lang w:val="en-US" w:eastAsia="zh-CN"/>
                    </w:rPr>
                    <w:t>南</w:t>
                  </w:r>
                  <w:r>
                    <w:rPr>
                      <w:color w:val="auto"/>
                      <w:sz w:val="21"/>
                      <w:szCs w:val="21"/>
                    </w:rPr>
                    <w:t>侧，入口建筑面积</w:t>
                  </w:r>
                  <w:r>
                    <w:rPr>
                      <w:rFonts w:hint="eastAsia"/>
                      <w:color w:val="auto"/>
                      <w:sz w:val="21"/>
                      <w:szCs w:val="21"/>
                      <w:lang w:val="en-US" w:eastAsia="zh-CN"/>
                    </w:rPr>
                    <w:t>120</w:t>
                  </w:r>
                  <w:r>
                    <w:rPr>
                      <w:color w:val="auto"/>
                      <w:sz w:val="21"/>
                      <w:szCs w:val="21"/>
                    </w:rPr>
                    <w:t>m</w:t>
                  </w:r>
                  <w:r>
                    <w:rPr>
                      <w:color w:val="auto"/>
                      <w:sz w:val="21"/>
                      <w:szCs w:val="21"/>
                      <w:vertAlign w:val="superscript"/>
                    </w:rPr>
                    <w:t>2</w:t>
                  </w:r>
                </w:p>
              </w:tc>
              <w:tc>
                <w:tcPr>
                  <w:tcW w:w="835" w:type="dxa"/>
                  <w:vMerge w:val="continue"/>
                  <w:vAlign w:val="center"/>
                </w:tcPr>
                <w:p w14:paraId="6AF32878">
                  <w:pPr>
                    <w:pStyle w:val="42"/>
                    <w:jc w:val="center"/>
                    <w:rPr>
                      <w:color w:val="auto"/>
                      <w:sz w:val="21"/>
                      <w:szCs w:val="21"/>
                    </w:rPr>
                  </w:pPr>
                </w:p>
              </w:tc>
              <w:tc>
                <w:tcPr>
                  <w:tcW w:w="830" w:type="dxa"/>
                  <w:vAlign w:val="center"/>
                </w:tcPr>
                <w:p w14:paraId="722EABAD">
                  <w:pPr>
                    <w:pStyle w:val="42"/>
                    <w:jc w:val="center"/>
                    <w:rPr>
                      <w:color w:val="auto"/>
                      <w:sz w:val="21"/>
                      <w:szCs w:val="21"/>
                    </w:rPr>
                  </w:pPr>
                  <w:r>
                    <w:rPr>
                      <w:color w:val="auto"/>
                      <w:sz w:val="21"/>
                      <w:szCs w:val="21"/>
                    </w:rPr>
                    <w:t>/</w:t>
                  </w:r>
                </w:p>
              </w:tc>
            </w:tr>
            <w:tr w14:paraId="3DE3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7F2DE3C8">
                  <w:pPr>
                    <w:pStyle w:val="42"/>
                    <w:jc w:val="center"/>
                    <w:rPr>
                      <w:color w:val="auto"/>
                      <w:sz w:val="21"/>
                      <w:szCs w:val="21"/>
                    </w:rPr>
                  </w:pPr>
                </w:p>
              </w:tc>
              <w:tc>
                <w:tcPr>
                  <w:tcW w:w="1115" w:type="dxa"/>
                  <w:vAlign w:val="center"/>
                </w:tcPr>
                <w:p w14:paraId="54ED088B">
                  <w:pPr>
                    <w:pStyle w:val="62"/>
                    <w:jc w:val="center"/>
                    <w:rPr>
                      <w:color w:val="auto"/>
                      <w:sz w:val="21"/>
                      <w:szCs w:val="21"/>
                    </w:rPr>
                  </w:pPr>
                  <w:r>
                    <w:rPr>
                      <w:color w:val="auto"/>
                      <w:sz w:val="21"/>
                      <w:szCs w:val="21"/>
                    </w:rPr>
                    <w:t>供电系统</w:t>
                  </w:r>
                </w:p>
              </w:tc>
              <w:tc>
                <w:tcPr>
                  <w:tcW w:w="5100" w:type="dxa"/>
                  <w:vAlign w:val="center"/>
                </w:tcPr>
                <w:p w14:paraId="7AEDDF89">
                  <w:pPr>
                    <w:pStyle w:val="42"/>
                    <w:jc w:val="left"/>
                    <w:rPr>
                      <w:color w:val="auto"/>
                      <w:sz w:val="21"/>
                      <w:szCs w:val="21"/>
                    </w:rPr>
                  </w:pPr>
                  <w:r>
                    <w:rPr>
                      <w:color w:val="auto"/>
                      <w:sz w:val="21"/>
                      <w:szCs w:val="21"/>
                    </w:rPr>
                    <w:t>依托区域供电网，本项目区域内设置配电室</w:t>
                  </w:r>
                </w:p>
              </w:tc>
              <w:tc>
                <w:tcPr>
                  <w:tcW w:w="835" w:type="dxa"/>
                  <w:vMerge w:val="continue"/>
                  <w:vAlign w:val="center"/>
                </w:tcPr>
                <w:p w14:paraId="718B3AF7">
                  <w:pPr>
                    <w:pStyle w:val="42"/>
                    <w:jc w:val="center"/>
                    <w:rPr>
                      <w:color w:val="auto"/>
                      <w:sz w:val="21"/>
                      <w:szCs w:val="21"/>
                    </w:rPr>
                  </w:pPr>
                </w:p>
              </w:tc>
              <w:tc>
                <w:tcPr>
                  <w:tcW w:w="830" w:type="dxa"/>
                  <w:vAlign w:val="center"/>
                </w:tcPr>
                <w:p w14:paraId="54EE1814">
                  <w:pPr>
                    <w:pStyle w:val="42"/>
                    <w:jc w:val="center"/>
                    <w:rPr>
                      <w:color w:val="auto"/>
                      <w:sz w:val="21"/>
                      <w:szCs w:val="21"/>
                    </w:rPr>
                  </w:pPr>
                  <w:r>
                    <w:rPr>
                      <w:color w:val="auto"/>
                      <w:sz w:val="21"/>
                      <w:szCs w:val="21"/>
                    </w:rPr>
                    <w:t>/</w:t>
                  </w:r>
                </w:p>
              </w:tc>
            </w:tr>
            <w:tr w14:paraId="26EB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4199B973">
                  <w:pPr>
                    <w:pStyle w:val="42"/>
                    <w:jc w:val="center"/>
                    <w:rPr>
                      <w:color w:val="auto"/>
                      <w:sz w:val="21"/>
                      <w:szCs w:val="21"/>
                    </w:rPr>
                  </w:pPr>
                </w:p>
              </w:tc>
              <w:tc>
                <w:tcPr>
                  <w:tcW w:w="1115" w:type="dxa"/>
                  <w:vAlign w:val="center"/>
                </w:tcPr>
                <w:p w14:paraId="5C2632AF">
                  <w:pPr>
                    <w:pStyle w:val="62"/>
                    <w:jc w:val="center"/>
                    <w:rPr>
                      <w:color w:val="auto"/>
                      <w:sz w:val="21"/>
                      <w:szCs w:val="21"/>
                    </w:rPr>
                  </w:pPr>
                  <w:r>
                    <w:rPr>
                      <w:color w:val="auto"/>
                      <w:sz w:val="21"/>
                      <w:szCs w:val="21"/>
                    </w:rPr>
                    <w:t>供水系统</w:t>
                  </w:r>
                </w:p>
              </w:tc>
              <w:tc>
                <w:tcPr>
                  <w:tcW w:w="5100" w:type="dxa"/>
                  <w:vAlign w:val="center"/>
                </w:tcPr>
                <w:p w14:paraId="78737999">
                  <w:pPr>
                    <w:pStyle w:val="42"/>
                    <w:jc w:val="left"/>
                    <w:rPr>
                      <w:b w:val="0"/>
                      <w:bCs w:val="0"/>
                      <w:color w:val="auto"/>
                      <w:sz w:val="21"/>
                      <w:szCs w:val="21"/>
                    </w:rPr>
                  </w:pPr>
                  <w:r>
                    <w:rPr>
                      <w:b w:val="0"/>
                      <w:bCs w:val="0"/>
                      <w:color w:val="auto"/>
                      <w:sz w:val="21"/>
                      <w:szCs w:val="21"/>
                    </w:rPr>
                    <w:t>依托区域自来水供水管网</w:t>
                  </w:r>
                </w:p>
              </w:tc>
              <w:tc>
                <w:tcPr>
                  <w:tcW w:w="835" w:type="dxa"/>
                  <w:vMerge w:val="continue"/>
                  <w:vAlign w:val="center"/>
                </w:tcPr>
                <w:p w14:paraId="20B394C2">
                  <w:pPr>
                    <w:pStyle w:val="42"/>
                    <w:jc w:val="center"/>
                    <w:rPr>
                      <w:color w:val="auto"/>
                      <w:sz w:val="21"/>
                      <w:szCs w:val="21"/>
                    </w:rPr>
                  </w:pPr>
                </w:p>
              </w:tc>
              <w:tc>
                <w:tcPr>
                  <w:tcW w:w="830" w:type="dxa"/>
                  <w:vAlign w:val="center"/>
                </w:tcPr>
                <w:p w14:paraId="5F122ED2">
                  <w:pPr>
                    <w:pStyle w:val="42"/>
                    <w:jc w:val="center"/>
                    <w:rPr>
                      <w:color w:val="auto"/>
                      <w:sz w:val="21"/>
                      <w:szCs w:val="21"/>
                    </w:rPr>
                  </w:pPr>
                  <w:r>
                    <w:rPr>
                      <w:color w:val="auto"/>
                      <w:sz w:val="21"/>
                      <w:szCs w:val="21"/>
                    </w:rPr>
                    <w:t>/</w:t>
                  </w:r>
                </w:p>
              </w:tc>
            </w:tr>
            <w:tr w14:paraId="44A4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restart"/>
                  <w:vAlign w:val="center"/>
                </w:tcPr>
                <w:p w14:paraId="73786512">
                  <w:pPr>
                    <w:pStyle w:val="42"/>
                    <w:jc w:val="center"/>
                    <w:rPr>
                      <w:color w:val="auto"/>
                      <w:sz w:val="21"/>
                      <w:szCs w:val="21"/>
                    </w:rPr>
                  </w:pPr>
                  <w:r>
                    <w:rPr>
                      <w:color w:val="auto"/>
                      <w:sz w:val="21"/>
                      <w:szCs w:val="21"/>
                    </w:rPr>
                    <w:t>储运</w:t>
                  </w:r>
                </w:p>
              </w:tc>
              <w:tc>
                <w:tcPr>
                  <w:tcW w:w="1115" w:type="dxa"/>
                  <w:vAlign w:val="center"/>
                </w:tcPr>
                <w:p w14:paraId="4F91DAB8">
                  <w:pPr>
                    <w:pStyle w:val="42"/>
                    <w:jc w:val="center"/>
                    <w:rPr>
                      <w:color w:val="auto"/>
                      <w:sz w:val="21"/>
                      <w:szCs w:val="21"/>
                    </w:rPr>
                  </w:pPr>
                  <w:r>
                    <w:rPr>
                      <w:rFonts w:hint="eastAsia"/>
                      <w:color w:val="auto"/>
                      <w:sz w:val="21"/>
                      <w:szCs w:val="21"/>
                    </w:rPr>
                    <w:t>原料</w:t>
                  </w:r>
                  <w:r>
                    <w:rPr>
                      <w:color w:val="auto"/>
                      <w:sz w:val="21"/>
                      <w:szCs w:val="21"/>
                    </w:rPr>
                    <w:t>库</w:t>
                  </w:r>
                </w:p>
              </w:tc>
              <w:tc>
                <w:tcPr>
                  <w:tcW w:w="5100" w:type="dxa"/>
                  <w:vAlign w:val="center"/>
                </w:tcPr>
                <w:p w14:paraId="42D1B290">
                  <w:pPr>
                    <w:pStyle w:val="42"/>
                    <w:jc w:val="left"/>
                    <w:rPr>
                      <w:b w:val="0"/>
                      <w:bCs w:val="0"/>
                      <w:color w:val="auto"/>
                      <w:sz w:val="21"/>
                      <w:szCs w:val="21"/>
                    </w:rPr>
                  </w:pPr>
                  <w:r>
                    <w:rPr>
                      <w:rFonts w:hint="eastAsia"/>
                      <w:b w:val="0"/>
                      <w:bCs w:val="0"/>
                      <w:color w:val="auto"/>
                      <w:sz w:val="21"/>
                      <w:szCs w:val="21"/>
                      <w:lang w:val="en-US" w:eastAsia="zh-CN"/>
                    </w:rPr>
                    <w:t>位于厂区北侧，1个，占地1296m</w:t>
                  </w:r>
                  <w:r>
                    <w:rPr>
                      <w:rFonts w:hint="eastAsia"/>
                      <w:b w:val="0"/>
                      <w:bCs w:val="0"/>
                      <w:color w:val="auto"/>
                      <w:sz w:val="21"/>
                      <w:szCs w:val="21"/>
                      <w:vertAlign w:val="superscript"/>
                      <w:lang w:val="en-US" w:eastAsia="zh-CN"/>
                    </w:rPr>
                    <w:t>2</w:t>
                  </w:r>
                  <w:r>
                    <w:rPr>
                      <w:rFonts w:hint="eastAsia"/>
                      <w:b w:val="0"/>
                      <w:bCs w:val="0"/>
                      <w:color w:val="auto"/>
                      <w:sz w:val="21"/>
                      <w:szCs w:val="21"/>
                    </w:rPr>
                    <w:t>，全封闭</w:t>
                  </w:r>
                </w:p>
              </w:tc>
              <w:tc>
                <w:tcPr>
                  <w:tcW w:w="835" w:type="dxa"/>
                  <w:vMerge w:val="continue"/>
                  <w:vAlign w:val="center"/>
                </w:tcPr>
                <w:p w14:paraId="2E673991">
                  <w:pPr>
                    <w:pStyle w:val="42"/>
                    <w:jc w:val="center"/>
                    <w:rPr>
                      <w:color w:val="auto"/>
                      <w:sz w:val="21"/>
                      <w:szCs w:val="21"/>
                    </w:rPr>
                  </w:pPr>
                </w:p>
              </w:tc>
              <w:tc>
                <w:tcPr>
                  <w:tcW w:w="830" w:type="dxa"/>
                  <w:vAlign w:val="center"/>
                </w:tcPr>
                <w:p w14:paraId="49AB40CD">
                  <w:pPr>
                    <w:pStyle w:val="42"/>
                    <w:jc w:val="center"/>
                    <w:rPr>
                      <w:color w:val="auto"/>
                      <w:sz w:val="21"/>
                      <w:szCs w:val="21"/>
                    </w:rPr>
                  </w:pPr>
                  <w:r>
                    <w:rPr>
                      <w:color w:val="auto"/>
                      <w:sz w:val="21"/>
                      <w:szCs w:val="21"/>
                    </w:rPr>
                    <w:t>/</w:t>
                  </w:r>
                </w:p>
              </w:tc>
            </w:tr>
            <w:tr w14:paraId="1F21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6E9D8C8D">
                  <w:pPr>
                    <w:pStyle w:val="42"/>
                    <w:jc w:val="center"/>
                    <w:rPr>
                      <w:color w:val="auto"/>
                      <w:sz w:val="21"/>
                      <w:szCs w:val="21"/>
                    </w:rPr>
                  </w:pPr>
                </w:p>
              </w:tc>
              <w:tc>
                <w:tcPr>
                  <w:tcW w:w="1115" w:type="dxa"/>
                  <w:vAlign w:val="center"/>
                </w:tcPr>
                <w:p w14:paraId="28BA0E54">
                  <w:pPr>
                    <w:pStyle w:val="42"/>
                    <w:jc w:val="center"/>
                    <w:rPr>
                      <w:color w:val="auto"/>
                      <w:sz w:val="21"/>
                      <w:szCs w:val="21"/>
                    </w:rPr>
                  </w:pPr>
                  <w:r>
                    <w:rPr>
                      <w:color w:val="auto"/>
                      <w:sz w:val="21"/>
                      <w:szCs w:val="21"/>
                    </w:rPr>
                    <w:t>成品库</w:t>
                  </w:r>
                </w:p>
              </w:tc>
              <w:tc>
                <w:tcPr>
                  <w:tcW w:w="5100" w:type="dxa"/>
                  <w:vAlign w:val="center"/>
                </w:tcPr>
                <w:p w14:paraId="6A3B3445">
                  <w:pPr>
                    <w:pStyle w:val="42"/>
                    <w:jc w:val="left"/>
                    <w:rPr>
                      <w:b w:val="0"/>
                      <w:bCs w:val="0"/>
                      <w:color w:val="auto"/>
                      <w:sz w:val="21"/>
                      <w:szCs w:val="21"/>
                    </w:rPr>
                  </w:pPr>
                  <w:r>
                    <w:rPr>
                      <w:rFonts w:hint="eastAsia"/>
                      <w:b w:val="0"/>
                      <w:bCs w:val="0"/>
                      <w:color w:val="auto"/>
                      <w:sz w:val="21"/>
                      <w:szCs w:val="21"/>
                      <w:lang w:val="en-US" w:eastAsia="zh-CN"/>
                    </w:rPr>
                    <w:t>位于厂区北侧，2个，每个占地1296m</w:t>
                  </w:r>
                  <w:r>
                    <w:rPr>
                      <w:rFonts w:hint="eastAsia"/>
                      <w:b w:val="0"/>
                      <w:bCs w:val="0"/>
                      <w:color w:val="auto"/>
                      <w:sz w:val="21"/>
                      <w:szCs w:val="21"/>
                      <w:vertAlign w:val="superscript"/>
                      <w:lang w:val="en-US" w:eastAsia="zh-CN"/>
                    </w:rPr>
                    <w:t>2</w:t>
                  </w:r>
                  <w:r>
                    <w:rPr>
                      <w:rFonts w:hint="eastAsia"/>
                      <w:b w:val="0"/>
                      <w:bCs w:val="0"/>
                      <w:color w:val="auto"/>
                      <w:sz w:val="21"/>
                      <w:szCs w:val="21"/>
                    </w:rPr>
                    <w:t>，全封闭</w:t>
                  </w:r>
                </w:p>
              </w:tc>
              <w:tc>
                <w:tcPr>
                  <w:tcW w:w="835" w:type="dxa"/>
                  <w:vMerge w:val="continue"/>
                  <w:vAlign w:val="center"/>
                </w:tcPr>
                <w:p w14:paraId="009C73C4">
                  <w:pPr>
                    <w:pStyle w:val="42"/>
                    <w:jc w:val="center"/>
                    <w:rPr>
                      <w:color w:val="auto"/>
                      <w:sz w:val="21"/>
                      <w:szCs w:val="21"/>
                    </w:rPr>
                  </w:pPr>
                </w:p>
              </w:tc>
              <w:tc>
                <w:tcPr>
                  <w:tcW w:w="830" w:type="dxa"/>
                  <w:vAlign w:val="center"/>
                </w:tcPr>
                <w:p w14:paraId="1BF0B7D1">
                  <w:pPr>
                    <w:pStyle w:val="42"/>
                    <w:jc w:val="center"/>
                    <w:rPr>
                      <w:color w:val="auto"/>
                      <w:sz w:val="21"/>
                      <w:szCs w:val="21"/>
                    </w:rPr>
                  </w:pPr>
                  <w:r>
                    <w:rPr>
                      <w:color w:val="auto"/>
                      <w:sz w:val="21"/>
                      <w:szCs w:val="21"/>
                    </w:rPr>
                    <w:t>/</w:t>
                  </w:r>
                </w:p>
              </w:tc>
            </w:tr>
            <w:tr w14:paraId="0708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vMerge w:val="restart"/>
                  <w:vAlign w:val="center"/>
                </w:tcPr>
                <w:p w14:paraId="2942DEF4">
                  <w:pPr>
                    <w:pStyle w:val="42"/>
                    <w:jc w:val="center"/>
                    <w:rPr>
                      <w:color w:val="auto"/>
                      <w:sz w:val="21"/>
                      <w:szCs w:val="21"/>
                    </w:rPr>
                  </w:pPr>
                  <w:bookmarkStart w:id="9" w:name="_Hlk139012379"/>
                  <w:r>
                    <w:rPr>
                      <w:color w:val="auto"/>
                      <w:sz w:val="21"/>
                      <w:szCs w:val="21"/>
                    </w:rPr>
                    <w:t>环保工程</w:t>
                  </w:r>
                </w:p>
              </w:tc>
              <w:tc>
                <w:tcPr>
                  <w:tcW w:w="1115" w:type="dxa"/>
                  <w:vAlign w:val="center"/>
                </w:tcPr>
                <w:p w14:paraId="190DFF18">
                  <w:pPr>
                    <w:pStyle w:val="42"/>
                    <w:jc w:val="center"/>
                    <w:rPr>
                      <w:color w:val="auto"/>
                      <w:sz w:val="21"/>
                      <w:szCs w:val="21"/>
                    </w:rPr>
                  </w:pPr>
                  <w:r>
                    <w:rPr>
                      <w:color w:val="auto"/>
                      <w:sz w:val="21"/>
                      <w:szCs w:val="21"/>
                    </w:rPr>
                    <w:t>废水</w:t>
                  </w:r>
                </w:p>
              </w:tc>
              <w:tc>
                <w:tcPr>
                  <w:tcW w:w="5100" w:type="dxa"/>
                  <w:vAlign w:val="center"/>
                </w:tcPr>
                <w:p w14:paraId="429A60FB">
                  <w:pPr>
                    <w:pStyle w:val="42"/>
                    <w:jc w:val="left"/>
                    <w:rPr>
                      <w:b w:val="0"/>
                      <w:bCs w:val="0"/>
                      <w:color w:val="auto"/>
                      <w:sz w:val="21"/>
                      <w:szCs w:val="21"/>
                    </w:rPr>
                  </w:pPr>
                  <w:r>
                    <w:rPr>
                      <w:b w:val="0"/>
                      <w:bCs w:val="0"/>
                      <w:color w:val="auto"/>
                      <w:sz w:val="21"/>
                      <w:szCs w:val="21"/>
                    </w:rPr>
                    <w:t>食堂废水通过</w:t>
                  </w:r>
                  <w:r>
                    <w:rPr>
                      <w:rFonts w:hint="eastAsia"/>
                      <w:b w:val="0"/>
                      <w:bCs w:val="0"/>
                      <w:color w:val="auto"/>
                      <w:sz w:val="21"/>
                      <w:szCs w:val="21"/>
                    </w:rPr>
                    <w:t>厂区内</w:t>
                  </w:r>
                  <w:r>
                    <w:rPr>
                      <w:b w:val="0"/>
                      <w:bCs w:val="0"/>
                      <w:color w:val="auto"/>
                      <w:sz w:val="21"/>
                      <w:szCs w:val="21"/>
                    </w:rPr>
                    <w:t>隔油池（容积</w:t>
                  </w:r>
                  <w:r>
                    <w:rPr>
                      <w:rFonts w:hint="eastAsia"/>
                      <w:b w:val="0"/>
                      <w:bCs w:val="0"/>
                      <w:color w:val="auto"/>
                      <w:sz w:val="21"/>
                      <w:szCs w:val="21"/>
                      <w:lang w:val="en-US" w:eastAsia="zh-CN"/>
                    </w:rPr>
                    <w:t>1</w:t>
                  </w:r>
                  <w:r>
                    <w:rPr>
                      <w:b w:val="0"/>
                      <w:bCs w:val="0"/>
                      <w:color w:val="auto"/>
                      <w:sz w:val="21"/>
                      <w:szCs w:val="21"/>
                    </w:rPr>
                    <w:t>m</w:t>
                  </w:r>
                  <w:r>
                    <w:rPr>
                      <w:b w:val="0"/>
                      <w:bCs w:val="0"/>
                      <w:color w:val="auto"/>
                      <w:sz w:val="21"/>
                      <w:szCs w:val="21"/>
                      <w:vertAlign w:val="superscript"/>
                    </w:rPr>
                    <w:t>3</w:t>
                  </w:r>
                  <w:r>
                    <w:rPr>
                      <w:b w:val="0"/>
                      <w:bCs w:val="0"/>
                      <w:color w:val="auto"/>
                      <w:sz w:val="21"/>
                      <w:szCs w:val="21"/>
                    </w:rPr>
                    <w:t>）预处理后与办公生活污水</w:t>
                  </w:r>
                  <w:r>
                    <w:rPr>
                      <w:rFonts w:hint="eastAsia"/>
                      <w:b w:val="0"/>
                      <w:bCs w:val="0"/>
                      <w:color w:val="auto"/>
                      <w:sz w:val="21"/>
                      <w:szCs w:val="21"/>
                      <w:lang w:eastAsia="zh-CN"/>
                    </w:rPr>
                    <w:t>、</w:t>
                  </w:r>
                  <w:r>
                    <w:rPr>
                      <w:rFonts w:hint="eastAsia"/>
                      <w:b w:val="0"/>
                      <w:bCs w:val="0"/>
                      <w:color w:val="auto"/>
                      <w:sz w:val="21"/>
                      <w:szCs w:val="21"/>
                      <w:lang w:val="en-US" w:eastAsia="zh-CN"/>
                    </w:rPr>
                    <w:t>纯水制备废水</w:t>
                  </w:r>
                  <w:r>
                    <w:rPr>
                      <w:b w:val="0"/>
                      <w:bCs w:val="0"/>
                      <w:color w:val="auto"/>
                      <w:sz w:val="21"/>
                      <w:szCs w:val="21"/>
                    </w:rPr>
                    <w:t>一起排入</w:t>
                  </w:r>
                  <w:r>
                    <w:rPr>
                      <w:rFonts w:hint="eastAsia"/>
                      <w:b w:val="0"/>
                      <w:bCs w:val="0"/>
                      <w:color w:val="auto"/>
                      <w:sz w:val="21"/>
                      <w:szCs w:val="21"/>
                    </w:rPr>
                    <w:t>预处理池（容积</w:t>
                  </w:r>
                  <w:r>
                    <w:rPr>
                      <w:rFonts w:hint="eastAsia"/>
                      <w:b w:val="0"/>
                      <w:bCs w:val="0"/>
                      <w:color w:val="auto"/>
                      <w:sz w:val="21"/>
                      <w:szCs w:val="21"/>
                      <w:lang w:val="en-US" w:eastAsia="zh-CN"/>
                    </w:rPr>
                    <w:t>6</w:t>
                  </w:r>
                  <w:r>
                    <w:rPr>
                      <w:b w:val="0"/>
                      <w:bCs w:val="0"/>
                      <w:color w:val="auto"/>
                      <w:sz w:val="21"/>
                      <w:szCs w:val="21"/>
                    </w:rPr>
                    <w:t>m</w:t>
                  </w:r>
                  <w:r>
                    <w:rPr>
                      <w:b w:val="0"/>
                      <w:bCs w:val="0"/>
                      <w:color w:val="auto"/>
                      <w:sz w:val="21"/>
                      <w:szCs w:val="21"/>
                      <w:vertAlign w:val="superscript"/>
                    </w:rPr>
                    <w:t>3</w:t>
                  </w:r>
                  <w:r>
                    <w:rPr>
                      <w:rFonts w:hint="eastAsia"/>
                      <w:b w:val="0"/>
                      <w:bCs w:val="0"/>
                      <w:color w:val="auto"/>
                      <w:sz w:val="21"/>
                      <w:szCs w:val="21"/>
                    </w:rPr>
                    <w:t>）</w:t>
                  </w:r>
                  <w:r>
                    <w:rPr>
                      <w:b w:val="0"/>
                      <w:bCs w:val="0"/>
                      <w:color w:val="auto"/>
                      <w:sz w:val="21"/>
                      <w:szCs w:val="21"/>
                    </w:rPr>
                    <w:t>处理后</w:t>
                  </w:r>
                  <w:r>
                    <w:rPr>
                      <w:rFonts w:hint="eastAsia"/>
                      <w:b w:val="0"/>
                      <w:bCs w:val="0"/>
                      <w:color w:val="auto"/>
                      <w:sz w:val="21"/>
                      <w:szCs w:val="21"/>
                    </w:rPr>
                    <w:t>排入市政管网，最终进入</w:t>
                  </w:r>
                  <w:r>
                    <w:rPr>
                      <w:rFonts w:hint="eastAsia"/>
                      <w:b w:val="0"/>
                      <w:bCs w:val="0"/>
                      <w:color w:val="auto"/>
                      <w:sz w:val="21"/>
                      <w:szCs w:val="21"/>
                      <w:lang w:val="en-US" w:eastAsia="zh-CN"/>
                    </w:rPr>
                    <w:t>南区</w:t>
                  </w:r>
                  <w:r>
                    <w:rPr>
                      <w:rFonts w:hint="eastAsia"/>
                      <w:b w:val="0"/>
                      <w:bCs w:val="0"/>
                      <w:color w:val="auto"/>
                      <w:sz w:val="21"/>
                      <w:szCs w:val="21"/>
                    </w:rPr>
                    <w:t>污水处理厂</w:t>
                  </w:r>
                </w:p>
              </w:tc>
              <w:tc>
                <w:tcPr>
                  <w:tcW w:w="835" w:type="dxa"/>
                  <w:vMerge w:val="continue"/>
                  <w:vAlign w:val="center"/>
                </w:tcPr>
                <w:p w14:paraId="5D297E5D">
                  <w:pPr>
                    <w:pStyle w:val="42"/>
                    <w:jc w:val="center"/>
                    <w:rPr>
                      <w:color w:val="auto"/>
                      <w:sz w:val="21"/>
                      <w:szCs w:val="21"/>
                    </w:rPr>
                  </w:pPr>
                </w:p>
              </w:tc>
              <w:tc>
                <w:tcPr>
                  <w:tcW w:w="830" w:type="dxa"/>
                  <w:vAlign w:val="center"/>
                </w:tcPr>
                <w:p w14:paraId="6471597F">
                  <w:pPr>
                    <w:pStyle w:val="42"/>
                    <w:jc w:val="center"/>
                    <w:rPr>
                      <w:color w:val="auto"/>
                      <w:sz w:val="21"/>
                      <w:szCs w:val="21"/>
                    </w:rPr>
                  </w:pPr>
                  <w:r>
                    <w:rPr>
                      <w:color w:val="auto"/>
                      <w:sz w:val="21"/>
                      <w:szCs w:val="21"/>
                    </w:rPr>
                    <w:t>生活污水</w:t>
                  </w:r>
                  <w:r>
                    <w:rPr>
                      <w:rFonts w:hint="eastAsia"/>
                      <w:color w:val="auto"/>
                      <w:sz w:val="21"/>
                      <w:szCs w:val="21"/>
                    </w:rPr>
                    <w:t>等</w:t>
                  </w:r>
                </w:p>
              </w:tc>
            </w:tr>
            <w:tr w14:paraId="7C6C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458" w:type="dxa"/>
                  <w:vMerge w:val="continue"/>
                  <w:vAlign w:val="center"/>
                </w:tcPr>
                <w:p w14:paraId="186785E5">
                  <w:pPr>
                    <w:pStyle w:val="42"/>
                    <w:jc w:val="center"/>
                    <w:rPr>
                      <w:color w:val="auto"/>
                      <w:sz w:val="21"/>
                      <w:szCs w:val="21"/>
                    </w:rPr>
                  </w:pPr>
                </w:p>
              </w:tc>
              <w:tc>
                <w:tcPr>
                  <w:tcW w:w="1115" w:type="dxa"/>
                  <w:vAlign w:val="center"/>
                </w:tcPr>
                <w:p w14:paraId="04ED123A">
                  <w:pPr>
                    <w:pStyle w:val="42"/>
                    <w:jc w:val="center"/>
                    <w:rPr>
                      <w:color w:val="auto"/>
                      <w:sz w:val="21"/>
                      <w:szCs w:val="21"/>
                    </w:rPr>
                  </w:pPr>
                  <w:r>
                    <w:rPr>
                      <w:color w:val="auto"/>
                      <w:sz w:val="21"/>
                      <w:szCs w:val="21"/>
                    </w:rPr>
                    <w:t>废气</w:t>
                  </w:r>
                </w:p>
              </w:tc>
              <w:tc>
                <w:tcPr>
                  <w:tcW w:w="5100" w:type="dxa"/>
                  <w:vAlign w:val="center"/>
                </w:tcPr>
                <w:p w14:paraId="748FAE0B">
                  <w:pPr>
                    <w:pStyle w:val="42"/>
                    <w:jc w:val="left"/>
                    <w:rPr>
                      <w:rFonts w:hint="eastAsia"/>
                      <w:b w:val="0"/>
                      <w:bCs w:val="0"/>
                      <w:color w:val="auto"/>
                      <w:sz w:val="21"/>
                      <w:szCs w:val="21"/>
                      <w:lang w:val="en-US" w:eastAsia="zh-CN"/>
                    </w:rPr>
                  </w:pPr>
                  <w:r>
                    <w:rPr>
                      <w:rFonts w:hint="eastAsia"/>
                      <w:b/>
                      <w:bCs/>
                      <w:color w:val="auto"/>
                      <w:sz w:val="21"/>
                      <w:szCs w:val="21"/>
                    </w:rPr>
                    <w:t>悬浮剂生产线废气（2#车间）</w:t>
                  </w:r>
                  <w:r>
                    <w:rPr>
                      <w:rFonts w:hint="eastAsia"/>
                      <w:b/>
                      <w:bCs/>
                      <w:color w:val="auto"/>
                      <w:sz w:val="21"/>
                      <w:szCs w:val="21"/>
                      <w:lang w:eastAsia="zh-CN"/>
                    </w:rPr>
                    <w:t>、</w:t>
                  </w:r>
                  <w:r>
                    <w:rPr>
                      <w:rFonts w:hint="eastAsia"/>
                      <w:b/>
                      <w:bCs/>
                      <w:color w:val="auto"/>
                      <w:sz w:val="21"/>
                      <w:szCs w:val="21"/>
                    </w:rPr>
                    <w:t>水乳剂生产线废气（3#车间）</w:t>
                  </w:r>
                  <w:r>
                    <w:rPr>
                      <w:rFonts w:hint="eastAsia"/>
                      <w:b/>
                      <w:bCs/>
                      <w:color w:val="auto"/>
                      <w:sz w:val="21"/>
                      <w:szCs w:val="21"/>
                      <w:lang w:eastAsia="zh-CN"/>
                    </w:rPr>
                    <w:t>、</w:t>
                  </w:r>
                  <w:r>
                    <w:rPr>
                      <w:rFonts w:hint="eastAsia"/>
                      <w:b/>
                      <w:bCs/>
                      <w:color w:val="auto"/>
                      <w:sz w:val="21"/>
                      <w:szCs w:val="21"/>
                    </w:rPr>
                    <w:t>水剂生产线废气（4#车间）</w:t>
                  </w:r>
                  <w:r>
                    <w:rPr>
                      <w:rFonts w:hint="eastAsia"/>
                      <w:b/>
                      <w:bCs/>
                      <w:color w:val="auto"/>
                      <w:sz w:val="21"/>
                      <w:szCs w:val="21"/>
                      <w:lang w:val="en-US" w:eastAsia="zh-CN"/>
                    </w:rPr>
                    <w:t>投料粉尘</w:t>
                  </w:r>
                  <w:r>
                    <w:rPr>
                      <w:rFonts w:hint="eastAsia"/>
                      <w:b w:val="0"/>
                      <w:bCs w:val="0"/>
                      <w:color w:val="auto"/>
                      <w:sz w:val="21"/>
                      <w:szCs w:val="21"/>
                      <w:lang w:val="en-US" w:eastAsia="zh-CN"/>
                    </w:rPr>
                    <w:t>：在投料口设置三面围挡，投料口减少落差等方式，减少无组织排放</w:t>
                  </w:r>
                </w:p>
                <w:p w14:paraId="124EBA74">
                  <w:pPr>
                    <w:pStyle w:val="42"/>
                    <w:jc w:val="left"/>
                    <w:rPr>
                      <w:rFonts w:hint="default"/>
                      <w:b w:val="0"/>
                      <w:bCs w:val="0"/>
                      <w:color w:val="auto"/>
                      <w:sz w:val="21"/>
                      <w:szCs w:val="21"/>
                      <w:lang w:val="en-US" w:eastAsia="zh-CN"/>
                    </w:rPr>
                  </w:pPr>
                  <w:r>
                    <w:rPr>
                      <w:rFonts w:hint="default"/>
                      <w:b/>
                      <w:bCs/>
                      <w:color w:val="auto"/>
                      <w:sz w:val="21"/>
                      <w:szCs w:val="21"/>
                      <w:lang w:val="en-US" w:eastAsia="zh-CN"/>
                    </w:rPr>
                    <w:t>可湿性粉剂生产线废气（1#车间）投料、包装、粉碎</w:t>
                  </w:r>
                  <w:r>
                    <w:rPr>
                      <w:rFonts w:hint="eastAsia"/>
                      <w:b/>
                      <w:bCs/>
                      <w:color w:val="auto"/>
                      <w:sz w:val="21"/>
                      <w:szCs w:val="21"/>
                      <w:lang w:val="en-US" w:eastAsia="zh-CN"/>
                    </w:rPr>
                    <w:t>粉尘：</w:t>
                  </w:r>
                  <w:r>
                    <w:rPr>
                      <w:rFonts w:hint="eastAsia"/>
                      <w:b w:val="0"/>
                      <w:bCs w:val="0"/>
                      <w:color w:val="auto"/>
                      <w:sz w:val="21"/>
                      <w:szCs w:val="21"/>
                      <w:lang w:val="en-US" w:eastAsia="zh-CN"/>
                    </w:rPr>
                    <w:t>由设备上方设置的集气罩收集后（粉尘收集率为30%）经生产线配备的布袋除尘器处理，处理效率99%，15m排气筒排放（DA001）</w:t>
                  </w:r>
                </w:p>
                <w:p w14:paraId="6AF951D3">
                  <w:pPr>
                    <w:pStyle w:val="42"/>
                    <w:jc w:val="left"/>
                    <w:rPr>
                      <w:rFonts w:hint="eastAsia"/>
                      <w:b w:val="0"/>
                      <w:bCs w:val="0"/>
                      <w:color w:val="auto"/>
                      <w:sz w:val="21"/>
                      <w:szCs w:val="21"/>
                      <w:highlight w:val="none"/>
                      <w:lang w:val="en-US" w:eastAsia="zh-CN"/>
                    </w:rPr>
                  </w:pPr>
                  <w:r>
                    <w:rPr>
                      <w:rFonts w:hint="default"/>
                      <w:b/>
                      <w:bCs/>
                      <w:color w:val="auto"/>
                      <w:sz w:val="21"/>
                      <w:szCs w:val="21"/>
                      <w:lang w:val="en-US" w:eastAsia="zh-CN"/>
                    </w:rPr>
                    <w:t>水乳剂生产线废气（3#车间）搅拌、配制</w:t>
                  </w:r>
                  <w:r>
                    <w:rPr>
                      <w:rFonts w:hint="eastAsia"/>
                      <w:b/>
                      <w:bCs/>
                      <w:color w:val="auto"/>
                      <w:sz w:val="21"/>
                      <w:szCs w:val="21"/>
                      <w:lang w:val="en-US" w:eastAsia="zh-CN"/>
                    </w:rPr>
                    <w:t>有机废气</w:t>
                  </w:r>
                  <w:r>
                    <w:rPr>
                      <w:rFonts w:hint="eastAsia"/>
                      <w:b w:val="0"/>
                      <w:bCs w:val="0"/>
                      <w:color w:val="auto"/>
                      <w:sz w:val="21"/>
                      <w:szCs w:val="21"/>
                      <w:lang w:val="en-US" w:eastAsia="zh-CN"/>
                    </w:rPr>
                    <w:t>：通过</w:t>
                  </w:r>
                  <w:r>
                    <w:rPr>
                      <w:rFonts w:hint="eastAsia"/>
                      <w:b w:val="0"/>
                      <w:bCs w:val="0"/>
                      <w:color w:val="auto"/>
                      <w:sz w:val="21"/>
                      <w:szCs w:val="21"/>
                      <w:highlight w:val="none"/>
                      <w:lang w:val="en-US" w:eastAsia="zh-CN"/>
                    </w:rPr>
                    <w:t>管道（收集效率95%）收集“二级活性炭”（5000m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lang w:val="en-US" w:eastAsia="zh-CN"/>
                    </w:rPr>
                    <w:t>/h）处理后15m排放（DA002）</w:t>
                  </w:r>
                </w:p>
                <w:p w14:paraId="5E577E7B">
                  <w:pPr>
                    <w:pStyle w:val="42"/>
                    <w:jc w:val="left"/>
                    <w:rPr>
                      <w:rFonts w:hint="eastAsia"/>
                      <w:b w:val="0"/>
                      <w:bCs w:val="0"/>
                      <w:color w:val="auto"/>
                      <w:sz w:val="21"/>
                      <w:szCs w:val="21"/>
                      <w:highlight w:val="none"/>
                      <w:lang w:val="en-US" w:eastAsia="zh-CN"/>
                    </w:rPr>
                  </w:pPr>
                  <w:r>
                    <w:rPr>
                      <w:rFonts w:hint="default"/>
                      <w:b/>
                      <w:bCs/>
                      <w:color w:val="auto"/>
                      <w:sz w:val="21"/>
                      <w:szCs w:val="21"/>
                      <w:highlight w:val="none"/>
                      <w:lang w:val="en-US" w:eastAsia="zh-CN"/>
                    </w:rPr>
                    <w:t>农药生产异味</w:t>
                  </w:r>
                  <w:r>
                    <w:rPr>
                      <w:rFonts w:hint="eastAsia"/>
                      <w:b w:val="0"/>
                      <w:bCs w:val="0"/>
                      <w:color w:val="auto"/>
                      <w:sz w:val="21"/>
                      <w:szCs w:val="21"/>
                      <w:highlight w:val="none"/>
                      <w:lang w:val="en-US" w:eastAsia="zh-CN"/>
                    </w:rPr>
                    <w:t>：水乳剂生产线（3#车间）异味气体两级活性炭吸附装置处理后引至排气筒高空排放（DA002），其余生产线无组织排放的异味经车间强制通风换气外排</w:t>
                  </w:r>
                </w:p>
                <w:p w14:paraId="2D4AD0E0">
                  <w:pPr>
                    <w:pStyle w:val="42"/>
                    <w:jc w:val="left"/>
                    <w:rPr>
                      <w:rFonts w:hint="eastAsia"/>
                      <w:b w:val="0"/>
                      <w:bCs w:val="0"/>
                      <w:color w:val="auto"/>
                      <w:sz w:val="21"/>
                      <w:szCs w:val="21"/>
                      <w:highlight w:val="none"/>
                    </w:rPr>
                  </w:pPr>
                  <w:r>
                    <w:rPr>
                      <w:rFonts w:hint="eastAsia"/>
                      <w:b/>
                      <w:bCs/>
                      <w:color w:val="auto"/>
                      <w:sz w:val="21"/>
                      <w:szCs w:val="21"/>
                      <w:highlight w:val="none"/>
                    </w:rPr>
                    <w:t>实验废气</w:t>
                  </w:r>
                  <w:r>
                    <w:rPr>
                      <w:rFonts w:hint="eastAsia"/>
                      <w:b/>
                      <w:bCs/>
                      <w:color w:val="auto"/>
                      <w:sz w:val="21"/>
                      <w:szCs w:val="21"/>
                      <w:highlight w:val="none"/>
                      <w:lang w:eastAsia="zh-CN"/>
                    </w:rPr>
                    <w:t>：</w:t>
                  </w:r>
                  <w:r>
                    <w:rPr>
                      <w:rFonts w:hint="eastAsia"/>
                      <w:b w:val="0"/>
                      <w:bCs w:val="0"/>
                      <w:color w:val="auto"/>
                      <w:sz w:val="21"/>
                      <w:szCs w:val="21"/>
                      <w:highlight w:val="none"/>
                    </w:rPr>
                    <w:t>设置通风橱，有机废气经收集后由管道通入活性炭吸附装置处理后排放。</w:t>
                  </w:r>
                </w:p>
                <w:p w14:paraId="4F6AD9A2">
                  <w:pPr>
                    <w:pStyle w:val="42"/>
                    <w:jc w:val="left"/>
                    <w:rPr>
                      <w:b w:val="0"/>
                      <w:bCs w:val="0"/>
                      <w:color w:val="auto"/>
                      <w:sz w:val="21"/>
                      <w:szCs w:val="21"/>
                    </w:rPr>
                  </w:pPr>
                  <w:r>
                    <w:rPr>
                      <w:rFonts w:hint="eastAsia"/>
                      <w:b/>
                      <w:bCs/>
                      <w:color w:val="auto"/>
                      <w:sz w:val="21"/>
                      <w:szCs w:val="21"/>
                      <w:highlight w:val="none"/>
                    </w:rPr>
                    <w:t>厨房油烟</w:t>
                  </w:r>
                  <w:r>
                    <w:rPr>
                      <w:rFonts w:hint="eastAsia"/>
                      <w:b w:val="0"/>
                      <w:bCs w:val="0"/>
                      <w:color w:val="auto"/>
                      <w:sz w:val="21"/>
                      <w:szCs w:val="21"/>
                      <w:highlight w:val="none"/>
                      <w:lang w:eastAsia="zh-CN"/>
                    </w:rPr>
                    <w:t>：</w:t>
                  </w:r>
                  <w:r>
                    <w:rPr>
                      <w:rFonts w:hint="eastAsia"/>
                      <w:b w:val="0"/>
                      <w:bCs w:val="0"/>
                      <w:color w:val="auto"/>
                      <w:sz w:val="21"/>
                      <w:szCs w:val="21"/>
                      <w:highlight w:val="none"/>
                    </w:rPr>
                    <w:t>油烟净化装置处理油烟，油烟机排风量为2000m</w:t>
                  </w:r>
                  <w:r>
                    <w:rPr>
                      <w:rFonts w:hint="eastAsia"/>
                      <w:b w:val="0"/>
                      <w:bCs w:val="0"/>
                      <w:color w:val="auto"/>
                      <w:sz w:val="21"/>
                      <w:szCs w:val="21"/>
                      <w:highlight w:val="none"/>
                      <w:vertAlign w:val="superscript"/>
                    </w:rPr>
                    <w:t>3</w:t>
                  </w:r>
                  <w:r>
                    <w:rPr>
                      <w:rFonts w:hint="eastAsia"/>
                      <w:b w:val="0"/>
                      <w:bCs w:val="0"/>
                      <w:color w:val="auto"/>
                      <w:sz w:val="21"/>
                      <w:szCs w:val="21"/>
                      <w:highlight w:val="none"/>
                    </w:rPr>
                    <w:t>/h，处理后的</w:t>
                  </w:r>
                  <w:r>
                    <w:rPr>
                      <w:rFonts w:hint="eastAsia"/>
                      <w:b w:val="0"/>
                      <w:bCs w:val="0"/>
                      <w:color w:val="auto"/>
                      <w:sz w:val="21"/>
                      <w:szCs w:val="21"/>
                    </w:rPr>
                    <w:t>油烟统一进入专用排烟管于楼</w:t>
                  </w:r>
                </w:p>
              </w:tc>
              <w:tc>
                <w:tcPr>
                  <w:tcW w:w="835" w:type="dxa"/>
                  <w:vMerge w:val="continue"/>
                  <w:vAlign w:val="center"/>
                </w:tcPr>
                <w:p w14:paraId="2041CF5A">
                  <w:pPr>
                    <w:pStyle w:val="42"/>
                    <w:jc w:val="center"/>
                    <w:rPr>
                      <w:color w:val="auto"/>
                      <w:sz w:val="21"/>
                      <w:szCs w:val="21"/>
                    </w:rPr>
                  </w:pPr>
                </w:p>
              </w:tc>
              <w:tc>
                <w:tcPr>
                  <w:tcW w:w="830" w:type="dxa"/>
                  <w:vAlign w:val="center"/>
                </w:tcPr>
                <w:p w14:paraId="6B3AA041">
                  <w:pPr>
                    <w:pStyle w:val="42"/>
                    <w:jc w:val="center"/>
                    <w:rPr>
                      <w:rFonts w:hint="default" w:eastAsia="宋体"/>
                      <w:color w:val="auto"/>
                      <w:sz w:val="21"/>
                      <w:szCs w:val="21"/>
                      <w:lang w:val="en-US" w:eastAsia="zh-CN"/>
                    </w:rPr>
                  </w:pPr>
                  <w:r>
                    <w:rPr>
                      <w:color w:val="auto"/>
                      <w:sz w:val="21"/>
                      <w:szCs w:val="21"/>
                    </w:rPr>
                    <w:t>粉尘</w:t>
                  </w:r>
                  <w:r>
                    <w:rPr>
                      <w:rFonts w:hint="eastAsia"/>
                      <w:color w:val="auto"/>
                      <w:sz w:val="21"/>
                      <w:szCs w:val="21"/>
                      <w:lang w:eastAsia="zh-CN"/>
                    </w:rPr>
                    <w:t>、</w:t>
                  </w:r>
                  <w:r>
                    <w:rPr>
                      <w:rFonts w:hint="eastAsia"/>
                      <w:color w:val="auto"/>
                      <w:sz w:val="21"/>
                      <w:szCs w:val="21"/>
                      <w:lang w:val="en-US" w:eastAsia="zh-CN"/>
                    </w:rPr>
                    <w:t>非甲烷总烃、恶臭等</w:t>
                  </w:r>
                </w:p>
              </w:tc>
            </w:tr>
            <w:tr w14:paraId="61EE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3451F532">
                  <w:pPr>
                    <w:pStyle w:val="42"/>
                    <w:jc w:val="center"/>
                    <w:rPr>
                      <w:color w:val="auto"/>
                      <w:sz w:val="21"/>
                      <w:szCs w:val="21"/>
                    </w:rPr>
                  </w:pPr>
                </w:p>
              </w:tc>
              <w:tc>
                <w:tcPr>
                  <w:tcW w:w="1115" w:type="dxa"/>
                  <w:vAlign w:val="center"/>
                </w:tcPr>
                <w:p w14:paraId="6BD9EA37">
                  <w:pPr>
                    <w:pStyle w:val="42"/>
                    <w:jc w:val="center"/>
                    <w:rPr>
                      <w:color w:val="auto"/>
                      <w:sz w:val="21"/>
                      <w:szCs w:val="21"/>
                    </w:rPr>
                  </w:pPr>
                  <w:r>
                    <w:rPr>
                      <w:color w:val="auto"/>
                      <w:sz w:val="21"/>
                      <w:szCs w:val="21"/>
                    </w:rPr>
                    <w:t>噪声</w:t>
                  </w:r>
                </w:p>
              </w:tc>
              <w:tc>
                <w:tcPr>
                  <w:tcW w:w="5100" w:type="dxa"/>
                  <w:vAlign w:val="center"/>
                </w:tcPr>
                <w:p w14:paraId="31FC2D50">
                  <w:pPr>
                    <w:pStyle w:val="42"/>
                    <w:jc w:val="left"/>
                    <w:rPr>
                      <w:b w:val="0"/>
                      <w:bCs w:val="0"/>
                      <w:color w:val="auto"/>
                      <w:sz w:val="21"/>
                      <w:szCs w:val="21"/>
                    </w:rPr>
                  </w:pPr>
                  <w:r>
                    <w:rPr>
                      <w:b w:val="0"/>
                      <w:bCs w:val="0"/>
                      <w:color w:val="auto"/>
                      <w:sz w:val="21"/>
                      <w:szCs w:val="21"/>
                    </w:rPr>
                    <w:t>合理布局，选用低噪声设备，柔性连接，安装消声器、设置隔声、减振等装置，定期对设备进行维护。</w:t>
                  </w:r>
                </w:p>
              </w:tc>
              <w:tc>
                <w:tcPr>
                  <w:tcW w:w="835" w:type="dxa"/>
                  <w:vMerge w:val="continue"/>
                  <w:vAlign w:val="center"/>
                </w:tcPr>
                <w:p w14:paraId="1CA974C6">
                  <w:pPr>
                    <w:pStyle w:val="42"/>
                    <w:jc w:val="center"/>
                    <w:rPr>
                      <w:color w:val="auto"/>
                      <w:sz w:val="21"/>
                      <w:szCs w:val="21"/>
                    </w:rPr>
                  </w:pPr>
                </w:p>
              </w:tc>
              <w:tc>
                <w:tcPr>
                  <w:tcW w:w="830" w:type="dxa"/>
                  <w:vAlign w:val="center"/>
                </w:tcPr>
                <w:p w14:paraId="0EFC67AC">
                  <w:pPr>
                    <w:pStyle w:val="42"/>
                    <w:jc w:val="center"/>
                    <w:rPr>
                      <w:color w:val="auto"/>
                      <w:sz w:val="21"/>
                      <w:szCs w:val="21"/>
                    </w:rPr>
                  </w:pPr>
                  <w:r>
                    <w:rPr>
                      <w:color w:val="auto"/>
                      <w:sz w:val="21"/>
                      <w:szCs w:val="21"/>
                    </w:rPr>
                    <w:t>噪声</w:t>
                  </w:r>
                </w:p>
              </w:tc>
            </w:tr>
            <w:tr w14:paraId="0292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70119DF8">
                  <w:pPr>
                    <w:pStyle w:val="42"/>
                    <w:jc w:val="center"/>
                    <w:rPr>
                      <w:color w:val="auto"/>
                      <w:sz w:val="21"/>
                      <w:szCs w:val="21"/>
                    </w:rPr>
                  </w:pPr>
                </w:p>
              </w:tc>
              <w:tc>
                <w:tcPr>
                  <w:tcW w:w="1115" w:type="dxa"/>
                  <w:vMerge w:val="restart"/>
                  <w:vAlign w:val="center"/>
                </w:tcPr>
                <w:p w14:paraId="1575D1E7">
                  <w:pPr>
                    <w:pStyle w:val="42"/>
                    <w:jc w:val="center"/>
                    <w:rPr>
                      <w:color w:val="auto"/>
                      <w:sz w:val="21"/>
                      <w:szCs w:val="21"/>
                    </w:rPr>
                  </w:pPr>
                  <w:r>
                    <w:rPr>
                      <w:color w:val="auto"/>
                      <w:sz w:val="21"/>
                      <w:szCs w:val="21"/>
                    </w:rPr>
                    <w:t>固废</w:t>
                  </w:r>
                </w:p>
              </w:tc>
              <w:tc>
                <w:tcPr>
                  <w:tcW w:w="5100" w:type="dxa"/>
                  <w:vAlign w:val="center"/>
                </w:tcPr>
                <w:p w14:paraId="0D36378A">
                  <w:pPr>
                    <w:pStyle w:val="42"/>
                    <w:jc w:val="left"/>
                    <w:rPr>
                      <w:b w:val="0"/>
                      <w:bCs w:val="0"/>
                      <w:color w:val="auto"/>
                      <w:sz w:val="21"/>
                      <w:szCs w:val="21"/>
                    </w:rPr>
                  </w:pPr>
                  <w:r>
                    <w:rPr>
                      <w:b w:val="0"/>
                      <w:bCs w:val="0"/>
                      <w:color w:val="auto"/>
                      <w:sz w:val="21"/>
                      <w:szCs w:val="21"/>
                    </w:rPr>
                    <w:t>一般固废：</w:t>
                  </w:r>
                  <w:bookmarkStart w:id="10" w:name="_Hlk144283160"/>
                  <w:r>
                    <w:rPr>
                      <w:b w:val="0"/>
                      <w:bCs w:val="0"/>
                      <w:color w:val="auto"/>
                      <w:sz w:val="21"/>
                      <w:szCs w:val="21"/>
                    </w:rPr>
                    <w:t>一般工业固体暂存区面积约100m</w:t>
                  </w:r>
                  <w:r>
                    <w:rPr>
                      <w:b w:val="0"/>
                      <w:bCs w:val="0"/>
                      <w:color w:val="auto"/>
                      <w:sz w:val="21"/>
                      <w:szCs w:val="21"/>
                      <w:vertAlign w:val="superscript"/>
                    </w:rPr>
                    <w:t>2</w:t>
                  </w:r>
                  <w:r>
                    <w:rPr>
                      <w:b w:val="0"/>
                      <w:bCs w:val="0"/>
                      <w:color w:val="auto"/>
                      <w:sz w:val="21"/>
                      <w:szCs w:val="21"/>
                    </w:rPr>
                    <w:t>，位于</w:t>
                  </w:r>
                  <w:r>
                    <w:rPr>
                      <w:rFonts w:hint="eastAsia"/>
                      <w:b w:val="0"/>
                      <w:bCs w:val="0"/>
                      <w:color w:val="auto"/>
                      <w:sz w:val="21"/>
                      <w:szCs w:val="21"/>
                      <w:lang w:val="en-US" w:eastAsia="zh-CN"/>
                    </w:rPr>
                    <w:t>厂区辅助工房</w:t>
                  </w:r>
                  <w:r>
                    <w:rPr>
                      <w:b w:val="0"/>
                      <w:bCs w:val="0"/>
                      <w:color w:val="auto"/>
                      <w:sz w:val="21"/>
                      <w:szCs w:val="21"/>
                    </w:rPr>
                    <w:t>内，</w:t>
                  </w:r>
                  <w:bookmarkEnd w:id="10"/>
                </w:p>
              </w:tc>
              <w:tc>
                <w:tcPr>
                  <w:tcW w:w="835" w:type="dxa"/>
                  <w:vMerge w:val="continue"/>
                  <w:vAlign w:val="center"/>
                </w:tcPr>
                <w:p w14:paraId="6588DEE6">
                  <w:pPr>
                    <w:pStyle w:val="42"/>
                    <w:jc w:val="center"/>
                    <w:rPr>
                      <w:color w:val="auto"/>
                      <w:sz w:val="21"/>
                      <w:szCs w:val="21"/>
                    </w:rPr>
                  </w:pPr>
                </w:p>
              </w:tc>
              <w:tc>
                <w:tcPr>
                  <w:tcW w:w="830" w:type="dxa"/>
                  <w:vMerge w:val="restart"/>
                  <w:vAlign w:val="center"/>
                </w:tcPr>
                <w:p w14:paraId="789D8BA9">
                  <w:pPr>
                    <w:pStyle w:val="42"/>
                    <w:jc w:val="center"/>
                    <w:rPr>
                      <w:color w:val="auto"/>
                      <w:sz w:val="21"/>
                      <w:szCs w:val="21"/>
                    </w:rPr>
                  </w:pPr>
                  <w:r>
                    <w:rPr>
                      <w:color w:val="auto"/>
                      <w:sz w:val="21"/>
                      <w:szCs w:val="21"/>
                    </w:rPr>
                    <w:t>固体废物</w:t>
                  </w:r>
                </w:p>
              </w:tc>
            </w:tr>
            <w:tr w14:paraId="5779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3893F3C5">
                  <w:pPr>
                    <w:pStyle w:val="42"/>
                    <w:jc w:val="center"/>
                    <w:rPr>
                      <w:color w:val="auto"/>
                      <w:sz w:val="21"/>
                      <w:szCs w:val="21"/>
                    </w:rPr>
                  </w:pPr>
                </w:p>
              </w:tc>
              <w:tc>
                <w:tcPr>
                  <w:tcW w:w="1115" w:type="dxa"/>
                  <w:vMerge w:val="continue"/>
                  <w:vAlign w:val="center"/>
                </w:tcPr>
                <w:p w14:paraId="733B22AB">
                  <w:pPr>
                    <w:pStyle w:val="42"/>
                    <w:jc w:val="center"/>
                    <w:rPr>
                      <w:color w:val="auto"/>
                      <w:sz w:val="21"/>
                      <w:szCs w:val="21"/>
                    </w:rPr>
                  </w:pPr>
                </w:p>
              </w:tc>
              <w:tc>
                <w:tcPr>
                  <w:tcW w:w="5100" w:type="dxa"/>
                  <w:vAlign w:val="center"/>
                </w:tcPr>
                <w:p w14:paraId="60AB7613">
                  <w:pPr>
                    <w:pStyle w:val="42"/>
                    <w:jc w:val="left"/>
                    <w:rPr>
                      <w:b w:val="0"/>
                      <w:bCs w:val="0"/>
                      <w:color w:val="auto"/>
                      <w:sz w:val="21"/>
                      <w:szCs w:val="21"/>
                    </w:rPr>
                  </w:pPr>
                  <w:r>
                    <w:rPr>
                      <w:rFonts w:hint="eastAsia"/>
                      <w:b w:val="0"/>
                      <w:bCs w:val="0"/>
                      <w:color w:val="auto"/>
                      <w:sz w:val="21"/>
                      <w:szCs w:val="21"/>
                      <w:lang w:eastAsia="zh-CN"/>
                    </w:rPr>
                    <w:t>危废贮存库</w:t>
                  </w:r>
                  <w:r>
                    <w:rPr>
                      <w:b w:val="0"/>
                      <w:bCs w:val="0"/>
                      <w:color w:val="auto"/>
                      <w:sz w:val="21"/>
                      <w:szCs w:val="21"/>
                    </w:rPr>
                    <w:t>：面积为</w:t>
                  </w:r>
                  <w:r>
                    <w:rPr>
                      <w:rFonts w:hint="eastAsia"/>
                      <w:b w:val="0"/>
                      <w:bCs w:val="0"/>
                      <w:color w:val="auto"/>
                      <w:sz w:val="21"/>
                      <w:szCs w:val="21"/>
                      <w:lang w:val="en-US" w:eastAsia="zh-CN"/>
                    </w:rPr>
                    <w:t>60</w:t>
                  </w:r>
                  <w:r>
                    <w:rPr>
                      <w:b w:val="0"/>
                      <w:bCs w:val="0"/>
                      <w:color w:val="auto"/>
                      <w:sz w:val="21"/>
                      <w:szCs w:val="21"/>
                    </w:rPr>
                    <w:t>m</w:t>
                  </w:r>
                  <w:r>
                    <w:rPr>
                      <w:b w:val="0"/>
                      <w:bCs w:val="0"/>
                      <w:color w:val="auto"/>
                      <w:sz w:val="21"/>
                      <w:szCs w:val="21"/>
                      <w:vertAlign w:val="superscript"/>
                    </w:rPr>
                    <w:t>2</w:t>
                  </w:r>
                  <w:r>
                    <w:rPr>
                      <w:b w:val="0"/>
                      <w:bCs w:val="0"/>
                      <w:color w:val="auto"/>
                      <w:sz w:val="21"/>
                      <w:szCs w:val="21"/>
                    </w:rPr>
                    <w:t>，位于</w:t>
                  </w:r>
                  <w:r>
                    <w:rPr>
                      <w:rFonts w:hint="eastAsia"/>
                      <w:b w:val="0"/>
                      <w:bCs w:val="0"/>
                      <w:color w:val="auto"/>
                      <w:sz w:val="21"/>
                      <w:szCs w:val="21"/>
                      <w:lang w:val="en-US" w:eastAsia="zh-CN"/>
                    </w:rPr>
                    <w:t>厂区配套用房内</w:t>
                  </w:r>
                  <w:r>
                    <w:rPr>
                      <w:b w:val="0"/>
                      <w:bCs w:val="0"/>
                      <w:color w:val="auto"/>
                      <w:sz w:val="21"/>
                      <w:szCs w:val="21"/>
                    </w:rPr>
                    <w:t>，危废分类、分区暂存，</w:t>
                  </w:r>
                  <w:r>
                    <w:rPr>
                      <w:rFonts w:hint="eastAsia"/>
                      <w:b w:val="0"/>
                      <w:bCs w:val="0"/>
                      <w:color w:val="auto"/>
                      <w:sz w:val="21"/>
                      <w:szCs w:val="21"/>
                      <w:lang w:val="en-US" w:eastAsia="zh-CN"/>
                    </w:rPr>
                    <w:t>危废定期</w:t>
                  </w:r>
                  <w:r>
                    <w:rPr>
                      <w:b w:val="0"/>
                      <w:bCs w:val="0"/>
                      <w:color w:val="auto"/>
                      <w:sz w:val="21"/>
                      <w:szCs w:val="21"/>
                    </w:rPr>
                    <w:t>交由资质单位处置</w:t>
                  </w:r>
                </w:p>
              </w:tc>
              <w:tc>
                <w:tcPr>
                  <w:tcW w:w="835" w:type="dxa"/>
                  <w:vMerge w:val="continue"/>
                  <w:vAlign w:val="center"/>
                </w:tcPr>
                <w:p w14:paraId="7F850CB3">
                  <w:pPr>
                    <w:pStyle w:val="42"/>
                    <w:jc w:val="center"/>
                    <w:rPr>
                      <w:color w:val="auto"/>
                      <w:sz w:val="21"/>
                      <w:szCs w:val="21"/>
                    </w:rPr>
                  </w:pPr>
                </w:p>
              </w:tc>
              <w:tc>
                <w:tcPr>
                  <w:tcW w:w="830" w:type="dxa"/>
                  <w:vMerge w:val="continue"/>
                  <w:vAlign w:val="center"/>
                </w:tcPr>
                <w:p w14:paraId="71BC6476">
                  <w:pPr>
                    <w:pStyle w:val="42"/>
                    <w:jc w:val="center"/>
                    <w:rPr>
                      <w:color w:val="auto"/>
                      <w:sz w:val="21"/>
                      <w:szCs w:val="21"/>
                    </w:rPr>
                  </w:pPr>
                </w:p>
              </w:tc>
            </w:tr>
            <w:tr w14:paraId="53B6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58" w:type="dxa"/>
                  <w:vMerge w:val="continue"/>
                  <w:vAlign w:val="center"/>
                </w:tcPr>
                <w:p w14:paraId="29E3C497">
                  <w:pPr>
                    <w:pStyle w:val="42"/>
                    <w:jc w:val="center"/>
                    <w:rPr>
                      <w:color w:val="auto"/>
                      <w:sz w:val="21"/>
                      <w:szCs w:val="21"/>
                    </w:rPr>
                  </w:pPr>
                </w:p>
              </w:tc>
              <w:tc>
                <w:tcPr>
                  <w:tcW w:w="1115" w:type="dxa"/>
                  <w:vMerge w:val="continue"/>
                  <w:vAlign w:val="center"/>
                </w:tcPr>
                <w:p w14:paraId="672CE80D">
                  <w:pPr>
                    <w:pStyle w:val="42"/>
                    <w:jc w:val="center"/>
                    <w:rPr>
                      <w:color w:val="auto"/>
                      <w:sz w:val="21"/>
                      <w:szCs w:val="21"/>
                    </w:rPr>
                  </w:pPr>
                </w:p>
              </w:tc>
              <w:tc>
                <w:tcPr>
                  <w:tcW w:w="5100" w:type="dxa"/>
                  <w:vAlign w:val="center"/>
                </w:tcPr>
                <w:p w14:paraId="7161D5C5">
                  <w:pPr>
                    <w:pStyle w:val="42"/>
                    <w:jc w:val="left"/>
                    <w:rPr>
                      <w:b w:val="0"/>
                      <w:bCs w:val="0"/>
                      <w:color w:val="auto"/>
                      <w:sz w:val="21"/>
                      <w:szCs w:val="21"/>
                    </w:rPr>
                  </w:pPr>
                  <w:r>
                    <w:rPr>
                      <w:b w:val="0"/>
                      <w:bCs w:val="0"/>
                      <w:color w:val="auto"/>
                      <w:sz w:val="21"/>
                      <w:szCs w:val="21"/>
                    </w:rPr>
                    <w:t>生活垃圾经垃圾桶收集后交由环卫部门统一清运处置</w:t>
                  </w:r>
                </w:p>
              </w:tc>
              <w:tc>
                <w:tcPr>
                  <w:tcW w:w="835" w:type="dxa"/>
                  <w:vMerge w:val="continue"/>
                  <w:vAlign w:val="center"/>
                </w:tcPr>
                <w:p w14:paraId="754304A9">
                  <w:pPr>
                    <w:pStyle w:val="42"/>
                    <w:jc w:val="center"/>
                    <w:rPr>
                      <w:color w:val="auto"/>
                      <w:sz w:val="21"/>
                      <w:szCs w:val="21"/>
                    </w:rPr>
                  </w:pPr>
                </w:p>
              </w:tc>
              <w:tc>
                <w:tcPr>
                  <w:tcW w:w="830" w:type="dxa"/>
                  <w:vAlign w:val="center"/>
                </w:tcPr>
                <w:p w14:paraId="2004F86B">
                  <w:pPr>
                    <w:pStyle w:val="42"/>
                    <w:jc w:val="center"/>
                    <w:rPr>
                      <w:color w:val="auto"/>
                      <w:sz w:val="21"/>
                      <w:szCs w:val="21"/>
                    </w:rPr>
                  </w:pPr>
                  <w:r>
                    <w:rPr>
                      <w:color w:val="auto"/>
                      <w:sz w:val="21"/>
                      <w:szCs w:val="21"/>
                    </w:rPr>
                    <w:t>生活垃圾</w:t>
                  </w:r>
                </w:p>
              </w:tc>
            </w:tr>
            <w:tr w14:paraId="70D0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68EE3520">
                  <w:pPr>
                    <w:pStyle w:val="42"/>
                    <w:jc w:val="center"/>
                    <w:rPr>
                      <w:color w:val="auto"/>
                      <w:sz w:val="21"/>
                      <w:szCs w:val="21"/>
                    </w:rPr>
                  </w:pPr>
                </w:p>
              </w:tc>
              <w:tc>
                <w:tcPr>
                  <w:tcW w:w="1115" w:type="dxa"/>
                  <w:vAlign w:val="center"/>
                </w:tcPr>
                <w:p w14:paraId="6D16F1E2">
                  <w:pPr>
                    <w:pStyle w:val="42"/>
                    <w:jc w:val="center"/>
                    <w:rPr>
                      <w:color w:val="auto"/>
                      <w:sz w:val="21"/>
                      <w:szCs w:val="21"/>
                    </w:rPr>
                  </w:pPr>
                  <w:r>
                    <w:rPr>
                      <w:color w:val="auto"/>
                      <w:sz w:val="21"/>
                      <w:szCs w:val="21"/>
                    </w:rPr>
                    <w:t>土壤及</w:t>
                  </w:r>
                </w:p>
                <w:p w14:paraId="1B7227ED">
                  <w:pPr>
                    <w:pStyle w:val="42"/>
                    <w:jc w:val="center"/>
                    <w:rPr>
                      <w:color w:val="auto"/>
                      <w:sz w:val="21"/>
                      <w:szCs w:val="21"/>
                    </w:rPr>
                  </w:pPr>
                  <w:r>
                    <w:rPr>
                      <w:color w:val="auto"/>
                      <w:sz w:val="21"/>
                      <w:szCs w:val="21"/>
                    </w:rPr>
                    <w:t>地下水</w:t>
                  </w:r>
                </w:p>
                <w:p w14:paraId="085D2B7C">
                  <w:pPr>
                    <w:pStyle w:val="42"/>
                    <w:jc w:val="center"/>
                    <w:rPr>
                      <w:color w:val="auto"/>
                      <w:sz w:val="21"/>
                      <w:szCs w:val="21"/>
                    </w:rPr>
                  </w:pPr>
                  <w:r>
                    <w:rPr>
                      <w:color w:val="auto"/>
                      <w:sz w:val="21"/>
                      <w:szCs w:val="21"/>
                    </w:rPr>
                    <w:t>防护</w:t>
                  </w:r>
                </w:p>
              </w:tc>
              <w:tc>
                <w:tcPr>
                  <w:tcW w:w="5100" w:type="dxa"/>
                  <w:vAlign w:val="center"/>
                </w:tcPr>
                <w:p w14:paraId="63DA9E7A">
                  <w:pPr>
                    <w:pStyle w:val="42"/>
                    <w:jc w:val="left"/>
                    <w:rPr>
                      <w:b w:val="0"/>
                      <w:bCs w:val="0"/>
                      <w:color w:val="auto"/>
                      <w:sz w:val="21"/>
                      <w:szCs w:val="21"/>
                    </w:rPr>
                  </w:pPr>
                  <w:r>
                    <w:rPr>
                      <w:b w:val="0"/>
                      <w:bCs w:val="0"/>
                      <w:color w:val="auto"/>
                      <w:sz w:val="21"/>
                      <w:szCs w:val="21"/>
                    </w:rPr>
                    <w:t>简易防渗：厂区道路、办公等为简单防渗区，进行地面硬化即可。</w:t>
                  </w:r>
                </w:p>
                <w:p w14:paraId="4AB8FAA0">
                  <w:pPr>
                    <w:pStyle w:val="42"/>
                    <w:jc w:val="left"/>
                    <w:rPr>
                      <w:b w:val="0"/>
                      <w:bCs w:val="0"/>
                      <w:color w:val="auto"/>
                      <w:sz w:val="21"/>
                      <w:szCs w:val="21"/>
                    </w:rPr>
                  </w:pPr>
                  <w:r>
                    <w:rPr>
                      <w:b w:val="0"/>
                      <w:bCs w:val="0"/>
                      <w:color w:val="auto"/>
                      <w:sz w:val="21"/>
                      <w:szCs w:val="21"/>
                    </w:rPr>
                    <w:t>一般防渗区：除重点防渗外的生产车间，防渗要求：渗透系数≤10</w:t>
                  </w:r>
                  <w:r>
                    <w:rPr>
                      <w:rFonts w:hint="eastAsia"/>
                      <w:b w:val="0"/>
                      <w:bCs w:val="0"/>
                      <w:color w:val="auto"/>
                      <w:sz w:val="21"/>
                      <w:szCs w:val="21"/>
                      <w:vertAlign w:val="superscript"/>
                      <w:lang w:val="en-US" w:eastAsia="zh-CN"/>
                    </w:rPr>
                    <w:t>-7</w:t>
                  </w:r>
                  <w:r>
                    <w:rPr>
                      <w:b w:val="0"/>
                      <w:bCs w:val="0"/>
                      <w:color w:val="auto"/>
                      <w:sz w:val="21"/>
                      <w:szCs w:val="21"/>
                    </w:rPr>
                    <w:t>cm/s，等效黏土防渗层Mb≥1.5m。施工时采用防渗混凝土浇筑。</w:t>
                  </w:r>
                </w:p>
                <w:p w14:paraId="1F3D02F4">
                  <w:pPr>
                    <w:pStyle w:val="5"/>
                    <w:jc w:val="left"/>
                    <w:rPr>
                      <w:b w:val="0"/>
                      <w:bCs w:val="0"/>
                      <w:color w:val="auto"/>
                    </w:rPr>
                  </w:pPr>
                  <w:r>
                    <w:rPr>
                      <w:b w:val="0"/>
                      <w:bCs w:val="0"/>
                      <w:color w:val="auto"/>
                      <w:sz w:val="21"/>
                      <w:szCs w:val="21"/>
                    </w:rPr>
                    <w:t>重点防渗区：</w:t>
                  </w:r>
                  <w:r>
                    <w:rPr>
                      <w:rFonts w:hint="eastAsia"/>
                      <w:b w:val="0"/>
                      <w:bCs w:val="0"/>
                      <w:color w:val="auto"/>
                      <w:sz w:val="21"/>
                      <w:szCs w:val="21"/>
                      <w:lang w:eastAsia="zh-CN"/>
                    </w:rPr>
                    <w:t>危废贮存库</w:t>
                  </w:r>
                  <w:r>
                    <w:rPr>
                      <w:b w:val="0"/>
                      <w:bCs w:val="0"/>
                      <w:color w:val="auto"/>
                      <w:sz w:val="21"/>
                      <w:szCs w:val="21"/>
                    </w:rPr>
                    <w:t>，防渗要求：</w:t>
                  </w:r>
                  <w:r>
                    <w:rPr>
                      <w:b w:val="0"/>
                      <w:bCs w:val="0"/>
                      <w:color w:val="auto"/>
                      <w:spacing w:val="-11"/>
                      <w:sz w:val="21"/>
                    </w:rPr>
                    <w:t>防渗层为至少</w:t>
                  </w:r>
                  <w:r>
                    <w:rPr>
                      <w:rFonts w:eastAsia="Times New Roman"/>
                      <w:b w:val="0"/>
                      <w:bCs w:val="0"/>
                      <w:color w:val="auto"/>
                      <w:sz w:val="21"/>
                    </w:rPr>
                    <w:t>1m</w:t>
                  </w:r>
                  <w:r>
                    <w:rPr>
                      <w:b w:val="0"/>
                      <w:bCs w:val="0"/>
                      <w:color w:val="auto"/>
                      <w:spacing w:val="-5"/>
                      <w:sz w:val="21"/>
                    </w:rPr>
                    <w:t>厚黏土层</w:t>
                  </w:r>
                  <w:r>
                    <w:rPr>
                      <w:b w:val="0"/>
                      <w:bCs w:val="0"/>
                      <w:color w:val="auto"/>
                      <w:sz w:val="21"/>
                    </w:rPr>
                    <w:t>（</w:t>
                  </w:r>
                  <w:r>
                    <w:rPr>
                      <w:b w:val="0"/>
                      <w:bCs w:val="0"/>
                      <w:color w:val="auto"/>
                      <w:spacing w:val="-8"/>
                      <w:sz w:val="21"/>
                    </w:rPr>
                    <w:t>渗透系数不大于</w:t>
                  </w:r>
                  <w:r>
                    <w:rPr>
                      <w:rFonts w:eastAsia="Times New Roman"/>
                      <w:b w:val="0"/>
                      <w:bCs w:val="0"/>
                      <w:color w:val="auto"/>
                      <w:sz w:val="21"/>
                    </w:rPr>
                    <w:t>10</w:t>
                  </w:r>
                  <w:r>
                    <w:rPr>
                      <w:rFonts w:eastAsia="Times New Roman"/>
                      <w:b w:val="0"/>
                      <w:bCs w:val="0"/>
                      <w:color w:val="auto"/>
                      <w:sz w:val="21"/>
                      <w:vertAlign w:val="superscript"/>
                    </w:rPr>
                    <w:t>-7</w:t>
                  </w:r>
                  <w:r>
                    <w:rPr>
                      <w:rFonts w:eastAsia="Times New Roman"/>
                      <w:b w:val="0"/>
                      <w:bCs w:val="0"/>
                      <w:color w:val="auto"/>
                      <w:spacing w:val="-6"/>
                      <w:sz w:val="21"/>
                    </w:rPr>
                    <w:t>cm/s</w:t>
                  </w:r>
                  <w:r>
                    <w:rPr>
                      <w:b w:val="0"/>
                      <w:bCs w:val="0"/>
                      <w:color w:val="auto"/>
                      <w:spacing w:val="-6"/>
                      <w:sz w:val="21"/>
                    </w:rPr>
                    <w:t>）</w:t>
                  </w:r>
                  <w:r>
                    <w:rPr>
                      <w:b w:val="0"/>
                      <w:bCs w:val="0"/>
                      <w:color w:val="auto"/>
                      <w:spacing w:val="-2"/>
                      <w:sz w:val="21"/>
                    </w:rPr>
                    <w:t>，或至少</w:t>
                  </w:r>
                  <w:r>
                    <w:rPr>
                      <w:rFonts w:eastAsia="Times New Roman"/>
                      <w:b w:val="0"/>
                      <w:bCs w:val="0"/>
                      <w:color w:val="auto"/>
                      <w:spacing w:val="-2"/>
                      <w:sz w:val="21"/>
                    </w:rPr>
                    <w:t>2</w:t>
                  </w:r>
                  <w:r>
                    <w:rPr>
                      <w:rFonts w:eastAsia="Times New Roman"/>
                      <w:b w:val="0"/>
                      <w:bCs w:val="0"/>
                      <w:color w:val="auto"/>
                      <w:sz w:val="21"/>
                    </w:rPr>
                    <w:t>mm</w:t>
                  </w:r>
                  <w:r>
                    <w:rPr>
                      <w:b w:val="0"/>
                      <w:bCs w:val="0"/>
                      <w:color w:val="auto"/>
                      <w:sz w:val="21"/>
                    </w:rPr>
                    <w:t>厚高密度聚乙烯膜等人工防渗材料（</w:t>
                  </w:r>
                  <w:r>
                    <w:rPr>
                      <w:b w:val="0"/>
                      <w:bCs w:val="0"/>
                      <w:color w:val="auto"/>
                      <w:spacing w:val="-7"/>
                      <w:sz w:val="21"/>
                    </w:rPr>
                    <w:t>渗透系数不大于</w:t>
                  </w:r>
                  <w:r>
                    <w:rPr>
                      <w:rFonts w:eastAsia="Times New Roman"/>
                      <w:b w:val="0"/>
                      <w:bCs w:val="0"/>
                      <w:color w:val="auto"/>
                      <w:sz w:val="21"/>
                    </w:rPr>
                    <w:t>10</w:t>
                  </w:r>
                  <w:r>
                    <w:rPr>
                      <w:rFonts w:eastAsia="Times New Roman"/>
                      <w:b w:val="0"/>
                      <w:bCs w:val="0"/>
                      <w:color w:val="auto"/>
                      <w:sz w:val="21"/>
                      <w:vertAlign w:val="superscript"/>
                    </w:rPr>
                    <w:t>-10</w:t>
                  </w:r>
                  <w:r>
                    <w:rPr>
                      <w:rFonts w:eastAsia="Times New Roman"/>
                      <w:b w:val="0"/>
                      <w:bCs w:val="0"/>
                      <w:color w:val="auto"/>
                      <w:sz w:val="21"/>
                    </w:rPr>
                    <w:t>cm/s</w:t>
                  </w:r>
                  <w:r>
                    <w:rPr>
                      <w:b w:val="0"/>
                      <w:bCs w:val="0"/>
                      <w:color w:val="auto"/>
                      <w:sz w:val="21"/>
                    </w:rPr>
                    <w:t>），或其他防渗性能等效的材料</w:t>
                  </w:r>
                </w:p>
              </w:tc>
              <w:tc>
                <w:tcPr>
                  <w:tcW w:w="835" w:type="dxa"/>
                  <w:vMerge w:val="continue"/>
                  <w:vAlign w:val="center"/>
                </w:tcPr>
                <w:p w14:paraId="2BA6C164">
                  <w:pPr>
                    <w:pStyle w:val="42"/>
                    <w:jc w:val="center"/>
                    <w:rPr>
                      <w:color w:val="auto"/>
                      <w:sz w:val="21"/>
                      <w:szCs w:val="21"/>
                    </w:rPr>
                  </w:pPr>
                </w:p>
              </w:tc>
              <w:tc>
                <w:tcPr>
                  <w:tcW w:w="830" w:type="dxa"/>
                  <w:vAlign w:val="center"/>
                </w:tcPr>
                <w:p w14:paraId="6ACAA13F">
                  <w:pPr>
                    <w:pStyle w:val="42"/>
                    <w:jc w:val="center"/>
                    <w:rPr>
                      <w:color w:val="auto"/>
                      <w:sz w:val="21"/>
                      <w:szCs w:val="21"/>
                    </w:rPr>
                  </w:pPr>
                  <w:r>
                    <w:rPr>
                      <w:color w:val="auto"/>
                      <w:sz w:val="21"/>
                      <w:szCs w:val="21"/>
                    </w:rPr>
                    <w:t>环境风险</w:t>
                  </w:r>
                </w:p>
              </w:tc>
            </w:tr>
            <w:tr w14:paraId="1312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vAlign w:val="center"/>
                </w:tcPr>
                <w:p w14:paraId="41ADDC94">
                  <w:pPr>
                    <w:pStyle w:val="42"/>
                    <w:jc w:val="center"/>
                    <w:rPr>
                      <w:color w:val="auto"/>
                      <w:sz w:val="21"/>
                      <w:szCs w:val="21"/>
                    </w:rPr>
                  </w:pPr>
                </w:p>
              </w:tc>
              <w:tc>
                <w:tcPr>
                  <w:tcW w:w="1115" w:type="dxa"/>
                  <w:vAlign w:val="center"/>
                </w:tcPr>
                <w:p w14:paraId="4E6BB121">
                  <w:pPr>
                    <w:pStyle w:val="42"/>
                    <w:jc w:val="center"/>
                    <w:rPr>
                      <w:color w:val="auto"/>
                      <w:sz w:val="21"/>
                      <w:szCs w:val="21"/>
                    </w:rPr>
                  </w:pPr>
                  <w:r>
                    <w:rPr>
                      <w:color w:val="auto"/>
                      <w:sz w:val="21"/>
                      <w:szCs w:val="21"/>
                    </w:rPr>
                    <w:t>生态</w:t>
                  </w:r>
                </w:p>
              </w:tc>
              <w:tc>
                <w:tcPr>
                  <w:tcW w:w="5100" w:type="dxa"/>
                  <w:vAlign w:val="center"/>
                </w:tcPr>
                <w:p w14:paraId="32BEDCA9">
                  <w:pPr>
                    <w:pStyle w:val="42"/>
                    <w:jc w:val="left"/>
                    <w:rPr>
                      <w:color w:val="auto"/>
                      <w:sz w:val="21"/>
                      <w:szCs w:val="21"/>
                    </w:rPr>
                  </w:pPr>
                  <w:r>
                    <w:rPr>
                      <w:color w:val="auto"/>
                      <w:sz w:val="21"/>
                      <w:szCs w:val="21"/>
                    </w:rPr>
                    <w:t>绿化面积约</w:t>
                  </w:r>
                  <w:r>
                    <w:rPr>
                      <w:rFonts w:hint="eastAsia"/>
                      <w:color w:val="auto"/>
                      <w:sz w:val="21"/>
                      <w:szCs w:val="21"/>
                      <w:lang w:val="en-US" w:eastAsia="zh-CN"/>
                    </w:rPr>
                    <w:t>70</w:t>
                  </w:r>
                  <w:r>
                    <w:rPr>
                      <w:color w:val="auto"/>
                      <w:sz w:val="21"/>
                      <w:szCs w:val="21"/>
                    </w:rPr>
                    <w:t>00m</w:t>
                  </w:r>
                  <w:r>
                    <w:rPr>
                      <w:color w:val="auto"/>
                      <w:sz w:val="21"/>
                      <w:szCs w:val="21"/>
                      <w:vertAlign w:val="superscript"/>
                    </w:rPr>
                    <w:t>2</w:t>
                  </w:r>
                </w:p>
              </w:tc>
              <w:tc>
                <w:tcPr>
                  <w:tcW w:w="835" w:type="dxa"/>
                  <w:vMerge w:val="continue"/>
                  <w:vAlign w:val="center"/>
                </w:tcPr>
                <w:p w14:paraId="0B489D6C">
                  <w:pPr>
                    <w:pStyle w:val="42"/>
                    <w:jc w:val="center"/>
                    <w:rPr>
                      <w:color w:val="auto"/>
                      <w:sz w:val="21"/>
                      <w:szCs w:val="21"/>
                    </w:rPr>
                  </w:pPr>
                </w:p>
              </w:tc>
              <w:tc>
                <w:tcPr>
                  <w:tcW w:w="830" w:type="dxa"/>
                  <w:vAlign w:val="center"/>
                </w:tcPr>
                <w:p w14:paraId="14B3E296">
                  <w:pPr>
                    <w:pStyle w:val="42"/>
                    <w:jc w:val="center"/>
                    <w:rPr>
                      <w:color w:val="auto"/>
                      <w:sz w:val="21"/>
                      <w:szCs w:val="21"/>
                    </w:rPr>
                  </w:pPr>
                  <w:r>
                    <w:rPr>
                      <w:color w:val="auto"/>
                      <w:sz w:val="21"/>
                      <w:szCs w:val="21"/>
                    </w:rPr>
                    <w:t>/</w:t>
                  </w:r>
                </w:p>
              </w:tc>
            </w:tr>
            <w:bookmarkEnd w:id="8"/>
            <w:bookmarkEnd w:id="9"/>
          </w:tbl>
          <w:p w14:paraId="1FAD344C">
            <w:pPr>
              <w:pStyle w:val="18"/>
              <w:ind w:firstLineChars="0"/>
              <w:rPr>
                <w:b/>
                <w:bCs/>
                <w:color w:val="auto"/>
              </w:rPr>
            </w:pPr>
            <w:r>
              <w:rPr>
                <w:rFonts w:hint="eastAsia"/>
                <w:b/>
                <w:bCs/>
                <w:color w:val="auto"/>
              </w:rPr>
              <w:t>本项目位于胡杨河经济技术开发区南园区-煤、盐、油、精细化工及新材料产业区。依托性可行性分析如下：</w:t>
            </w:r>
          </w:p>
          <w:p w14:paraId="0794CF5A">
            <w:pPr>
              <w:autoSpaceDE w:val="0"/>
              <w:autoSpaceDN w:val="0"/>
              <w:adjustRightInd w:val="0"/>
              <w:snapToGrid w:val="0"/>
              <w:jc w:val="center"/>
              <w:rPr>
                <w:b/>
                <w:bCs/>
                <w:color w:val="auto"/>
                <w:kern w:val="0"/>
                <w:szCs w:val="21"/>
              </w:rPr>
            </w:pPr>
            <w:r>
              <w:rPr>
                <w:rFonts w:hint="eastAsia"/>
                <w:b/>
                <w:bCs/>
                <w:color w:val="auto"/>
                <w:kern w:val="0"/>
                <w:szCs w:val="21"/>
              </w:rPr>
              <w:t>表2-</w:t>
            </w:r>
            <w:r>
              <w:rPr>
                <w:rFonts w:hint="eastAsia"/>
                <w:b/>
                <w:bCs/>
                <w:color w:val="auto"/>
                <w:kern w:val="0"/>
                <w:szCs w:val="21"/>
                <w:lang w:val="en-US" w:eastAsia="zh-CN"/>
              </w:rPr>
              <w:t>6</w:t>
            </w:r>
            <w:r>
              <w:rPr>
                <w:rFonts w:hint="eastAsia"/>
                <w:b/>
                <w:bCs/>
                <w:color w:val="auto"/>
                <w:kern w:val="0"/>
                <w:szCs w:val="21"/>
              </w:rPr>
              <w:t>依托性可行性分析表</w:t>
            </w:r>
          </w:p>
          <w:tbl>
            <w:tblPr>
              <w:tblStyle w:val="20"/>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2555"/>
              <w:gridCol w:w="4255"/>
              <w:gridCol w:w="992"/>
            </w:tblGrid>
            <w:tr w14:paraId="1187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3" w:type="dxa"/>
                  <w:vAlign w:val="center"/>
                </w:tcPr>
                <w:p w14:paraId="6D115A2B">
                  <w:pPr>
                    <w:pStyle w:val="42"/>
                    <w:jc w:val="center"/>
                    <w:rPr>
                      <w:color w:val="auto"/>
                      <w:sz w:val="21"/>
                      <w:szCs w:val="21"/>
                    </w:rPr>
                  </w:pPr>
                  <w:r>
                    <w:rPr>
                      <w:rFonts w:hint="eastAsia"/>
                      <w:color w:val="auto"/>
                      <w:sz w:val="21"/>
                      <w:szCs w:val="21"/>
                    </w:rPr>
                    <w:t>序号</w:t>
                  </w:r>
                </w:p>
              </w:tc>
              <w:tc>
                <w:tcPr>
                  <w:tcW w:w="2555" w:type="dxa"/>
                  <w:vAlign w:val="center"/>
                </w:tcPr>
                <w:p w14:paraId="788B8247">
                  <w:pPr>
                    <w:pStyle w:val="42"/>
                    <w:jc w:val="center"/>
                    <w:rPr>
                      <w:color w:val="auto"/>
                      <w:sz w:val="21"/>
                      <w:szCs w:val="21"/>
                    </w:rPr>
                  </w:pPr>
                  <w:r>
                    <w:rPr>
                      <w:rFonts w:hint="eastAsia"/>
                      <w:color w:val="auto"/>
                      <w:sz w:val="21"/>
                      <w:szCs w:val="21"/>
                    </w:rPr>
                    <w:t>本项目</w:t>
                  </w:r>
                </w:p>
              </w:tc>
              <w:tc>
                <w:tcPr>
                  <w:tcW w:w="4255" w:type="dxa"/>
                  <w:vAlign w:val="center"/>
                </w:tcPr>
                <w:p w14:paraId="37E59DA7">
                  <w:pPr>
                    <w:pStyle w:val="42"/>
                    <w:jc w:val="center"/>
                    <w:rPr>
                      <w:color w:val="auto"/>
                      <w:sz w:val="21"/>
                      <w:szCs w:val="21"/>
                    </w:rPr>
                  </w:pPr>
                  <w:r>
                    <w:rPr>
                      <w:rFonts w:hint="eastAsia"/>
                      <w:color w:val="auto"/>
                      <w:sz w:val="21"/>
                      <w:szCs w:val="21"/>
                    </w:rPr>
                    <w:t>依托情况</w:t>
                  </w:r>
                </w:p>
              </w:tc>
              <w:tc>
                <w:tcPr>
                  <w:tcW w:w="992" w:type="dxa"/>
                  <w:vAlign w:val="center"/>
                </w:tcPr>
                <w:p w14:paraId="5E24C793">
                  <w:pPr>
                    <w:pStyle w:val="42"/>
                    <w:jc w:val="center"/>
                    <w:rPr>
                      <w:color w:val="auto"/>
                      <w:sz w:val="21"/>
                      <w:szCs w:val="21"/>
                    </w:rPr>
                  </w:pPr>
                  <w:r>
                    <w:rPr>
                      <w:rFonts w:hint="eastAsia"/>
                      <w:color w:val="auto"/>
                      <w:sz w:val="21"/>
                      <w:szCs w:val="21"/>
                    </w:rPr>
                    <w:t>是否可行</w:t>
                  </w:r>
                </w:p>
              </w:tc>
            </w:tr>
            <w:tr w14:paraId="0B96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3" w:type="dxa"/>
                  <w:vAlign w:val="center"/>
                </w:tcPr>
                <w:p w14:paraId="4CD9BF60">
                  <w:pPr>
                    <w:pStyle w:val="42"/>
                    <w:jc w:val="center"/>
                    <w:rPr>
                      <w:color w:val="auto"/>
                      <w:sz w:val="21"/>
                      <w:szCs w:val="21"/>
                    </w:rPr>
                  </w:pPr>
                  <w:r>
                    <w:rPr>
                      <w:rFonts w:hint="eastAsia"/>
                      <w:color w:val="auto"/>
                      <w:sz w:val="21"/>
                      <w:szCs w:val="21"/>
                    </w:rPr>
                    <w:t>1</w:t>
                  </w:r>
                </w:p>
              </w:tc>
              <w:tc>
                <w:tcPr>
                  <w:tcW w:w="2555" w:type="dxa"/>
                  <w:vAlign w:val="center"/>
                </w:tcPr>
                <w:p w14:paraId="011C922F">
                  <w:pPr>
                    <w:pStyle w:val="42"/>
                    <w:jc w:val="center"/>
                    <w:rPr>
                      <w:color w:val="auto"/>
                      <w:sz w:val="21"/>
                      <w:szCs w:val="21"/>
                    </w:rPr>
                  </w:pPr>
                  <w:r>
                    <w:rPr>
                      <w:rFonts w:hint="eastAsia"/>
                      <w:color w:val="auto"/>
                      <w:sz w:val="21"/>
                      <w:szCs w:val="21"/>
                    </w:rPr>
                    <w:t>本项目采用电进行生产，依托区域基础建设</w:t>
                  </w:r>
                </w:p>
              </w:tc>
              <w:tc>
                <w:tcPr>
                  <w:tcW w:w="4255" w:type="dxa"/>
                  <w:vAlign w:val="center"/>
                </w:tcPr>
                <w:p w14:paraId="17BBA10D">
                  <w:pPr>
                    <w:pStyle w:val="42"/>
                    <w:jc w:val="center"/>
                    <w:rPr>
                      <w:color w:val="auto"/>
                      <w:sz w:val="21"/>
                      <w:szCs w:val="21"/>
                    </w:rPr>
                  </w:pPr>
                  <w:r>
                    <w:rPr>
                      <w:rFonts w:hint="eastAsia"/>
                      <w:color w:val="auto"/>
                      <w:sz w:val="21"/>
                      <w:szCs w:val="21"/>
                    </w:rPr>
                    <w:t>区域水、电、天然气等基础设施完善，本项目厂区建设区域拥有配套完善设施，厂区配置变压器</w:t>
                  </w:r>
                </w:p>
              </w:tc>
              <w:tc>
                <w:tcPr>
                  <w:tcW w:w="992" w:type="dxa"/>
                  <w:vAlign w:val="center"/>
                </w:tcPr>
                <w:p w14:paraId="7F8AC6EA">
                  <w:pPr>
                    <w:pStyle w:val="42"/>
                    <w:jc w:val="center"/>
                    <w:rPr>
                      <w:color w:val="auto"/>
                      <w:sz w:val="21"/>
                      <w:szCs w:val="21"/>
                    </w:rPr>
                  </w:pPr>
                  <w:r>
                    <w:rPr>
                      <w:rFonts w:hint="eastAsia"/>
                      <w:color w:val="auto"/>
                      <w:sz w:val="21"/>
                      <w:szCs w:val="21"/>
                    </w:rPr>
                    <w:t>可行</w:t>
                  </w:r>
                </w:p>
              </w:tc>
            </w:tr>
            <w:tr w14:paraId="493E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73" w:type="dxa"/>
                  <w:vAlign w:val="center"/>
                </w:tcPr>
                <w:p w14:paraId="50101A35">
                  <w:pPr>
                    <w:pStyle w:val="42"/>
                    <w:jc w:val="center"/>
                    <w:rPr>
                      <w:color w:val="auto"/>
                      <w:sz w:val="21"/>
                      <w:szCs w:val="21"/>
                    </w:rPr>
                  </w:pPr>
                  <w:r>
                    <w:rPr>
                      <w:rFonts w:hint="eastAsia"/>
                      <w:color w:val="auto"/>
                      <w:sz w:val="21"/>
                      <w:szCs w:val="21"/>
                    </w:rPr>
                    <w:t>2</w:t>
                  </w:r>
                </w:p>
              </w:tc>
              <w:tc>
                <w:tcPr>
                  <w:tcW w:w="2555" w:type="dxa"/>
                  <w:vAlign w:val="center"/>
                </w:tcPr>
                <w:p w14:paraId="3C2E3A04">
                  <w:pPr>
                    <w:pStyle w:val="42"/>
                    <w:jc w:val="center"/>
                    <w:rPr>
                      <w:color w:val="auto"/>
                      <w:sz w:val="21"/>
                      <w:szCs w:val="21"/>
                    </w:rPr>
                  </w:pPr>
                  <w:r>
                    <w:rPr>
                      <w:rFonts w:hint="eastAsia"/>
                      <w:color w:val="auto"/>
                      <w:sz w:val="21"/>
                      <w:szCs w:val="21"/>
                    </w:rPr>
                    <w:t>本项目废水经预处理后排入市政管网，外排废水满足《污水综合排放标准》（GB8978-1996）中的三级标准</w:t>
                  </w:r>
                </w:p>
              </w:tc>
              <w:tc>
                <w:tcPr>
                  <w:tcW w:w="4255" w:type="dxa"/>
                  <w:vAlign w:val="center"/>
                </w:tcPr>
                <w:p w14:paraId="1100BA6B">
                  <w:pPr>
                    <w:pStyle w:val="5"/>
                    <w:jc w:val="center"/>
                    <w:rPr>
                      <w:color w:val="auto"/>
                      <w:sz w:val="21"/>
                      <w:szCs w:val="21"/>
                    </w:rPr>
                  </w:pPr>
                  <w:r>
                    <w:rPr>
                      <w:rFonts w:hint="eastAsia"/>
                      <w:color w:val="auto"/>
                      <w:sz w:val="21"/>
                      <w:szCs w:val="21"/>
                    </w:rPr>
                    <w:t>项目废水产生</w:t>
                  </w:r>
                  <w:r>
                    <w:rPr>
                      <w:rFonts w:hint="eastAsia"/>
                      <w:color w:val="auto"/>
                      <w:sz w:val="21"/>
                      <w:szCs w:val="21"/>
                      <w:highlight w:val="none"/>
                    </w:rPr>
                    <w:t>量7.867m</w:t>
                  </w:r>
                  <w:r>
                    <w:rPr>
                      <w:rFonts w:hint="eastAsia"/>
                      <w:color w:val="auto"/>
                      <w:sz w:val="21"/>
                      <w:szCs w:val="21"/>
                      <w:highlight w:val="none"/>
                      <w:vertAlign w:val="superscript"/>
                    </w:rPr>
                    <w:t>3</w:t>
                  </w:r>
                  <w:r>
                    <w:rPr>
                      <w:rFonts w:hint="eastAsia"/>
                      <w:color w:val="auto"/>
                      <w:sz w:val="21"/>
                      <w:szCs w:val="21"/>
                      <w:highlight w:val="none"/>
                    </w:rPr>
                    <w:t>/d较</w:t>
                  </w:r>
                  <w:r>
                    <w:rPr>
                      <w:rFonts w:hint="eastAsia"/>
                      <w:color w:val="auto"/>
                      <w:sz w:val="21"/>
                      <w:szCs w:val="21"/>
                    </w:rPr>
                    <w:t>少，且</w:t>
                  </w:r>
                  <w:r>
                    <w:rPr>
                      <w:rFonts w:hint="eastAsia"/>
                      <w:color w:val="auto"/>
                      <w:sz w:val="21"/>
                      <w:szCs w:val="21"/>
                      <w:lang w:val="en-US" w:eastAsia="zh-CN"/>
                    </w:rPr>
                    <w:t>为生活废水以及纯水制备废水</w:t>
                  </w:r>
                  <w:r>
                    <w:rPr>
                      <w:rFonts w:hint="eastAsia"/>
                      <w:color w:val="auto"/>
                      <w:sz w:val="21"/>
                      <w:szCs w:val="21"/>
                    </w:rPr>
                    <w:t>，水质简单；厂区</w:t>
                  </w:r>
                  <w:r>
                    <w:rPr>
                      <w:rFonts w:hint="eastAsia"/>
                      <w:color w:val="auto"/>
                      <w:sz w:val="21"/>
                      <w:szCs w:val="21"/>
                      <w:lang w:val="en-US" w:eastAsia="zh-CN"/>
                    </w:rPr>
                    <w:t>内设置</w:t>
                  </w:r>
                  <w:r>
                    <w:rPr>
                      <w:rFonts w:hint="eastAsia"/>
                      <w:color w:val="auto"/>
                      <w:sz w:val="21"/>
                      <w:szCs w:val="21"/>
                    </w:rPr>
                    <w:t>隔油池</w:t>
                  </w:r>
                  <w:r>
                    <w:rPr>
                      <w:color w:val="auto"/>
                      <w:sz w:val="21"/>
                      <w:szCs w:val="21"/>
                    </w:rPr>
                    <w:t>（容积</w:t>
                  </w:r>
                  <w:r>
                    <w:rPr>
                      <w:rFonts w:hint="eastAsia"/>
                      <w:color w:val="auto"/>
                      <w:sz w:val="21"/>
                      <w:szCs w:val="21"/>
                      <w:lang w:val="en-US" w:eastAsia="zh-CN"/>
                    </w:rPr>
                    <w:t>1</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及预处理池（容积</w:t>
                  </w:r>
                  <w:r>
                    <w:rPr>
                      <w:rFonts w:hint="eastAsia"/>
                      <w:color w:val="auto"/>
                      <w:sz w:val="21"/>
                      <w:szCs w:val="21"/>
                      <w:lang w:val="en-US" w:eastAsia="zh-CN"/>
                    </w:rPr>
                    <w:t>6</w:t>
                  </w:r>
                  <w:r>
                    <w:rPr>
                      <w:color w:val="auto"/>
                      <w:sz w:val="21"/>
                      <w:szCs w:val="21"/>
                    </w:rPr>
                    <w:t>m</w:t>
                  </w:r>
                  <w:r>
                    <w:rPr>
                      <w:color w:val="auto"/>
                      <w:sz w:val="21"/>
                      <w:szCs w:val="21"/>
                      <w:vertAlign w:val="superscript"/>
                    </w:rPr>
                    <w:t>3</w:t>
                  </w:r>
                  <w:r>
                    <w:rPr>
                      <w:rFonts w:hint="eastAsia"/>
                      <w:color w:val="auto"/>
                      <w:sz w:val="21"/>
                      <w:szCs w:val="21"/>
                    </w:rPr>
                    <w:t>）处理达标后排入</w:t>
                  </w:r>
                  <w:r>
                    <w:rPr>
                      <w:rFonts w:hint="eastAsia"/>
                      <w:color w:val="auto"/>
                      <w:sz w:val="21"/>
                      <w:szCs w:val="21"/>
                      <w:lang w:val="en-US" w:eastAsia="zh-CN"/>
                    </w:rPr>
                    <w:t>胡杨河经济技术开发区南区污水处理厂</w:t>
                  </w:r>
                  <w:r>
                    <w:rPr>
                      <w:rFonts w:hint="eastAsia"/>
                      <w:color w:val="auto"/>
                      <w:sz w:val="21"/>
                      <w:szCs w:val="21"/>
                    </w:rPr>
                    <w:t>，</w:t>
                  </w:r>
                  <w:r>
                    <w:rPr>
                      <w:rFonts w:hint="eastAsia"/>
                      <w:b/>
                      <w:bCs/>
                      <w:color w:val="auto"/>
                      <w:sz w:val="21"/>
                      <w:szCs w:val="21"/>
                      <w:lang w:val="en-US" w:eastAsia="zh-CN"/>
                    </w:rPr>
                    <w:t>园区</w:t>
                  </w:r>
                  <w:r>
                    <w:rPr>
                      <w:rFonts w:hint="eastAsia"/>
                      <w:b/>
                      <w:bCs/>
                      <w:color w:val="auto"/>
                      <w:sz w:val="21"/>
                      <w:szCs w:val="21"/>
                    </w:rPr>
                    <w:t>污水处理厂完全有能力接纳本项目产生的污水。</w:t>
                  </w:r>
                </w:p>
              </w:tc>
              <w:tc>
                <w:tcPr>
                  <w:tcW w:w="992" w:type="dxa"/>
                  <w:vAlign w:val="center"/>
                </w:tcPr>
                <w:p w14:paraId="46431181">
                  <w:pPr>
                    <w:pStyle w:val="42"/>
                    <w:jc w:val="center"/>
                    <w:rPr>
                      <w:color w:val="auto"/>
                      <w:sz w:val="21"/>
                      <w:szCs w:val="21"/>
                    </w:rPr>
                  </w:pPr>
                  <w:r>
                    <w:rPr>
                      <w:rFonts w:hint="eastAsia"/>
                      <w:color w:val="auto"/>
                      <w:sz w:val="21"/>
                      <w:szCs w:val="21"/>
                    </w:rPr>
                    <w:t>可行</w:t>
                  </w:r>
                </w:p>
              </w:tc>
            </w:tr>
          </w:tbl>
          <w:p w14:paraId="6EB88BCB">
            <w:pPr>
              <w:pStyle w:val="18"/>
              <w:ind w:firstLine="422"/>
              <w:rPr>
                <w:b/>
                <w:bCs/>
                <w:color w:val="auto"/>
              </w:rPr>
            </w:pPr>
            <w:r>
              <w:rPr>
                <w:b/>
                <w:bCs/>
                <w:color w:val="auto"/>
              </w:rPr>
              <w:t>6、主要原辅材料、动力消耗及主要设备清单</w:t>
            </w:r>
          </w:p>
          <w:p w14:paraId="53EA4F61">
            <w:pPr>
              <w:pStyle w:val="18"/>
              <w:rPr>
                <w:color w:val="auto"/>
              </w:rPr>
            </w:pPr>
            <w:r>
              <w:rPr>
                <w:color w:val="auto"/>
              </w:rPr>
              <w:t>（1）项目主要原辅材料、动力消耗及来源</w:t>
            </w:r>
          </w:p>
          <w:p w14:paraId="1A47D7D3">
            <w:pPr>
              <w:pStyle w:val="18"/>
              <w:rPr>
                <w:color w:val="auto"/>
              </w:rPr>
            </w:pPr>
            <w:r>
              <w:rPr>
                <w:color w:val="auto"/>
              </w:rPr>
              <w:t>本项目主要原辅材料、动力总消耗及来源见表2-</w:t>
            </w:r>
            <w:r>
              <w:rPr>
                <w:rFonts w:hint="eastAsia"/>
                <w:color w:val="auto"/>
                <w:lang w:val="en-US" w:eastAsia="zh-CN"/>
              </w:rPr>
              <w:t>7</w:t>
            </w:r>
            <w:r>
              <w:rPr>
                <w:color w:val="auto"/>
              </w:rPr>
              <w:t>。</w:t>
            </w:r>
          </w:p>
          <w:p w14:paraId="12A000A4">
            <w:pPr>
              <w:autoSpaceDE w:val="0"/>
              <w:autoSpaceDN w:val="0"/>
              <w:adjustRightInd w:val="0"/>
              <w:snapToGrid w:val="0"/>
              <w:jc w:val="center"/>
              <w:rPr>
                <w:b/>
                <w:bCs/>
                <w:color w:val="auto"/>
                <w:kern w:val="0"/>
                <w:szCs w:val="21"/>
              </w:rPr>
            </w:pPr>
            <w:r>
              <w:rPr>
                <w:b/>
                <w:bCs/>
                <w:color w:val="auto"/>
                <w:kern w:val="0"/>
                <w:szCs w:val="21"/>
              </w:rPr>
              <w:t>表2-</w:t>
            </w:r>
            <w:r>
              <w:rPr>
                <w:rFonts w:hint="eastAsia"/>
                <w:b/>
                <w:bCs/>
                <w:color w:val="auto"/>
                <w:kern w:val="0"/>
                <w:szCs w:val="21"/>
                <w:lang w:val="en-US" w:eastAsia="zh-CN"/>
              </w:rPr>
              <w:t>7</w:t>
            </w:r>
            <w:r>
              <w:rPr>
                <w:b/>
                <w:bCs/>
                <w:color w:val="auto"/>
                <w:kern w:val="0"/>
                <w:szCs w:val="21"/>
              </w:rPr>
              <w:t>项目主要原辅材料及能源消耗总量情况表</w:t>
            </w:r>
          </w:p>
          <w:tbl>
            <w:tblPr>
              <w:tblStyle w:val="20"/>
              <w:tblW w:w="8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00"/>
              <w:gridCol w:w="1560"/>
              <w:gridCol w:w="1710"/>
              <w:gridCol w:w="810"/>
              <w:gridCol w:w="974"/>
              <w:gridCol w:w="811"/>
              <w:gridCol w:w="900"/>
            </w:tblGrid>
            <w:tr w14:paraId="10E4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63" w:type="dxa"/>
                  <w:vAlign w:val="center"/>
                </w:tcPr>
                <w:p w14:paraId="220BBDB3">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产品</w:t>
                  </w:r>
                </w:p>
              </w:tc>
              <w:tc>
                <w:tcPr>
                  <w:tcW w:w="600" w:type="dxa"/>
                  <w:vAlign w:val="center"/>
                </w:tcPr>
                <w:p w14:paraId="4F3A3AA2">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序号</w:t>
                  </w:r>
                </w:p>
              </w:tc>
              <w:tc>
                <w:tcPr>
                  <w:tcW w:w="1560" w:type="dxa"/>
                  <w:vAlign w:val="center"/>
                </w:tcPr>
                <w:p w14:paraId="4BD5D91B">
                  <w:pPr>
                    <w:adjustRightInd w:val="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原料名称</w:t>
                  </w:r>
                </w:p>
              </w:tc>
              <w:tc>
                <w:tcPr>
                  <w:tcW w:w="1710" w:type="dxa"/>
                  <w:vAlign w:val="center"/>
                </w:tcPr>
                <w:p w14:paraId="4C5953B5">
                  <w:pPr>
                    <w:adjustRightInd w:val="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外观</w:t>
                  </w:r>
                </w:p>
              </w:tc>
              <w:tc>
                <w:tcPr>
                  <w:tcW w:w="810" w:type="dxa"/>
                  <w:vAlign w:val="center"/>
                </w:tcPr>
                <w:p w14:paraId="2194D17D">
                  <w:pPr>
                    <w:adjustRightInd w:val="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用量（t/a）</w:t>
                  </w:r>
                </w:p>
              </w:tc>
              <w:tc>
                <w:tcPr>
                  <w:tcW w:w="974" w:type="dxa"/>
                  <w:vAlign w:val="center"/>
                </w:tcPr>
                <w:p w14:paraId="4909DA74">
                  <w:pPr>
                    <w:adjustRightInd w:val="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最大贮存量（t）</w:t>
                  </w:r>
                </w:p>
              </w:tc>
              <w:tc>
                <w:tcPr>
                  <w:tcW w:w="811" w:type="dxa"/>
                  <w:vAlign w:val="center"/>
                </w:tcPr>
                <w:p w14:paraId="0114B0D6">
                  <w:pPr>
                    <w:adjustRightInd w:val="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贮存方式</w:t>
                  </w:r>
                </w:p>
              </w:tc>
              <w:tc>
                <w:tcPr>
                  <w:tcW w:w="900" w:type="dxa"/>
                  <w:vAlign w:val="center"/>
                </w:tcPr>
                <w:p w14:paraId="53C1522E">
                  <w:pPr>
                    <w:adjustRightInd w:val="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备注</w:t>
                  </w:r>
                </w:p>
              </w:tc>
            </w:tr>
            <w:tr w14:paraId="1B08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63" w:type="dxa"/>
                  <w:vMerge w:val="restart"/>
                  <w:vAlign w:val="center"/>
                </w:tcPr>
                <w:p w14:paraId="551A60A5">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25%吡唑醚菌酯悬浮剂</w:t>
                  </w:r>
                </w:p>
              </w:tc>
              <w:tc>
                <w:tcPr>
                  <w:tcW w:w="600" w:type="dxa"/>
                  <w:vAlign w:val="center"/>
                </w:tcPr>
                <w:p w14:paraId="0F3B6228">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560" w:type="dxa"/>
                  <w:vAlign w:val="center"/>
                </w:tcPr>
                <w:p w14:paraId="4270AC4F">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吡唑醚菌酯</w:t>
                  </w:r>
                </w:p>
              </w:tc>
              <w:tc>
                <w:tcPr>
                  <w:tcW w:w="1710" w:type="dxa"/>
                  <w:vAlign w:val="center"/>
                </w:tcPr>
                <w:p w14:paraId="4D066646">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类白色粉末</w:t>
                  </w:r>
                </w:p>
              </w:tc>
              <w:tc>
                <w:tcPr>
                  <w:tcW w:w="810" w:type="dxa"/>
                  <w:vAlign w:val="center"/>
                </w:tcPr>
                <w:p w14:paraId="0ADD41F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125</w:t>
                  </w:r>
                </w:p>
              </w:tc>
              <w:tc>
                <w:tcPr>
                  <w:tcW w:w="974" w:type="dxa"/>
                  <w:vAlign w:val="center"/>
                </w:tcPr>
                <w:p w14:paraId="72A2B3AE">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811" w:type="dxa"/>
                  <w:vAlign w:val="center"/>
                </w:tcPr>
                <w:p w14:paraId="2190619A">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袋装</w:t>
                  </w:r>
                </w:p>
              </w:tc>
              <w:tc>
                <w:tcPr>
                  <w:tcW w:w="900" w:type="dxa"/>
                  <w:vAlign w:val="center"/>
                </w:tcPr>
                <w:p w14:paraId="73B14FC4">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原药</w:t>
                  </w:r>
                </w:p>
              </w:tc>
            </w:tr>
            <w:tr w14:paraId="6A3A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63" w:type="dxa"/>
                  <w:vMerge w:val="continue"/>
                  <w:vAlign w:val="center"/>
                </w:tcPr>
                <w:p w14:paraId="2A320FD6">
                  <w:pPr>
                    <w:adjustRightInd w:val="0"/>
                    <w:jc w:val="center"/>
                    <w:rPr>
                      <w:rFonts w:hint="eastAsia" w:ascii="Times New Roman" w:hAnsi="Times New Roman" w:eastAsia="宋体" w:cs="Times New Roman"/>
                      <w:color w:val="auto"/>
                      <w:szCs w:val="21"/>
                    </w:rPr>
                  </w:pPr>
                </w:p>
              </w:tc>
              <w:tc>
                <w:tcPr>
                  <w:tcW w:w="600" w:type="dxa"/>
                  <w:vAlign w:val="center"/>
                </w:tcPr>
                <w:p w14:paraId="15FABB1B">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560" w:type="dxa"/>
                  <w:vAlign w:val="center"/>
                </w:tcPr>
                <w:p w14:paraId="26BED8D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聚羟酸钠盐</w:t>
                  </w:r>
                </w:p>
              </w:tc>
              <w:tc>
                <w:tcPr>
                  <w:tcW w:w="1710" w:type="dxa"/>
                  <w:vAlign w:val="center"/>
                </w:tcPr>
                <w:p w14:paraId="13B4B7F4">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均相液体</w:t>
                  </w:r>
                </w:p>
              </w:tc>
              <w:tc>
                <w:tcPr>
                  <w:tcW w:w="810" w:type="dxa"/>
                  <w:vAlign w:val="center"/>
                </w:tcPr>
                <w:p w14:paraId="3C49AF2E">
                  <w:pPr>
                    <w:adjustRightIn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45</w:t>
                  </w:r>
                </w:p>
              </w:tc>
              <w:tc>
                <w:tcPr>
                  <w:tcW w:w="974" w:type="dxa"/>
                  <w:vAlign w:val="center"/>
                </w:tcPr>
                <w:p w14:paraId="7C563DFA">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811" w:type="dxa"/>
                  <w:vAlign w:val="center"/>
                </w:tcPr>
                <w:p w14:paraId="665DD69B">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桶装</w:t>
                  </w:r>
                </w:p>
              </w:tc>
              <w:tc>
                <w:tcPr>
                  <w:tcW w:w="900" w:type="dxa"/>
                  <w:vAlign w:val="center"/>
                </w:tcPr>
                <w:p w14:paraId="31CDE31E">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稳定剂</w:t>
                  </w:r>
                </w:p>
              </w:tc>
            </w:tr>
            <w:tr w14:paraId="2D5A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63" w:type="dxa"/>
                  <w:vMerge w:val="continue"/>
                  <w:vAlign w:val="center"/>
                </w:tcPr>
                <w:p w14:paraId="2B450C8D">
                  <w:pPr>
                    <w:adjustRightInd w:val="0"/>
                    <w:jc w:val="center"/>
                    <w:rPr>
                      <w:rFonts w:hint="eastAsia" w:ascii="Times New Roman" w:hAnsi="Times New Roman" w:eastAsia="宋体" w:cs="Times New Roman"/>
                      <w:color w:val="auto"/>
                      <w:szCs w:val="21"/>
                    </w:rPr>
                  </w:pPr>
                </w:p>
              </w:tc>
              <w:tc>
                <w:tcPr>
                  <w:tcW w:w="600" w:type="dxa"/>
                  <w:vAlign w:val="center"/>
                </w:tcPr>
                <w:p w14:paraId="5BEF7716">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560" w:type="dxa"/>
                  <w:vAlign w:val="center"/>
                </w:tcPr>
                <w:p w14:paraId="25BCFEB2">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脂肪醇聚氧乙烯醚</w:t>
                  </w:r>
                </w:p>
              </w:tc>
              <w:tc>
                <w:tcPr>
                  <w:tcW w:w="1710" w:type="dxa"/>
                  <w:vAlign w:val="center"/>
                </w:tcPr>
                <w:p w14:paraId="4B4EA1C9">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棕褐色黏稠液体</w:t>
                  </w:r>
                </w:p>
              </w:tc>
              <w:tc>
                <w:tcPr>
                  <w:tcW w:w="810" w:type="dxa"/>
                  <w:vAlign w:val="center"/>
                </w:tcPr>
                <w:p w14:paraId="287FE65C">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p>
              </w:tc>
              <w:tc>
                <w:tcPr>
                  <w:tcW w:w="974" w:type="dxa"/>
                  <w:vAlign w:val="center"/>
                </w:tcPr>
                <w:p w14:paraId="33D2685B">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811" w:type="dxa"/>
                  <w:vAlign w:val="center"/>
                </w:tcPr>
                <w:p w14:paraId="2B54CB84">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75709613">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稳定剂</w:t>
                  </w:r>
                </w:p>
              </w:tc>
            </w:tr>
            <w:tr w14:paraId="5D12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63" w:type="dxa"/>
                  <w:vMerge w:val="continue"/>
                  <w:vAlign w:val="center"/>
                </w:tcPr>
                <w:p w14:paraId="6BBF9699">
                  <w:pPr>
                    <w:adjustRightInd w:val="0"/>
                    <w:jc w:val="center"/>
                    <w:rPr>
                      <w:rFonts w:hint="eastAsia" w:ascii="Times New Roman" w:hAnsi="Times New Roman" w:eastAsia="宋体" w:cs="Times New Roman"/>
                      <w:color w:val="auto"/>
                      <w:szCs w:val="21"/>
                    </w:rPr>
                  </w:pPr>
                </w:p>
              </w:tc>
              <w:tc>
                <w:tcPr>
                  <w:tcW w:w="600" w:type="dxa"/>
                  <w:vAlign w:val="center"/>
                </w:tcPr>
                <w:p w14:paraId="3190B9A8">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1560" w:type="dxa"/>
                  <w:vAlign w:val="center"/>
                </w:tcPr>
                <w:p w14:paraId="130ADC1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硅酸镁铝</w:t>
                  </w:r>
                </w:p>
              </w:tc>
              <w:tc>
                <w:tcPr>
                  <w:tcW w:w="1710" w:type="dxa"/>
                  <w:vAlign w:val="center"/>
                </w:tcPr>
                <w:p w14:paraId="5F481F9F">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白色或灰白色粉末</w:t>
                  </w:r>
                </w:p>
              </w:tc>
              <w:tc>
                <w:tcPr>
                  <w:tcW w:w="810" w:type="dxa"/>
                  <w:vAlign w:val="center"/>
                </w:tcPr>
                <w:p w14:paraId="222455FF">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p>
              </w:tc>
              <w:tc>
                <w:tcPr>
                  <w:tcW w:w="974" w:type="dxa"/>
                  <w:vAlign w:val="center"/>
                </w:tcPr>
                <w:p w14:paraId="7FE6AFC4">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811" w:type="dxa"/>
                  <w:vAlign w:val="center"/>
                </w:tcPr>
                <w:p w14:paraId="2ABA6D9A">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3355946D">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增效剂</w:t>
                  </w:r>
                </w:p>
              </w:tc>
            </w:tr>
            <w:tr w14:paraId="0BEE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63" w:type="dxa"/>
                  <w:vMerge w:val="continue"/>
                  <w:vAlign w:val="center"/>
                </w:tcPr>
                <w:p w14:paraId="02135803">
                  <w:pPr>
                    <w:adjustRightInd w:val="0"/>
                    <w:jc w:val="center"/>
                    <w:rPr>
                      <w:rFonts w:hint="eastAsia" w:ascii="Times New Roman" w:hAnsi="Times New Roman" w:eastAsia="宋体" w:cs="Times New Roman"/>
                      <w:color w:val="auto"/>
                      <w:szCs w:val="21"/>
                    </w:rPr>
                  </w:pPr>
                </w:p>
              </w:tc>
              <w:tc>
                <w:tcPr>
                  <w:tcW w:w="600" w:type="dxa"/>
                  <w:vAlign w:val="center"/>
                </w:tcPr>
                <w:p w14:paraId="7B057CC9">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560" w:type="dxa"/>
                  <w:vAlign w:val="center"/>
                </w:tcPr>
                <w:p w14:paraId="62F2549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白炭黑</w:t>
                  </w:r>
                </w:p>
              </w:tc>
              <w:tc>
                <w:tcPr>
                  <w:tcW w:w="1710" w:type="dxa"/>
                  <w:vAlign w:val="center"/>
                </w:tcPr>
                <w:p w14:paraId="77D4EE06">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白色或灰白色粉末，无可见杂质，无结块</w:t>
                  </w:r>
                </w:p>
              </w:tc>
              <w:tc>
                <w:tcPr>
                  <w:tcW w:w="810" w:type="dxa"/>
                  <w:vAlign w:val="center"/>
                </w:tcPr>
                <w:p w14:paraId="2B78719B">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p>
              </w:tc>
              <w:tc>
                <w:tcPr>
                  <w:tcW w:w="974" w:type="dxa"/>
                  <w:vAlign w:val="center"/>
                </w:tcPr>
                <w:p w14:paraId="75E3C2A6">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811" w:type="dxa"/>
                  <w:vAlign w:val="center"/>
                </w:tcPr>
                <w:p w14:paraId="02631FC5">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54D42BD5">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分散剂</w:t>
                  </w:r>
                </w:p>
              </w:tc>
            </w:tr>
            <w:tr w14:paraId="38A0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63" w:type="dxa"/>
                  <w:vMerge w:val="continue"/>
                  <w:vAlign w:val="center"/>
                </w:tcPr>
                <w:p w14:paraId="4F4253AD">
                  <w:pPr>
                    <w:adjustRightInd w:val="0"/>
                    <w:jc w:val="center"/>
                    <w:rPr>
                      <w:rFonts w:hint="eastAsia" w:ascii="Times New Roman" w:hAnsi="Times New Roman" w:eastAsia="宋体" w:cs="Times New Roman"/>
                      <w:color w:val="auto"/>
                      <w:szCs w:val="21"/>
                    </w:rPr>
                  </w:pPr>
                </w:p>
              </w:tc>
              <w:tc>
                <w:tcPr>
                  <w:tcW w:w="600" w:type="dxa"/>
                  <w:vAlign w:val="center"/>
                </w:tcPr>
                <w:p w14:paraId="0AF733CE">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560" w:type="dxa"/>
                  <w:vAlign w:val="center"/>
                </w:tcPr>
                <w:p w14:paraId="5AABC550">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黄原胶</w:t>
                  </w:r>
                </w:p>
              </w:tc>
              <w:tc>
                <w:tcPr>
                  <w:tcW w:w="1710" w:type="dxa"/>
                  <w:vAlign w:val="center"/>
                </w:tcPr>
                <w:p w14:paraId="39A01B61">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黄色粉末</w:t>
                  </w:r>
                </w:p>
              </w:tc>
              <w:tc>
                <w:tcPr>
                  <w:tcW w:w="810" w:type="dxa"/>
                  <w:vAlign w:val="center"/>
                </w:tcPr>
                <w:p w14:paraId="64E71F2D">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p>
              </w:tc>
              <w:tc>
                <w:tcPr>
                  <w:tcW w:w="974" w:type="dxa"/>
                  <w:vAlign w:val="center"/>
                </w:tcPr>
                <w:p w14:paraId="2D64BC4F">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811" w:type="dxa"/>
                  <w:vAlign w:val="center"/>
                </w:tcPr>
                <w:p w14:paraId="6F9B5FE9">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47EBD6B9">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增稠剂</w:t>
                  </w:r>
                </w:p>
              </w:tc>
            </w:tr>
            <w:tr w14:paraId="7D34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63" w:type="dxa"/>
                  <w:vMerge w:val="continue"/>
                  <w:vAlign w:val="center"/>
                </w:tcPr>
                <w:p w14:paraId="11104CB3">
                  <w:pPr>
                    <w:adjustRightInd w:val="0"/>
                    <w:jc w:val="center"/>
                    <w:rPr>
                      <w:rFonts w:hint="eastAsia" w:ascii="Times New Roman" w:hAnsi="Times New Roman" w:eastAsia="宋体" w:cs="Times New Roman"/>
                      <w:color w:val="auto"/>
                      <w:szCs w:val="21"/>
                    </w:rPr>
                  </w:pPr>
                </w:p>
              </w:tc>
              <w:tc>
                <w:tcPr>
                  <w:tcW w:w="600" w:type="dxa"/>
                  <w:vAlign w:val="center"/>
                </w:tcPr>
                <w:p w14:paraId="57A74D81">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1560" w:type="dxa"/>
                  <w:vAlign w:val="center"/>
                </w:tcPr>
                <w:p w14:paraId="7DDF323C">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尿素</w:t>
                  </w:r>
                </w:p>
              </w:tc>
              <w:tc>
                <w:tcPr>
                  <w:tcW w:w="1710" w:type="dxa"/>
                  <w:vAlign w:val="center"/>
                </w:tcPr>
                <w:p w14:paraId="4A043C48">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白色颗粒</w:t>
                  </w:r>
                </w:p>
              </w:tc>
              <w:tc>
                <w:tcPr>
                  <w:tcW w:w="810" w:type="dxa"/>
                  <w:vAlign w:val="center"/>
                </w:tcPr>
                <w:p w14:paraId="661BE7B8">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p>
              </w:tc>
              <w:tc>
                <w:tcPr>
                  <w:tcW w:w="974" w:type="dxa"/>
                  <w:vAlign w:val="center"/>
                </w:tcPr>
                <w:p w14:paraId="6D15550E">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811" w:type="dxa"/>
                  <w:vAlign w:val="center"/>
                </w:tcPr>
                <w:p w14:paraId="678F973F">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1BAFB129">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防冻剂</w:t>
                  </w:r>
                </w:p>
              </w:tc>
            </w:tr>
            <w:tr w14:paraId="2616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63" w:type="dxa"/>
                  <w:vMerge w:val="continue"/>
                  <w:vAlign w:val="center"/>
                </w:tcPr>
                <w:p w14:paraId="4FAF3D7B">
                  <w:pPr>
                    <w:adjustRightInd w:val="0"/>
                    <w:jc w:val="center"/>
                    <w:rPr>
                      <w:rFonts w:hint="eastAsia" w:ascii="Times New Roman" w:hAnsi="Times New Roman" w:eastAsia="宋体" w:cs="Times New Roman"/>
                      <w:color w:val="auto"/>
                      <w:szCs w:val="21"/>
                    </w:rPr>
                  </w:pPr>
                </w:p>
              </w:tc>
              <w:tc>
                <w:tcPr>
                  <w:tcW w:w="600" w:type="dxa"/>
                  <w:vAlign w:val="center"/>
                </w:tcPr>
                <w:p w14:paraId="6A98C92D">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1560" w:type="dxa"/>
                  <w:vAlign w:val="center"/>
                </w:tcPr>
                <w:p w14:paraId="526C0BFD">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纯水</w:t>
                  </w:r>
                </w:p>
              </w:tc>
              <w:tc>
                <w:tcPr>
                  <w:tcW w:w="1710" w:type="dxa"/>
                  <w:vAlign w:val="center"/>
                </w:tcPr>
                <w:p w14:paraId="796961AB">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透明液体</w:t>
                  </w:r>
                </w:p>
              </w:tc>
              <w:tc>
                <w:tcPr>
                  <w:tcW w:w="810" w:type="dxa"/>
                  <w:vAlign w:val="center"/>
                </w:tcPr>
                <w:p w14:paraId="5AEE4255">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239</w:t>
                  </w:r>
                </w:p>
              </w:tc>
              <w:tc>
                <w:tcPr>
                  <w:tcW w:w="974" w:type="dxa"/>
                  <w:vAlign w:val="center"/>
                </w:tcPr>
                <w:p w14:paraId="7143EBDA">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811" w:type="dxa"/>
                  <w:vAlign w:val="center"/>
                </w:tcPr>
                <w:p w14:paraId="4C103A9A">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00" w:type="dxa"/>
                  <w:vAlign w:val="center"/>
                </w:tcPr>
                <w:p w14:paraId="4D95A6D7">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溶剂</w:t>
                  </w:r>
                </w:p>
              </w:tc>
            </w:tr>
            <w:tr w14:paraId="43F8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restart"/>
                  <w:vAlign w:val="center"/>
                </w:tcPr>
                <w:p w14:paraId="0E23F2B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11.6%甲维盐氯虫苯甲酰胺悬浮剂</w:t>
                  </w:r>
                </w:p>
              </w:tc>
              <w:tc>
                <w:tcPr>
                  <w:tcW w:w="600" w:type="dxa"/>
                  <w:vAlign w:val="center"/>
                </w:tcPr>
                <w:p w14:paraId="2CEACD26">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1560" w:type="dxa"/>
                  <w:vAlign w:val="center"/>
                </w:tcPr>
                <w:p w14:paraId="30404558">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甲氨基阿维菌素苯甲酸盐</w:t>
                  </w:r>
                </w:p>
              </w:tc>
              <w:tc>
                <w:tcPr>
                  <w:tcW w:w="1710" w:type="dxa"/>
                  <w:vAlign w:val="center"/>
                </w:tcPr>
                <w:p w14:paraId="48164579">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白色或浅黄色晶状粉末</w:t>
                  </w:r>
                </w:p>
              </w:tc>
              <w:tc>
                <w:tcPr>
                  <w:tcW w:w="810" w:type="dxa"/>
                  <w:vAlign w:val="center"/>
                </w:tcPr>
                <w:p w14:paraId="446F944C">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16</w:t>
                  </w:r>
                </w:p>
              </w:tc>
              <w:tc>
                <w:tcPr>
                  <w:tcW w:w="974" w:type="dxa"/>
                  <w:vAlign w:val="center"/>
                </w:tcPr>
                <w:p w14:paraId="06D25AF2">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811" w:type="dxa"/>
                  <w:vAlign w:val="center"/>
                </w:tcPr>
                <w:p w14:paraId="041A06A1">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2753CFDB">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原药</w:t>
                  </w:r>
                </w:p>
              </w:tc>
            </w:tr>
            <w:tr w14:paraId="6A59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4C62C6F5">
                  <w:pPr>
                    <w:adjustRightInd w:val="0"/>
                    <w:jc w:val="center"/>
                    <w:rPr>
                      <w:rFonts w:hint="eastAsia" w:ascii="Times New Roman" w:hAnsi="Times New Roman" w:eastAsia="宋体" w:cs="Times New Roman"/>
                      <w:color w:val="auto"/>
                      <w:szCs w:val="21"/>
                    </w:rPr>
                  </w:pPr>
                </w:p>
              </w:tc>
              <w:tc>
                <w:tcPr>
                  <w:tcW w:w="600" w:type="dxa"/>
                  <w:vAlign w:val="center"/>
                </w:tcPr>
                <w:p w14:paraId="146FDA22">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560" w:type="dxa"/>
                  <w:vAlign w:val="center"/>
                </w:tcPr>
                <w:p w14:paraId="79C5214B">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氯虫苯甲酰胺</w:t>
                  </w:r>
                </w:p>
              </w:tc>
              <w:tc>
                <w:tcPr>
                  <w:tcW w:w="1710" w:type="dxa"/>
                  <w:vAlign w:val="center"/>
                </w:tcPr>
                <w:p w14:paraId="00F60EB6">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白色粉末</w:t>
                  </w:r>
                </w:p>
              </w:tc>
              <w:tc>
                <w:tcPr>
                  <w:tcW w:w="810" w:type="dxa"/>
                  <w:vAlign w:val="center"/>
                </w:tcPr>
                <w:p w14:paraId="6F1C2470">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76.8</w:t>
                  </w:r>
                </w:p>
              </w:tc>
              <w:tc>
                <w:tcPr>
                  <w:tcW w:w="974" w:type="dxa"/>
                  <w:vAlign w:val="center"/>
                </w:tcPr>
                <w:p w14:paraId="32947C6D">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811" w:type="dxa"/>
                  <w:vAlign w:val="center"/>
                </w:tcPr>
                <w:p w14:paraId="07A6A0C8">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32EDCDE4">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原药</w:t>
                  </w:r>
                </w:p>
              </w:tc>
            </w:tr>
            <w:tr w14:paraId="6CC0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2CB5B77F">
                  <w:pPr>
                    <w:adjustRightInd w:val="0"/>
                    <w:jc w:val="center"/>
                    <w:rPr>
                      <w:rFonts w:hint="eastAsia" w:ascii="Times New Roman" w:hAnsi="Times New Roman" w:eastAsia="宋体" w:cs="Times New Roman"/>
                      <w:color w:val="auto"/>
                      <w:szCs w:val="21"/>
                    </w:rPr>
                  </w:pPr>
                </w:p>
              </w:tc>
              <w:tc>
                <w:tcPr>
                  <w:tcW w:w="600" w:type="dxa"/>
                  <w:vAlign w:val="center"/>
                </w:tcPr>
                <w:p w14:paraId="058E58EC">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1560" w:type="dxa"/>
                  <w:vAlign w:val="center"/>
                </w:tcPr>
                <w:p w14:paraId="723C453B">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聚羟酸钠盐</w:t>
                  </w:r>
                </w:p>
              </w:tc>
              <w:tc>
                <w:tcPr>
                  <w:tcW w:w="1710" w:type="dxa"/>
                  <w:vAlign w:val="center"/>
                </w:tcPr>
                <w:p w14:paraId="0B72F004">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均相液体</w:t>
                  </w:r>
                </w:p>
              </w:tc>
              <w:tc>
                <w:tcPr>
                  <w:tcW w:w="810" w:type="dxa"/>
                  <w:vAlign w:val="center"/>
                </w:tcPr>
                <w:p w14:paraId="47C11A1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80</w:t>
                  </w:r>
                </w:p>
              </w:tc>
              <w:tc>
                <w:tcPr>
                  <w:tcW w:w="974" w:type="dxa"/>
                  <w:vAlign w:val="center"/>
                </w:tcPr>
                <w:p w14:paraId="327EE747">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811" w:type="dxa"/>
                  <w:vAlign w:val="center"/>
                </w:tcPr>
                <w:p w14:paraId="6E023463">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0407449C">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稳定剂</w:t>
                  </w:r>
                </w:p>
              </w:tc>
            </w:tr>
            <w:tr w14:paraId="63CB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47FA2060">
                  <w:pPr>
                    <w:adjustRightInd w:val="0"/>
                    <w:jc w:val="center"/>
                    <w:rPr>
                      <w:rFonts w:hint="eastAsia" w:ascii="Times New Roman" w:hAnsi="Times New Roman" w:eastAsia="宋体" w:cs="Times New Roman"/>
                      <w:color w:val="auto"/>
                      <w:szCs w:val="21"/>
                    </w:rPr>
                  </w:pPr>
                </w:p>
              </w:tc>
              <w:tc>
                <w:tcPr>
                  <w:tcW w:w="600" w:type="dxa"/>
                  <w:vAlign w:val="center"/>
                </w:tcPr>
                <w:p w14:paraId="41DC09F2">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560" w:type="dxa"/>
                  <w:vAlign w:val="center"/>
                </w:tcPr>
                <w:p w14:paraId="1B289CB6">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脂肪醇聚氧乙烯醚</w:t>
                  </w:r>
                </w:p>
              </w:tc>
              <w:tc>
                <w:tcPr>
                  <w:tcW w:w="1710" w:type="dxa"/>
                  <w:vAlign w:val="center"/>
                </w:tcPr>
                <w:p w14:paraId="222E4DF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无色透明黏稠液体</w:t>
                  </w:r>
                </w:p>
              </w:tc>
              <w:tc>
                <w:tcPr>
                  <w:tcW w:w="810" w:type="dxa"/>
                  <w:vAlign w:val="center"/>
                </w:tcPr>
                <w:p w14:paraId="41F9B31A">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80</w:t>
                  </w:r>
                </w:p>
              </w:tc>
              <w:tc>
                <w:tcPr>
                  <w:tcW w:w="974" w:type="dxa"/>
                  <w:vAlign w:val="center"/>
                </w:tcPr>
                <w:p w14:paraId="273D07A4">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811" w:type="dxa"/>
                  <w:vAlign w:val="center"/>
                </w:tcPr>
                <w:p w14:paraId="659390A1">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5069E2DD">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稳定剂</w:t>
                  </w:r>
                </w:p>
              </w:tc>
            </w:tr>
            <w:tr w14:paraId="66FB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2A0CC237">
                  <w:pPr>
                    <w:adjustRightInd w:val="0"/>
                    <w:jc w:val="center"/>
                    <w:rPr>
                      <w:rFonts w:hint="eastAsia" w:ascii="Times New Roman" w:hAnsi="Times New Roman" w:eastAsia="宋体" w:cs="Times New Roman"/>
                      <w:color w:val="auto"/>
                      <w:szCs w:val="21"/>
                    </w:rPr>
                  </w:pPr>
                </w:p>
              </w:tc>
              <w:tc>
                <w:tcPr>
                  <w:tcW w:w="600" w:type="dxa"/>
                  <w:vAlign w:val="center"/>
                </w:tcPr>
                <w:p w14:paraId="2971E6FB">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560" w:type="dxa"/>
                  <w:vAlign w:val="center"/>
                </w:tcPr>
                <w:p w14:paraId="50E7A535">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硅酸镁铝</w:t>
                  </w:r>
                </w:p>
              </w:tc>
              <w:tc>
                <w:tcPr>
                  <w:tcW w:w="1710" w:type="dxa"/>
                  <w:shd w:val="clear" w:color="auto" w:fill="auto"/>
                  <w:vAlign w:val="center"/>
                </w:tcPr>
                <w:p w14:paraId="67D8B315">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白色或灰白色粉末</w:t>
                  </w:r>
                </w:p>
              </w:tc>
              <w:tc>
                <w:tcPr>
                  <w:tcW w:w="810" w:type="dxa"/>
                  <w:vAlign w:val="center"/>
                </w:tcPr>
                <w:p w14:paraId="56BD400C">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w:t>
                  </w:r>
                </w:p>
              </w:tc>
              <w:tc>
                <w:tcPr>
                  <w:tcW w:w="974" w:type="dxa"/>
                  <w:shd w:val="clear" w:color="auto" w:fill="auto"/>
                  <w:vAlign w:val="center"/>
                </w:tcPr>
                <w:p w14:paraId="532D0F14">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w:t>
                  </w:r>
                </w:p>
              </w:tc>
              <w:tc>
                <w:tcPr>
                  <w:tcW w:w="811" w:type="dxa"/>
                  <w:vAlign w:val="center"/>
                </w:tcPr>
                <w:p w14:paraId="6F5852AA">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74788F11">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增效剂</w:t>
                  </w:r>
                </w:p>
              </w:tc>
            </w:tr>
            <w:tr w14:paraId="68DA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736AA50C">
                  <w:pPr>
                    <w:adjustRightInd w:val="0"/>
                    <w:jc w:val="center"/>
                    <w:rPr>
                      <w:rFonts w:hint="eastAsia" w:ascii="Times New Roman" w:hAnsi="Times New Roman" w:eastAsia="宋体" w:cs="Times New Roman"/>
                      <w:color w:val="auto"/>
                      <w:szCs w:val="21"/>
                    </w:rPr>
                  </w:pPr>
                </w:p>
              </w:tc>
              <w:tc>
                <w:tcPr>
                  <w:tcW w:w="600" w:type="dxa"/>
                  <w:vAlign w:val="center"/>
                </w:tcPr>
                <w:p w14:paraId="679178FC">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560" w:type="dxa"/>
                  <w:vAlign w:val="center"/>
                </w:tcPr>
                <w:p w14:paraId="1BBC146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白炭黑</w:t>
                  </w:r>
                </w:p>
              </w:tc>
              <w:tc>
                <w:tcPr>
                  <w:tcW w:w="1710" w:type="dxa"/>
                  <w:shd w:val="clear" w:color="auto" w:fill="auto"/>
                  <w:vAlign w:val="center"/>
                </w:tcPr>
                <w:p w14:paraId="2314FDAB">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白色或灰白色粉末，无可见杂质，无结块</w:t>
                  </w:r>
                </w:p>
              </w:tc>
              <w:tc>
                <w:tcPr>
                  <w:tcW w:w="810" w:type="dxa"/>
                  <w:vAlign w:val="center"/>
                </w:tcPr>
                <w:p w14:paraId="116CA987">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974" w:type="dxa"/>
                  <w:shd w:val="clear" w:color="auto" w:fill="auto"/>
                  <w:vAlign w:val="center"/>
                </w:tcPr>
                <w:p w14:paraId="37C9F11E">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w:t>
                  </w:r>
                </w:p>
              </w:tc>
              <w:tc>
                <w:tcPr>
                  <w:tcW w:w="811" w:type="dxa"/>
                  <w:vAlign w:val="center"/>
                </w:tcPr>
                <w:p w14:paraId="775E6C99">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1A2B4ED3">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分散剂</w:t>
                  </w:r>
                </w:p>
              </w:tc>
            </w:tr>
            <w:tr w14:paraId="2603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69B3D677">
                  <w:pPr>
                    <w:adjustRightInd w:val="0"/>
                    <w:jc w:val="center"/>
                    <w:rPr>
                      <w:rFonts w:hint="eastAsia" w:ascii="Times New Roman" w:hAnsi="Times New Roman" w:eastAsia="宋体" w:cs="Times New Roman"/>
                      <w:color w:val="auto"/>
                      <w:szCs w:val="21"/>
                    </w:rPr>
                  </w:pPr>
                </w:p>
              </w:tc>
              <w:tc>
                <w:tcPr>
                  <w:tcW w:w="600" w:type="dxa"/>
                  <w:vAlign w:val="center"/>
                </w:tcPr>
                <w:p w14:paraId="55D7DED3">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560" w:type="dxa"/>
                  <w:vAlign w:val="center"/>
                </w:tcPr>
                <w:p w14:paraId="7BE28130">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黄原胶</w:t>
                  </w:r>
                </w:p>
              </w:tc>
              <w:tc>
                <w:tcPr>
                  <w:tcW w:w="1710" w:type="dxa"/>
                  <w:shd w:val="clear" w:color="auto" w:fill="auto"/>
                  <w:vAlign w:val="center"/>
                </w:tcPr>
                <w:p w14:paraId="4A292347">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黄色粉末</w:t>
                  </w:r>
                </w:p>
              </w:tc>
              <w:tc>
                <w:tcPr>
                  <w:tcW w:w="810" w:type="dxa"/>
                  <w:vAlign w:val="center"/>
                </w:tcPr>
                <w:p w14:paraId="4153762E">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1.6</w:t>
                  </w:r>
                </w:p>
              </w:tc>
              <w:tc>
                <w:tcPr>
                  <w:tcW w:w="974" w:type="dxa"/>
                  <w:shd w:val="clear" w:color="auto" w:fill="auto"/>
                  <w:vAlign w:val="center"/>
                </w:tcPr>
                <w:p w14:paraId="71843ABE">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811" w:type="dxa"/>
                  <w:vAlign w:val="center"/>
                </w:tcPr>
                <w:p w14:paraId="1973D30E">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727EE9D5">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增稠剂</w:t>
                  </w:r>
                </w:p>
              </w:tc>
            </w:tr>
            <w:tr w14:paraId="4C48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14442294">
                  <w:pPr>
                    <w:adjustRightInd w:val="0"/>
                    <w:jc w:val="center"/>
                    <w:rPr>
                      <w:rFonts w:hint="eastAsia" w:ascii="Times New Roman" w:hAnsi="Times New Roman" w:eastAsia="宋体" w:cs="Times New Roman"/>
                      <w:color w:val="auto"/>
                      <w:szCs w:val="21"/>
                    </w:rPr>
                  </w:pPr>
                </w:p>
              </w:tc>
              <w:tc>
                <w:tcPr>
                  <w:tcW w:w="600" w:type="dxa"/>
                  <w:vAlign w:val="center"/>
                </w:tcPr>
                <w:p w14:paraId="748874DD">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1560" w:type="dxa"/>
                  <w:vAlign w:val="center"/>
                </w:tcPr>
                <w:p w14:paraId="11369EA6">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尿素</w:t>
                  </w:r>
                </w:p>
              </w:tc>
              <w:tc>
                <w:tcPr>
                  <w:tcW w:w="1710" w:type="dxa"/>
                  <w:shd w:val="clear" w:color="auto" w:fill="auto"/>
                  <w:vAlign w:val="center"/>
                </w:tcPr>
                <w:p w14:paraId="48A838DB">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白色颗粒</w:t>
                  </w:r>
                </w:p>
              </w:tc>
              <w:tc>
                <w:tcPr>
                  <w:tcW w:w="810" w:type="dxa"/>
                  <w:vAlign w:val="center"/>
                </w:tcPr>
                <w:p w14:paraId="3AB9E29A">
                  <w:pPr>
                    <w:adjustRightIn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48</w:t>
                  </w:r>
                  <w:r>
                    <w:rPr>
                      <w:rFonts w:hint="eastAsia" w:cs="Times New Roman"/>
                      <w:color w:val="auto"/>
                      <w:szCs w:val="21"/>
                      <w:lang w:val="en-US" w:eastAsia="zh-CN"/>
                    </w:rPr>
                    <w:t>.6</w:t>
                  </w:r>
                </w:p>
              </w:tc>
              <w:tc>
                <w:tcPr>
                  <w:tcW w:w="974" w:type="dxa"/>
                  <w:shd w:val="clear" w:color="auto" w:fill="auto"/>
                  <w:vAlign w:val="center"/>
                </w:tcPr>
                <w:p w14:paraId="3A8BF2C8">
                  <w:pPr>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10</w:t>
                  </w:r>
                </w:p>
              </w:tc>
              <w:tc>
                <w:tcPr>
                  <w:tcW w:w="811" w:type="dxa"/>
                  <w:vAlign w:val="center"/>
                </w:tcPr>
                <w:p w14:paraId="05A38FA2">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197E751E">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防冻剂</w:t>
                  </w:r>
                </w:p>
              </w:tc>
            </w:tr>
            <w:tr w14:paraId="148C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341ACE6F">
                  <w:pPr>
                    <w:adjustRightInd w:val="0"/>
                    <w:jc w:val="center"/>
                    <w:rPr>
                      <w:rFonts w:hint="eastAsia" w:ascii="Times New Roman" w:hAnsi="Times New Roman" w:eastAsia="宋体" w:cs="Times New Roman"/>
                      <w:color w:val="auto"/>
                      <w:szCs w:val="21"/>
                    </w:rPr>
                  </w:pPr>
                </w:p>
              </w:tc>
              <w:tc>
                <w:tcPr>
                  <w:tcW w:w="600" w:type="dxa"/>
                  <w:vAlign w:val="center"/>
                </w:tcPr>
                <w:p w14:paraId="342CB14A">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560" w:type="dxa"/>
                  <w:vAlign w:val="center"/>
                </w:tcPr>
                <w:p w14:paraId="46514661">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纯水</w:t>
                  </w:r>
                </w:p>
              </w:tc>
              <w:tc>
                <w:tcPr>
                  <w:tcW w:w="1710" w:type="dxa"/>
                  <w:shd w:val="clear" w:color="auto" w:fill="auto"/>
                  <w:vAlign w:val="center"/>
                </w:tcPr>
                <w:p w14:paraId="1A11181A">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透明液体</w:t>
                  </w:r>
                </w:p>
              </w:tc>
              <w:tc>
                <w:tcPr>
                  <w:tcW w:w="810" w:type="dxa"/>
                  <w:vAlign w:val="center"/>
                </w:tcPr>
                <w:p w14:paraId="57A9B6E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481</w:t>
                  </w:r>
                </w:p>
              </w:tc>
              <w:tc>
                <w:tcPr>
                  <w:tcW w:w="974" w:type="dxa"/>
                  <w:shd w:val="clear" w:color="auto" w:fill="auto"/>
                  <w:vAlign w:val="center"/>
                </w:tcPr>
                <w:p w14:paraId="49A4B50E">
                  <w:pPr>
                    <w:adjustRightIn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811" w:type="dxa"/>
                  <w:vAlign w:val="center"/>
                </w:tcPr>
                <w:p w14:paraId="7F07B72E">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900" w:type="dxa"/>
                  <w:vAlign w:val="center"/>
                </w:tcPr>
                <w:p w14:paraId="65A17D21">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溶剂</w:t>
                  </w:r>
                </w:p>
              </w:tc>
            </w:tr>
            <w:tr w14:paraId="118A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restart"/>
                  <w:vAlign w:val="center"/>
                </w:tcPr>
                <w:p w14:paraId="5BF063D8">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5%阿维菌素水乳剂</w:t>
                  </w:r>
                </w:p>
              </w:tc>
              <w:tc>
                <w:tcPr>
                  <w:tcW w:w="600" w:type="dxa"/>
                  <w:vAlign w:val="center"/>
                </w:tcPr>
                <w:p w14:paraId="1E594D12">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560" w:type="dxa"/>
                  <w:vAlign w:val="center"/>
                </w:tcPr>
                <w:p w14:paraId="3ECD4262">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阿维菌素</w:t>
                  </w:r>
                </w:p>
              </w:tc>
              <w:tc>
                <w:tcPr>
                  <w:tcW w:w="1710" w:type="dxa"/>
                  <w:vAlign w:val="center"/>
                </w:tcPr>
                <w:p w14:paraId="1C5CEF0A">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白色结晶粉末</w:t>
                  </w:r>
                </w:p>
              </w:tc>
              <w:tc>
                <w:tcPr>
                  <w:tcW w:w="810" w:type="dxa"/>
                  <w:vAlign w:val="center"/>
                </w:tcPr>
                <w:p w14:paraId="7D6C7E9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35</w:t>
                  </w:r>
                </w:p>
              </w:tc>
              <w:tc>
                <w:tcPr>
                  <w:tcW w:w="974" w:type="dxa"/>
                  <w:vAlign w:val="center"/>
                </w:tcPr>
                <w:p w14:paraId="08374C29">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811" w:type="dxa"/>
                  <w:vAlign w:val="center"/>
                </w:tcPr>
                <w:p w14:paraId="0CE32385">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6C324A65">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原药</w:t>
                  </w:r>
                </w:p>
              </w:tc>
            </w:tr>
            <w:tr w14:paraId="78E3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1632B88A">
                  <w:pPr>
                    <w:adjustRightInd w:val="0"/>
                    <w:jc w:val="center"/>
                    <w:rPr>
                      <w:rFonts w:hint="eastAsia" w:ascii="Times New Roman" w:hAnsi="Times New Roman" w:eastAsia="宋体" w:cs="Times New Roman"/>
                      <w:color w:val="auto"/>
                      <w:szCs w:val="21"/>
                    </w:rPr>
                  </w:pPr>
                </w:p>
              </w:tc>
              <w:tc>
                <w:tcPr>
                  <w:tcW w:w="600" w:type="dxa"/>
                  <w:vAlign w:val="center"/>
                </w:tcPr>
                <w:p w14:paraId="23B31E69">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1560" w:type="dxa"/>
                  <w:vAlign w:val="center"/>
                </w:tcPr>
                <w:p w14:paraId="00F97AE1">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溶剂油270#</w:t>
                  </w:r>
                </w:p>
              </w:tc>
              <w:tc>
                <w:tcPr>
                  <w:tcW w:w="1710" w:type="dxa"/>
                  <w:vAlign w:val="center"/>
                </w:tcPr>
                <w:p w14:paraId="475090EA">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浅黄色透明液体</w:t>
                  </w:r>
                </w:p>
              </w:tc>
              <w:tc>
                <w:tcPr>
                  <w:tcW w:w="810" w:type="dxa"/>
                  <w:vAlign w:val="center"/>
                </w:tcPr>
                <w:p w14:paraId="36110D6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w:t>
                  </w:r>
                </w:p>
              </w:tc>
              <w:tc>
                <w:tcPr>
                  <w:tcW w:w="974" w:type="dxa"/>
                  <w:vAlign w:val="center"/>
                </w:tcPr>
                <w:p w14:paraId="6E040FC8">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811" w:type="dxa"/>
                  <w:vAlign w:val="center"/>
                </w:tcPr>
                <w:p w14:paraId="00E0E788">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69876998">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溶剂</w:t>
                  </w:r>
                </w:p>
              </w:tc>
            </w:tr>
            <w:tr w14:paraId="00C8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267BB4A2">
                  <w:pPr>
                    <w:adjustRightInd w:val="0"/>
                    <w:jc w:val="center"/>
                    <w:rPr>
                      <w:rFonts w:hint="eastAsia" w:ascii="Times New Roman" w:hAnsi="Times New Roman" w:eastAsia="宋体" w:cs="Times New Roman"/>
                      <w:color w:val="auto"/>
                      <w:szCs w:val="21"/>
                    </w:rPr>
                  </w:pPr>
                </w:p>
              </w:tc>
              <w:tc>
                <w:tcPr>
                  <w:tcW w:w="600" w:type="dxa"/>
                  <w:vAlign w:val="center"/>
                </w:tcPr>
                <w:p w14:paraId="06269CD5">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560" w:type="dxa"/>
                  <w:vAlign w:val="center"/>
                </w:tcPr>
                <w:p w14:paraId="421A40C2">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十二烷基苯磺酸钠</w:t>
                  </w:r>
                </w:p>
              </w:tc>
              <w:tc>
                <w:tcPr>
                  <w:tcW w:w="1710" w:type="dxa"/>
                  <w:vAlign w:val="center"/>
                </w:tcPr>
                <w:p w14:paraId="005CADC6">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黏稠液体</w:t>
                  </w:r>
                </w:p>
              </w:tc>
              <w:tc>
                <w:tcPr>
                  <w:tcW w:w="810" w:type="dxa"/>
                  <w:vAlign w:val="center"/>
                </w:tcPr>
                <w:p w14:paraId="15797216">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w:t>
                  </w:r>
                </w:p>
              </w:tc>
              <w:tc>
                <w:tcPr>
                  <w:tcW w:w="974" w:type="dxa"/>
                  <w:vAlign w:val="center"/>
                </w:tcPr>
                <w:p w14:paraId="1E823D08">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811" w:type="dxa"/>
                  <w:vAlign w:val="center"/>
                </w:tcPr>
                <w:p w14:paraId="48EF9DF8">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762D7617">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分散剂</w:t>
                  </w:r>
                </w:p>
              </w:tc>
            </w:tr>
            <w:tr w14:paraId="44FE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666D0EC7">
                  <w:pPr>
                    <w:adjustRightInd w:val="0"/>
                    <w:jc w:val="center"/>
                    <w:rPr>
                      <w:rFonts w:hint="eastAsia" w:ascii="Times New Roman" w:hAnsi="Times New Roman" w:eastAsia="宋体" w:cs="Times New Roman"/>
                      <w:color w:val="auto"/>
                      <w:szCs w:val="21"/>
                    </w:rPr>
                  </w:pPr>
                </w:p>
              </w:tc>
              <w:tc>
                <w:tcPr>
                  <w:tcW w:w="600" w:type="dxa"/>
                  <w:vAlign w:val="center"/>
                </w:tcPr>
                <w:p w14:paraId="4AC5CC45">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1560" w:type="dxa"/>
                  <w:vAlign w:val="center"/>
                </w:tcPr>
                <w:p w14:paraId="60F15192">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纯水</w:t>
                  </w:r>
                </w:p>
              </w:tc>
              <w:tc>
                <w:tcPr>
                  <w:tcW w:w="1710" w:type="dxa"/>
                  <w:vAlign w:val="center"/>
                </w:tcPr>
                <w:p w14:paraId="6CF32EAF">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无色透明液体</w:t>
                  </w:r>
                </w:p>
              </w:tc>
              <w:tc>
                <w:tcPr>
                  <w:tcW w:w="810" w:type="dxa"/>
                  <w:vAlign w:val="center"/>
                </w:tcPr>
                <w:p w14:paraId="17FFC620">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385</w:t>
                  </w:r>
                </w:p>
              </w:tc>
              <w:tc>
                <w:tcPr>
                  <w:tcW w:w="974" w:type="dxa"/>
                  <w:vAlign w:val="center"/>
                </w:tcPr>
                <w:p w14:paraId="7C6536CE">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811" w:type="dxa"/>
                  <w:vAlign w:val="center"/>
                </w:tcPr>
                <w:p w14:paraId="5EBEA1B6">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47DB5A76">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溶剂</w:t>
                  </w:r>
                </w:p>
              </w:tc>
            </w:tr>
            <w:tr w14:paraId="5749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restart"/>
                  <w:vAlign w:val="center"/>
                </w:tcPr>
                <w:p w14:paraId="35552778">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0.3%苦参碱水剂</w:t>
                  </w:r>
                </w:p>
              </w:tc>
              <w:tc>
                <w:tcPr>
                  <w:tcW w:w="600" w:type="dxa"/>
                  <w:vAlign w:val="center"/>
                </w:tcPr>
                <w:p w14:paraId="2183F961">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560" w:type="dxa"/>
                  <w:vAlign w:val="center"/>
                </w:tcPr>
                <w:p w14:paraId="3E95AE8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苦参碱</w:t>
                  </w:r>
                </w:p>
              </w:tc>
              <w:tc>
                <w:tcPr>
                  <w:tcW w:w="1710" w:type="dxa"/>
                  <w:vAlign w:val="center"/>
                </w:tcPr>
                <w:p w14:paraId="770AE71F">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白色粉末</w:t>
                  </w:r>
                </w:p>
              </w:tc>
              <w:tc>
                <w:tcPr>
                  <w:tcW w:w="810" w:type="dxa"/>
                  <w:vAlign w:val="center"/>
                </w:tcPr>
                <w:p w14:paraId="3A2BFAD6">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3.9</w:t>
                  </w:r>
                </w:p>
              </w:tc>
              <w:tc>
                <w:tcPr>
                  <w:tcW w:w="974" w:type="dxa"/>
                  <w:vAlign w:val="center"/>
                </w:tcPr>
                <w:p w14:paraId="7039BB52">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811" w:type="dxa"/>
                  <w:vAlign w:val="center"/>
                </w:tcPr>
                <w:p w14:paraId="2A79E400">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72D71CD4">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原药</w:t>
                  </w:r>
                </w:p>
              </w:tc>
            </w:tr>
            <w:tr w14:paraId="2EB7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115A2E69">
                  <w:pPr>
                    <w:adjustRightInd w:val="0"/>
                    <w:jc w:val="center"/>
                    <w:rPr>
                      <w:rFonts w:hint="eastAsia" w:ascii="Times New Roman" w:hAnsi="Times New Roman" w:eastAsia="宋体" w:cs="Times New Roman"/>
                      <w:color w:val="auto"/>
                      <w:szCs w:val="21"/>
                    </w:rPr>
                  </w:pPr>
                </w:p>
              </w:tc>
              <w:tc>
                <w:tcPr>
                  <w:tcW w:w="600" w:type="dxa"/>
                  <w:vAlign w:val="center"/>
                </w:tcPr>
                <w:p w14:paraId="7EAE4597">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560" w:type="dxa"/>
                  <w:vAlign w:val="center"/>
                </w:tcPr>
                <w:p w14:paraId="478289EC">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十二烷基硫酸钙</w:t>
                  </w:r>
                </w:p>
              </w:tc>
              <w:tc>
                <w:tcPr>
                  <w:tcW w:w="1710" w:type="dxa"/>
                  <w:vAlign w:val="center"/>
                </w:tcPr>
                <w:p w14:paraId="6BEC280C">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黏稠液体</w:t>
                  </w:r>
                </w:p>
              </w:tc>
              <w:tc>
                <w:tcPr>
                  <w:tcW w:w="810" w:type="dxa"/>
                  <w:vAlign w:val="center"/>
                </w:tcPr>
                <w:p w14:paraId="423D970F">
                  <w:pPr>
                    <w:adjustRightIn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130</w:t>
                  </w:r>
                  <w:r>
                    <w:rPr>
                      <w:rFonts w:hint="eastAsia" w:cs="Times New Roman"/>
                      <w:color w:val="auto"/>
                      <w:szCs w:val="21"/>
                      <w:lang w:val="en-US" w:eastAsia="zh-CN"/>
                    </w:rPr>
                    <w:t>.1</w:t>
                  </w:r>
                </w:p>
              </w:tc>
              <w:tc>
                <w:tcPr>
                  <w:tcW w:w="974" w:type="dxa"/>
                  <w:vAlign w:val="center"/>
                </w:tcPr>
                <w:p w14:paraId="173059FE">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811" w:type="dxa"/>
                  <w:vAlign w:val="center"/>
                </w:tcPr>
                <w:p w14:paraId="1DD54A02">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1F72E38F">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表面活性剂</w:t>
                  </w:r>
                </w:p>
              </w:tc>
            </w:tr>
            <w:tr w14:paraId="058E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1D3C4AAE">
                  <w:pPr>
                    <w:adjustRightInd w:val="0"/>
                    <w:jc w:val="center"/>
                    <w:rPr>
                      <w:rFonts w:hint="eastAsia" w:ascii="Times New Roman" w:hAnsi="Times New Roman" w:eastAsia="宋体" w:cs="Times New Roman"/>
                      <w:color w:val="auto"/>
                      <w:szCs w:val="21"/>
                    </w:rPr>
                  </w:pPr>
                </w:p>
              </w:tc>
              <w:tc>
                <w:tcPr>
                  <w:tcW w:w="600" w:type="dxa"/>
                  <w:vAlign w:val="center"/>
                </w:tcPr>
                <w:p w14:paraId="0E7047C1">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1560" w:type="dxa"/>
                  <w:vAlign w:val="center"/>
                </w:tcPr>
                <w:p w14:paraId="60B675E9">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纯水</w:t>
                  </w:r>
                </w:p>
              </w:tc>
              <w:tc>
                <w:tcPr>
                  <w:tcW w:w="1710" w:type="dxa"/>
                  <w:vAlign w:val="center"/>
                </w:tcPr>
                <w:p w14:paraId="01629366">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无色透明液体</w:t>
                  </w:r>
                </w:p>
              </w:tc>
              <w:tc>
                <w:tcPr>
                  <w:tcW w:w="810" w:type="dxa"/>
                  <w:vAlign w:val="center"/>
                </w:tcPr>
                <w:p w14:paraId="3EED92C4">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1166</w:t>
                  </w:r>
                </w:p>
              </w:tc>
              <w:tc>
                <w:tcPr>
                  <w:tcW w:w="974" w:type="dxa"/>
                  <w:vAlign w:val="center"/>
                </w:tcPr>
                <w:p w14:paraId="7E0C27E0">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811" w:type="dxa"/>
                  <w:vAlign w:val="center"/>
                </w:tcPr>
                <w:p w14:paraId="7B9BB9AC">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1EFFEA84">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助剂</w:t>
                  </w:r>
                </w:p>
              </w:tc>
            </w:tr>
            <w:tr w14:paraId="6796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63" w:type="dxa"/>
                  <w:vMerge w:val="restart"/>
                  <w:vAlign w:val="center"/>
                </w:tcPr>
                <w:p w14:paraId="44D6D345">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20%啶虫脒可湿性粉剂</w:t>
                  </w:r>
                </w:p>
              </w:tc>
              <w:tc>
                <w:tcPr>
                  <w:tcW w:w="600" w:type="dxa"/>
                  <w:vAlign w:val="center"/>
                </w:tcPr>
                <w:p w14:paraId="001E3793">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1560" w:type="dxa"/>
                  <w:vAlign w:val="center"/>
                </w:tcPr>
                <w:p w14:paraId="3DFF0022">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啶虫脒</w:t>
                  </w:r>
                </w:p>
              </w:tc>
              <w:tc>
                <w:tcPr>
                  <w:tcW w:w="1710" w:type="dxa"/>
                  <w:vAlign w:val="center"/>
                </w:tcPr>
                <w:p w14:paraId="78207519">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类白色粉末</w:t>
                  </w:r>
                </w:p>
              </w:tc>
              <w:tc>
                <w:tcPr>
                  <w:tcW w:w="810" w:type="dxa"/>
                  <w:vAlign w:val="center"/>
                </w:tcPr>
                <w:p w14:paraId="414C6812">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40</w:t>
                  </w:r>
                </w:p>
              </w:tc>
              <w:tc>
                <w:tcPr>
                  <w:tcW w:w="974" w:type="dxa"/>
                  <w:vAlign w:val="center"/>
                </w:tcPr>
                <w:p w14:paraId="12D0D06B">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811" w:type="dxa"/>
                  <w:vAlign w:val="center"/>
                </w:tcPr>
                <w:p w14:paraId="4D3E0361">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袋装</w:t>
                  </w:r>
                </w:p>
              </w:tc>
              <w:tc>
                <w:tcPr>
                  <w:tcW w:w="900" w:type="dxa"/>
                  <w:vAlign w:val="center"/>
                </w:tcPr>
                <w:p w14:paraId="1A70A447">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原药</w:t>
                  </w:r>
                </w:p>
              </w:tc>
            </w:tr>
            <w:tr w14:paraId="2C4B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6E43AA22">
                  <w:pPr>
                    <w:adjustRightInd w:val="0"/>
                    <w:jc w:val="center"/>
                    <w:rPr>
                      <w:rFonts w:hint="eastAsia" w:ascii="Times New Roman" w:hAnsi="Times New Roman" w:eastAsia="宋体" w:cs="Times New Roman"/>
                      <w:color w:val="auto"/>
                      <w:szCs w:val="21"/>
                    </w:rPr>
                  </w:pPr>
                </w:p>
              </w:tc>
              <w:tc>
                <w:tcPr>
                  <w:tcW w:w="600" w:type="dxa"/>
                  <w:vAlign w:val="center"/>
                </w:tcPr>
                <w:p w14:paraId="2670C2C0">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1560" w:type="dxa"/>
                  <w:vAlign w:val="center"/>
                </w:tcPr>
                <w:p w14:paraId="4AFD8A9A">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十二烷基苯磺酸钠</w:t>
                  </w:r>
                </w:p>
              </w:tc>
              <w:tc>
                <w:tcPr>
                  <w:tcW w:w="1710" w:type="dxa"/>
                  <w:vAlign w:val="center"/>
                </w:tcPr>
                <w:p w14:paraId="3FD4ED13">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白色粉末</w:t>
                  </w:r>
                </w:p>
              </w:tc>
              <w:tc>
                <w:tcPr>
                  <w:tcW w:w="810" w:type="dxa"/>
                  <w:vAlign w:val="center"/>
                </w:tcPr>
                <w:p w14:paraId="1AA11E9F">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p>
              </w:tc>
              <w:tc>
                <w:tcPr>
                  <w:tcW w:w="974" w:type="dxa"/>
                  <w:vAlign w:val="center"/>
                </w:tcPr>
                <w:p w14:paraId="4A598728">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811" w:type="dxa"/>
                  <w:vAlign w:val="center"/>
                </w:tcPr>
                <w:p w14:paraId="661DA3E3">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桶装</w:t>
                  </w:r>
                </w:p>
              </w:tc>
              <w:tc>
                <w:tcPr>
                  <w:tcW w:w="900" w:type="dxa"/>
                  <w:vAlign w:val="center"/>
                </w:tcPr>
                <w:p w14:paraId="37D16951">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渗透剂</w:t>
                  </w:r>
                </w:p>
              </w:tc>
            </w:tr>
            <w:tr w14:paraId="3A43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5EC4E662">
                  <w:pPr>
                    <w:adjustRightInd w:val="0"/>
                    <w:jc w:val="center"/>
                    <w:rPr>
                      <w:rFonts w:hint="eastAsia" w:ascii="Times New Roman" w:hAnsi="Times New Roman" w:eastAsia="宋体" w:cs="Times New Roman"/>
                      <w:color w:val="auto"/>
                      <w:szCs w:val="21"/>
                    </w:rPr>
                  </w:pPr>
                </w:p>
              </w:tc>
              <w:tc>
                <w:tcPr>
                  <w:tcW w:w="600" w:type="dxa"/>
                  <w:vAlign w:val="center"/>
                </w:tcPr>
                <w:p w14:paraId="1976CAD3">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560" w:type="dxa"/>
                  <w:vAlign w:val="center"/>
                </w:tcPr>
                <w:p w14:paraId="5F086A29">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轻钙</w:t>
                  </w:r>
                </w:p>
              </w:tc>
              <w:tc>
                <w:tcPr>
                  <w:tcW w:w="1710" w:type="dxa"/>
                  <w:vAlign w:val="center"/>
                </w:tcPr>
                <w:p w14:paraId="015DD1F1">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白色粉末</w:t>
                  </w:r>
                </w:p>
              </w:tc>
              <w:tc>
                <w:tcPr>
                  <w:tcW w:w="810" w:type="dxa"/>
                  <w:vAlign w:val="center"/>
                </w:tcPr>
                <w:p w14:paraId="22B46219">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140</w:t>
                  </w:r>
                </w:p>
              </w:tc>
              <w:tc>
                <w:tcPr>
                  <w:tcW w:w="974" w:type="dxa"/>
                  <w:vAlign w:val="center"/>
                </w:tcPr>
                <w:p w14:paraId="3C4E4677">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811" w:type="dxa"/>
                  <w:vAlign w:val="center"/>
                </w:tcPr>
                <w:p w14:paraId="09C62F12">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袋装</w:t>
                  </w:r>
                </w:p>
              </w:tc>
              <w:tc>
                <w:tcPr>
                  <w:tcW w:w="900" w:type="dxa"/>
                  <w:vAlign w:val="center"/>
                </w:tcPr>
                <w:p w14:paraId="26EDCB14">
                  <w:pPr>
                    <w:keepNext w:val="0"/>
                    <w:keepLines w:val="0"/>
                    <w:widowControl/>
                    <w:suppressLineNumbers w:val="0"/>
                    <w:jc w:val="center"/>
                    <w:textAlignment w:val="center"/>
                    <w:rPr>
                      <w:rFonts w:hint="eastAsia" w:ascii="Times New Roman" w:hAnsi="Times New Roman" w:eastAsia="宋体" w:cs="Times New Roman"/>
                      <w:color w:val="auto"/>
                      <w:szCs w:val="21"/>
                    </w:rPr>
                  </w:pPr>
                  <w:r>
                    <w:rPr>
                      <w:rFonts w:hint="eastAsia" w:ascii="宋体" w:hAnsi="宋体" w:eastAsia="宋体" w:cs="宋体"/>
                      <w:i w:val="0"/>
                      <w:iCs w:val="0"/>
                      <w:color w:val="auto"/>
                      <w:kern w:val="0"/>
                      <w:sz w:val="22"/>
                      <w:szCs w:val="22"/>
                      <w:u w:val="none"/>
                      <w:lang w:val="en-US" w:eastAsia="zh-CN" w:bidi="ar"/>
                    </w:rPr>
                    <w:t>辅料</w:t>
                  </w:r>
                </w:p>
              </w:tc>
            </w:tr>
            <w:tr w14:paraId="343B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Align w:val="center"/>
                </w:tcPr>
                <w:p w14:paraId="1A52C108">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辅助</w:t>
                  </w:r>
                </w:p>
              </w:tc>
              <w:tc>
                <w:tcPr>
                  <w:tcW w:w="600" w:type="dxa"/>
                  <w:vAlign w:val="center"/>
                </w:tcPr>
                <w:p w14:paraId="7B93DEEC">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w:t>
                  </w:r>
                </w:p>
              </w:tc>
              <w:tc>
                <w:tcPr>
                  <w:tcW w:w="1560" w:type="dxa"/>
                  <w:vAlign w:val="center"/>
                </w:tcPr>
                <w:p w14:paraId="1B6DD947">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机油</w:t>
                  </w:r>
                </w:p>
              </w:tc>
              <w:tc>
                <w:tcPr>
                  <w:tcW w:w="1710" w:type="dxa"/>
                  <w:vAlign w:val="center"/>
                </w:tcPr>
                <w:p w14:paraId="33BB1084">
                  <w:pPr>
                    <w:adjustRightInd w:val="0"/>
                    <w:jc w:val="center"/>
                    <w:rPr>
                      <w:rFonts w:hint="default" w:cs="Times New Roman"/>
                      <w:color w:val="auto"/>
                      <w:szCs w:val="21"/>
                      <w:lang w:val="en-US" w:eastAsia="zh-CN"/>
                    </w:rPr>
                  </w:pPr>
                  <w:r>
                    <w:rPr>
                      <w:rFonts w:hint="eastAsia" w:cs="Times New Roman"/>
                      <w:color w:val="auto"/>
                      <w:szCs w:val="21"/>
                      <w:lang w:val="en-US" w:eastAsia="zh-CN"/>
                    </w:rPr>
                    <w:t>/</w:t>
                  </w:r>
                </w:p>
              </w:tc>
              <w:tc>
                <w:tcPr>
                  <w:tcW w:w="810" w:type="dxa"/>
                  <w:vAlign w:val="center"/>
                </w:tcPr>
                <w:p w14:paraId="07463BA0">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c>
                <w:tcPr>
                  <w:tcW w:w="974" w:type="dxa"/>
                  <w:vAlign w:val="center"/>
                </w:tcPr>
                <w:p w14:paraId="40A5206B">
                  <w:pPr>
                    <w:adjustRightInd w:val="0"/>
                    <w:jc w:val="center"/>
                    <w:rPr>
                      <w:rFonts w:hint="default" w:cs="Times New Roman"/>
                      <w:color w:val="auto"/>
                      <w:szCs w:val="21"/>
                      <w:lang w:val="en-US" w:eastAsia="zh-CN"/>
                    </w:rPr>
                  </w:pPr>
                  <w:r>
                    <w:rPr>
                      <w:rFonts w:hint="eastAsia" w:cs="Times New Roman"/>
                      <w:color w:val="auto"/>
                      <w:szCs w:val="21"/>
                      <w:lang w:val="en-US" w:eastAsia="zh-CN"/>
                    </w:rPr>
                    <w:t>0.5</w:t>
                  </w:r>
                </w:p>
              </w:tc>
              <w:tc>
                <w:tcPr>
                  <w:tcW w:w="811" w:type="dxa"/>
                  <w:vAlign w:val="center"/>
                </w:tcPr>
                <w:p w14:paraId="64A3A092">
                  <w:pPr>
                    <w:adjustRightInd w:val="0"/>
                    <w:jc w:val="center"/>
                    <w:rPr>
                      <w:rFonts w:hint="eastAsia" w:cs="Times New Roman"/>
                      <w:color w:val="auto"/>
                      <w:szCs w:val="21"/>
                      <w:lang w:val="en-US" w:eastAsia="zh-CN"/>
                    </w:rPr>
                  </w:pPr>
                  <w:r>
                    <w:rPr>
                      <w:rFonts w:hint="eastAsia" w:cs="Times New Roman"/>
                      <w:color w:val="auto"/>
                      <w:szCs w:val="21"/>
                      <w:lang w:val="en-US" w:eastAsia="zh-CN"/>
                    </w:rPr>
                    <w:t>桶装</w:t>
                  </w:r>
                </w:p>
              </w:tc>
              <w:tc>
                <w:tcPr>
                  <w:tcW w:w="900" w:type="dxa"/>
                  <w:vAlign w:val="center"/>
                </w:tcPr>
                <w:p w14:paraId="6F6CFB0F">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cs="Times New Roman"/>
                      <w:color w:val="auto"/>
                      <w:szCs w:val="21"/>
                      <w:lang w:val="en-US" w:eastAsia="zh-CN"/>
                    </w:rPr>
                    <w:t>/</w:t>
                  </w:r>
                </w:p>
              </w:tc>
            </w:tr>
            <w:tr w14:paraId="0913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restart"/>
                  <w:vAlign w:val="center"/>
                </w:tcPr>
                <w:p w14:paraId="5A1CBB8A">
                  <w:pPr>
                    <w:adjustRightInd w:val="0"/>
                    <w:jc w:val="center"/>
                    <w:rPr>
                      <w:rFonts w:hint="default" w:cs="Times New Roman"/>
                      <w:color w:val="auto"/>
                      <w:szCs w:val="21"/>
                      <w:lang w:val="en-US" w:eastAsia="zh-CN"/>
                    </w:rPr>
                  </w:pPr>
                  <w:r>
                    <w:rPr>
                      <w:rFonts w:hint="eastAsia" w:cs="Times New Roman"/>
                      <w:color w:val="auto"/>
                      <w:szCs w:val="21"/>
                      <w:lang w:val="en-US" w:eastAsia="zh-CN"/>
                    </w:rPr>
                    <w:t>检验室</w:t>
                  </w:r>
                </w:p>
              </w:tc>
              <w:tc>
                <w:tcPr>
                  <w:tcW w:w="600" w:type="dxa"/>
                  <w:vAlign w:val="center"/>
                </w:tcPr>
                <w:p w14:paraId="1B42F33C">
                  <w:pPr>
                    <w:adjustRightInd w:val="0"/>
                    <w:jc w:val="center"/>
                    <w:rPr>
                      <w:rFonts w:hint="default" w:cs="Times New Roman"/>
                      <w:color w:val="auto"/>
                      <w:szCs w:val="21"/>
                      <w:lang w:val="en-US" w:eastAsia="zh-CN"/>
                    </w:rPr>
                  </w:pPr>
                  <w:r>
                    <w:rPr>
                      <w:rFonts w:hint="eastAsia" w:cs="Times New Roman"/>
                      <w:color w:val="auto"/>
                      <w:szCs w:val="21"/>
                      <w:lang w:val="en-US" w:eastAsia="zh-CN"/>
                    </w:rPr>
                    <w:t>29</w:t>
                  </w:r>
                </w:p>
              </w:tc>
              <w:tc>
                <w:tcPr>
                  <w:tcW w:w="1560" w:type="dxa"/>
                  <w:vAlign w:val="center"/>
                </w:tcPr>
                <w:p w14:paraId="21DFD142">
                  <w:pPr>
                    <w:adjustRightInd w:val="0"/>
                    <w:jc w:val="center"/>
                    <w:rPr>
                      <w:rFonts w:hint="default" w:cs="Times New Roman"/>
                      <w:color w:val="auto"/>
                      <w:szCs w:val="21"/>
                      <w:lang w:val="en-US" w:eastAsia="zh-CN"/>
                    </w:rPr>
                  </w:pPr>
                  <w:r>
                    <w:rPr>
                      <w:rFonts w:hint="eastAsia" w:cs="Times New Roman"/>
                      <w:color w:val="auto"/>
                      <w:szCs w:val="21"/>
                      <w:lang w:val="en-US" w:eastAsia="zh-CN"/>
                    </w:rPr>
                    <w:t>色谱纯试剂</w:t>
                  </w:r>
                </w:p>
              </w:tc>
              <w:tc>
                <w:tcPr>
                  <w:tcW w:w="1710" w:type="dxa"/>
                  <w:vAlign w:val="center"/>
                </w:tcPr>
                <w:p w14:paraId="1E175285">
                  <w:pPr>
                    <w:adjustRightInd w:val="0"/>
                    <w:jc w:val="center"/>
                    <w:rPr>
                      <w:rFonts w:hint="eastAsia" w:cs="Times New Roman"/>
                      <w:color w:val="auto"/>
                      <w:szCs w:val="21"/>
                      <w:lang w:val="en-US" w:eastAsia="zh-CN"/>
                    </w:rPr>
                  </w:pPr>
                  <w:r>
                    <w:rPr>
                      <w:rFonts w:hint="eastAsia" w:cs="Times New Roman"/>
                      <w:color w:val="auto"/>
                      <w:szCs w:val="21"/>
                      <w:lang w:val="en-US" w:eastAsia="zh-CN"/>
                    </w:rPr>
                    <w:t>/</w:t>
                  </w:r>
                </w:p>
              </w:tc>
              <w:tc>
                <w:tcPr>
                  <w:tcW w:w="810" w:type="dxa"/>
                  <w:vAlign w:val="center"/>
                </w:tcPr>
                <w:p w14:paraId="3966C46D">
                  <w:pPr>
                    <w:adjustRightInd w:val="0"/>
                    <w:jc w:val="center"/>
                    <w:rPr>
                      <w:rFonts w:hint="default" w:cs="Times New Roman"/>
                      <w:color w:val="auto"/>
                      <w:szCs w:val="21"/>
                      <w:lang w:val="en-US" w:eastAsia="zh-CN"/>
                    </w:rPr>
                  </w:pPr>
                  <w:r>
                    <w:rPr>
                      <w:rFonts w:hint="eastAsia" w:cs="Times New Roman"/>
                      <w:color w:val="auto"/>
                      <w:szCs w:val="21"/>
                      <w:lang w:val="en-US" w:eastAsia="zh-CN"/>
                    </w:rPr>
                    <w:t>1L</w:t>
                  </w:r>
                </w:p>
              </w:tc>
              <w:tc>
                <w:tcPr>
                  <w:tcW w:w="974" w:type="dxa"/>
                  <w:vAlign w:val="center"/>
                </w:tcPr>
                <w:p w14:paraId="583A5B86">
                  <w:pPr>
                    <w:adjustRightInd w:val="0"/>
                    <w:jc w:val="center"/>
                    <w:rPr>
                      <w:rFonts w:hint="eastAsia" w:cs="Times New Roman"/>
                      <w:color w:val="auto"/>
                      <w:szCs w:val="21"/>
                      <w:lang w:val="en-US" w:eastAsia="zh-CN"/>
                    </w:rPr>
                  </w:pPr>
                  <w:r>
                    <w:rPr>
                      <w:rFonts w:hint="eastAsia" w:cs="Times New Roman"/>
                      <w:color w:val="auto"/>
                      <w:szCs w:val="21"/>
                      <w:lang w:val="en-US" w:eastAsia="zh-CN"/>
                    </w:rPr>
                    <w:t>1L</w:t>
                  </w:r>
                </w:p>
              </w:tc>
              <w:tc>
                <w:tcPr>
                  <w:tcW w:w="811" w:type="dxa"/>
                  <w:vAlign w:val="center"/>
                </w:tcPr>
                <w:p w14:paraId="34059BAE">
                  <w:pPr>
                    <w:adjustRightInd w:val="0"/>
                    <w:jc w:val="center"/>
                    <w:rPr>
                      <w:rFonts w:hint="default" w:cs="Times New Roman"/>
                      <w:color w:val="auto"/>
                      <w:szCs w:val="21"/>
                      <w:lang w:val="en-US" w:eastAsia="zh-CN"/>
                    </w:rPr>
                  </w:pPr>
                  <w:r>
                    <w:rPr>
                      <w:rFonts w:hint="eastAsia" w:cs="Times New Roman"/>
                      <w:color w:val="auto"/>
                      <w:szCs w:val="21"/>
                      <w:lang w:val="en-US" w:eastAsia="zh-CN"/>
                    </w:rPr>
                    <w:t>瓶装</w:t>
                  </w:r>
                </w:p>
              </w:tc>
              <w:tc>
                <w:tcPr>
                  <w:tcW w:w="900" w:type="dxa"/>
                  <w:vAlign w:val="center"/>
                </w:tcPr>
                <w:p w14:paraId="20FAAB88">
                  <w:pPr>
                    <w:keepNext w:val="0"/>
                    <w:keepLines w:val="0"/>
                    <w:widowControl/>
                    <w:suppressLineNumbers w:val="0"/>
                    <w:jc w:val="center"/>
                    <w:textAlignment w:val="center"/>
                    <w:rPr>
                      <w:rFonts w:hint="eastAsia" w:cs="Times New Roman"/>
                      <w:color w:val="auto"/>
                      <w:szCs w:val="21"/>
                      <w:lang w:val="en-US" w:eastAsia="zh-CN"/>
                    </w:rPr>
                  </w:pPr>
                  <w:r>
                    <w:rPr>
                      <w:rFonts w:hint="eastAsia" w:cs="Times New Roman"/>
                      <w:color w:val="auto"/>
                      <w:szCs w:val="21"/>
                      <w:lang w:val="en-US" w:eastAsia="zh-CN"/>
                    </w:rPr>
                    <w:t>/</w:t>
                  </w:r>
                </w:p>
              </w:tc>
            </w:tr>
            <w:tr w14:paraId="062B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863" w:type="dxa"/>
                  <w:vMerge w:val="continue"/>
                  <w:vAlign w:val="center"/>
                </w:tcPr>
                <w:p w14:paraId="28B8E7E8">
                  <w:pPr>
                    <w:adjustRightInd w:val="0"/>
                    <w:jc w:val="center"/>
                    <w:rPr>
                      <w:rFonts w:hint="eastAsia" w:cs="Times New Roman"/>
                      <w:color w:val="auto"/>
                      <w:szCs w:val="21"/>
                      <w:lang w:val="en-US" w:eastAsia="zh-CN"/>
                    </w:rPr>
                  </w:pPr>
                </w:p>
              </w:tc>
              <w:tc>
                <w:tcPr>
                  <w:tcW w:w="600" w:type="dxa"/>
                  <w:vAlign w:val="center"/>
                </w:tcPr>
                <w:p w14:paraId="48ADEA44">
                  <w:pPr>
                    <w:adjustRightInd w:val="0"/>
                    <w:jc w:val="center"/>
                    <w:rPr>
                      <w:rFonts w:hint="default" w:cs="Times New Roman"/>
                      <w:color w:val="auto"/>
                      <w:szCs w:val="21"/>
                      <w:lang w:val="en-US" w:eastAsia="zh-CN"/>
                    </w:rPr>
                  </w:pPr>
                  <w:r>
                    <w:rPr>
                      <w:rFonts w:hint="eastAsia" w:cs="Times New Roman"/>
                      <w:color w:val="auto"/>
                      <w:szCs w:val="21"/>
                      <w:lang w:val="en-US" w:eastAsia="zh-CN"/>
                    </w:rPr>
                    <w:t>30</w:t>
                  </w:r>
                </w:p>
              </w:tc>
              <w:tc>
                <w:tcPr>
                  <w:tcW w:w="1560" w:type="dxa"/>
                  <w:vAlign w:val="center"/>
                </w:tcPr>
                <w:p w14:paraId="4F9E03A6">
                  <w:pPr>
                    <w:adjustRightInd w:val="0"/>
                    <w:jc w:val="center"/>
                    <w:rPr>
                      <w:rFonts w:hint="default" w:cs="Times New Roman"/>
                      <w:color w:val="auto"/>
                      <w:szCs w:val="21"/>
                      <w:lang w:val="en-US" w:eastAsia="zh-CN"/>
                    </w:rPr>
                  </w:pPr>
                  <w:r>
                    <w:rPr>
                      <w:rFonts w:hint="eastAsia" w:cs="Times New Roman"/>
                      <w:color w:val="auto"/>
                      <w:szCs w:val="21"/>
                      <w:lang w:val="en-US" w:eastAsia="zh-CN"/>
                    </w:rPr>
                    <w:t>酸碱试剂</w:t>
                  </w:r>
                </w:p>
              </w:tc>
              <w:tc>
                <w:tcPr>
                  <w:tcW w:w="1710" w:type="dxa"/>
                  <w:vAlign w:val="center"/>
                </w:tcPr>
                <w:p w14:paraId="2E7AA7A4">
                  <w:pPr>
                    <w:adjustRightInd w:val="0"/>
                    <w:jc w:val="center"/>
                    <w:rPr>
                      <w:rFonts w:hint="eastAsia" w:cs="Times New Roman"/>
                      <w:color w:val="auto"/>
                      <w:szCs w:val="21"/>
                      <w:lang w:val="en-US" w:eastAsia="zh-CN"/>
                    </w:rPr>
                  </w:pPr>
                  <w:r>
                    <w:rPr>
                      <w:rFonts w:hint="eastAsia" w:cs="Times New Roman"/>
                      <w:color w:val="auto"/>
                      <w:szCs w:val="21"/>
                      <w:lang w:val="en-US" w:eastAsia="zh-CN"/>
                    </w:rPr>
                    <w:t>/</w:t>
                  </w:r>
                </w:p>
              </w:tc>
              <w:tc>
                <w:tcPr>
                  <w:tcW w:w="810" w:type="dxa"/>
                  <w:vAlign w:val="center"/>
                </w:tcPr>
                <w:p w14:paraId="74BF6726">
                  <w:pPr>
                    <w:adjustRightInd w:val="0"/>
                    <w:jc w:val="center"/>
                    <w:rPr>
                      <w:rFonts w:hint="default" w:cs="Times New Roman"/>
                      <w:color w:val="auto"/>
                      <w:szCs w:val="21"/>
                      <w:lang w:val="en-US" w:eastAsia="zh-CN"/>
                    </w:rPr>
                  </w:pPr>
                  <w:r>
                    <w:rPr>
                      <w:rFonts w:hint="eastAsia" w:cs="Times New Roman"/>
                      <w:color w:val="auto"/>
                      <w:szCs w:val="21"/>
                      <w:lang w:val="en-US" w:eastAsia="zh-CN"/>
                    </w:rPr>
                    <w:t>500ML</w:t>
                  </w:r>
                </w:p>
              </w:tc>
              <w:tc>
                <w:tcPr>
                  <w:tcW w:w="974" w:type="dxa"/>
                  <w:vAlign w:val="center"/>
                </w:tcPr>
                <w:p w14:paraId="60327428">
                  <w:pPr>
                    <w:adjustRightInd w:val="0"/>
                    <w:jc w:val="center"/>
                    <w:rPr>
                      <w:rFonts w:hint="eastAsia" w:cs="Times New Roman"/>
                      <w:color w:val="auto"/>
                      <w:szCs w:val="21"/>
                      <w:lang w:val="en-US" w:eastAsia="zh-CN"/>
                    </w:rPr>
                  </w:pPr>
                  <w:r>
                    <w:rPr>
                      <w:rFonts w:hint="eastAsia" w:cs="Times New Roman"/>
                      <w:color w:val="auto"/>
                      <w:szCs w:val="21"/>
                      <w:lang w:val="en-US" w:eastAsia="zh-CN"/>
                    </w:rPr>
                    <w:t>500ML</w:t>
                  </w:r>
                </w:p>
              </w:tc>
              <w:tc>
                <w:tcPr>
                  <w:tcW w:w="811" w:type="dxa"/>
                  <w:shd w:val="clear" w:color="auto" w:fill="auto"/>
                  <w:vAlign w:val="center"/>
                </w:tcPr>
                <w:p w14:paraId="7D807ABF">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瓶装</w:t>
                  </w:r>
                </w:p>
              </w:tc>
              <w:tc>
                <w:tcPr>
                  <w:tcW w:w="900" w:type="dxa"/>
                  <w:vAlign w:val="center"/>
                </w:tcPr>
                <w:p w14:paraId="56153B63">
                  <w:pPr>
                    <w:keepNext w:val="0"/>
                    <w:keepLines w:val="0"/>
                    <w:widowControl/>
                    <w:suppressLineNumbers w:val="0"/>
                    <w:jc w:val="center"/>
                    <w:textAlignment w:val="center"/>
                    <w:rPr>
                      <w:rFonts w:hint="eastAsia" w:cs="Times New Roman"/>
                      <w:color w:val="auto"/>
                      <w:szCs w:val="21"/>
                      <w:lang w:val="en-US" w:eastAsia="zh-CN"/>
                    </w:rPr>
                  </w:pPr>
                  <w:r>
                    <w:rPr>
                      <w:rFonts w:hint="eastAsia" w:cs="Times New Roman"/>
                      <w:color w:val="auto"/>
                      <w:szCs w:val="21"/>
                      <w:lang w:val="en-US" w:eastAsia="zh-CN"/>
                    </w:rPr>
                    <w:t>/</w:t>
                  </w:r>
                </w:p>
              </w:tc>
            </w:tr>
            <w:tr w14:paraId="1DBC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63" w:type="dxa"/>
                  <w:gridSpan w:val="2"/>
                  <w:vMerge w:val="restart"/>
                  <w:vAlign w:val="center"/>
                </w:tcPr>
                <w:p w14:paraId="2A44B173">
                  <w:pPr>
                    <w:adjustRightIn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能源</w:t>
                  </w:r>
                </w:p>
              </w:tc>
              <w:tc>
                <w:tcPr>
                  <w:tcW w:w="1560" w:type="dxa"/>
                  <w:vAlign w:val="center"/>
                </w:tcPr>
                <w:p w14:paraId="25208D7F">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水</w:t>
                  </w:r>
                </w:p>
              </w:tc>
              <w:tc>
                <w:tcPr>
                  <w:tcW w:w="1710" w:type="dxa"/>
                  <w:vAlign w:val="center"/>
                </w:tcPr>
                <w:p w14:paraId="384338FA">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810" w:type="dxa"/>
                  <w:vAlign w:val="center"/>
                </w:tcPr>
                <w:p w14:paraId="1E7B8A31">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4974.9</w:t>
                  </w:r>
                </w:p>
              </w:tc>
              <w:tc>
                <w:tcPr>
                  <w:tcW w:w="974" w:type="dxa"/>
                  <w:vAlign w:val="center"/>
                </w:tcPr>
                <w:p w14:paraId="38FAF5E5">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811" w:type="dxa"/>
                  <w:vAlign w:val="center"/>
                </w:tcPr>
                <w:p w14:paraId="33034298">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900" w:type="dxa"/>
                  <w:shd w:val="clear" w:color="auto" w:fill="auto"/>
                  <w:vAlign w:val="center"/>
                </w:tcPr>
                <w:p w14:paraId="7FF658C9">
                  <w:pPr>
                    <w:adjustRightIn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500ML</w:t>
                  </w:r>
                </w:p>
              </w:tc>
            </w:tr>
            <w:tr w14:paraId="59D1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63" w:type="dxa"/>
                  <w:gridSpan w:val="2"/>
                  <w:vMerge w:val="continue"/>
                  <w:vAlign w:val="center"/>
                </w:tcPr>
                <w:p w14:paraId="03EB549A">
                  <w:pPr>
                    <w:adjustRightInd w:val="0"/>
                    <w:jc w:val="center"/>
                    <w:rPr>
                      <w:rFonts w:hint="eastAsia" w:ascii="Times New Roman" w:hAnsi="Times New Roman" w:eastAsia="宋体" w:cs="Times New Roman"/>
                      <w:color w:val="auto"/>
                      <w:szCs w:val="21"/>
                    </w:rPr>
                  </w:pPr>
                </w:p>
              </w:tc>
              <w:tc>
                <w:tcPr>
                  <w:tcW w:w="1560" w:type="dxa"/>
                  <w:vAlign w:val="center"/>
                </w:tcPr>
                <w:p w14:paraId="0A6B9DE0">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电</w:t>
                  </w:r>
                </w:p>
              </w:tc>
              <w:tc>
                <w:tcPr>
                  <w:tcW w:w="1710" w:type="dxa"/>
                  <w:vAlign w:val="center"/>
                </w:tcPr>
                <w:p w14:paraId="5762AE14">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810" w:type="dxa"/>
                  <w:vAlign w:val="center"/>
                </w:tcPr>
                <w:p w14:paraId="07101822">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r>
                    <w:rPr>
                      <w:color w:val="auto"/>
                    </w:rPr>
                    <w:t>4</w:t>
                  </w:r>
                  <w:r>
                    <w:rPr>
                      <w:rFonts w:hint="eastAsia"/>
                      <w:color w:val="auto"/>
                    </w:rPr>
                    <w:t>万</w:t>
                  </w:r>
                  <w:r>
                    <w:rPr>
                      <w:rFonts w:hint="eastAsia"/>
                      <w:color w:val="auto"/>
                      <w:lang w:eastAsia="zh-CN"/>
                    </w:rPr>
                    <w:t>kW</w:t>
                  </w:r>
                  <w:r>
                    <w:rPr>
                      <w:color w:val="auto"/>
                    </w:rPr>
                    <w:t>/a</w:t>
                  </w:r>
                </w:p>
              </w:tc>
              <w:tc>
                <w:tcPr>
                  <w:tcW w:w="974" w:type="dxa"/>
                  <w:vAlign w:val="center"/>
                </w:tcPr>
                <w:p w14:paraId="01088DD7">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811" w:type="dxa"/>
                  <w:vAlign w:val="center"/>
                </w:tcPr>
                <w:p w14:paraId="1917878C">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c>
                <w:tcPr>
                  <w:tcW w:w="900" w:type="dxa"/>
                  <w:vAlign w:val="center"/>
                </w:tcPr>
                <w:p w14:paraId="47D191AB">
                  <w:pPr>
                    <w:adjustRightInd w:val="0"/>
                    <w:jc w:val="center"/>
                    <w:rPr>
                      <w:rFonts w:hint="eastAsia" w:ascii="Times New Roman" w:hAnsi="Times New Roman" w:eastAsia="宋体" w:cs="Times New Roman"/>
                      <w:color w:val="auto"/>
                      <w:szCs w:val="21"/>
                    </w:rPr>
                  </w:pPr>
                  <w:r>
                    <w:rPr>
                      <w:rFonts w:hint="eastAsia" w:cs="Times New Roman"/>
                      <w:color w:val="auto"/>
                      <w:szCs w:val="21"/>
                      <w:lang w:val="en-US" w:eastAsia="zh-CN"/>
                    </w:rPr>
                    <w:t>/</w:t>
                  </w:r>
                </w:p>
              </w:tc>
            </w:tr>
          </w:tbl>
          <w:p w14:paraId="38582710">
            <w:pPr>
              <w:autoSpaceDE w:val="0"/>
              <w:autoSpaceDN w:val="0"/>
              <w:adjustRightInd w:val="0"/>
              <w:snapToGrid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表2-</w:t>
            </w:r>
            <w:r>
              <w:rPr>
                <w:rFonts w:hint="eastAsia" w:cs="Times New Roman"/>
                <w:b/>
                <w:bCs/>
                <w:color w:val="auto"/>
                <w:kern w:val="0"/>
                <w:szCs w:val="21"/>
                <w:lang w:val="en-US" w:eastAsia="zh-CN"/>
              </w:rPr>
              <w:t xml:space="preserve">8 </w:t>
            </w:r>
            <w:r>
              <w:rPr>
                <w:rFonts w:hint="eastAsia" w:ascii="Times New Roman" w:hAnsi="Times New Roman" w:eastAsia="宋体" w:cs="Times New Roman"/>
                <w:b/>
                <w:bCs/>
                <w:color w:val="auto"/>
                <w:kern w:val="0"/>
                <w:szCs w:val="21"/>
                <w:lang w:val="en-US" w:eastAsia="zh-CN"/>
              </w:rPr>
              <w:t>原辅料理化性质</w:t>
            </w:r>
            <w:r>
              <w:rPr>
                <w:rFonts w:hint="default" w:ascii="Times New Roman" w:hAnsi="Times New Roman" w:eastAsia="宋体" w:cs="Times New Roman"/>
                <w:b/>
                <w:bCs/>
                <w:color w:val="auto"/>
                <w:kern w:val="0"/>
                <w:szCs w:val="21"/>
                <w:lang w:val="en-US" w:eastAsia="zh-CN"/>
              </w:rPr>
              <w:t>一览表</w:t>
            </w:r>
          </w:p>
          <w:tbl>
            <w:tblPr>
              <w:tblStyle w:val="20"/>
              <w:tblW w:w="15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036"/>
              <w:gridCol w:w="7036"/>
            </w:tblGrid>
            <w:tr w14:paraId="76E3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61EB6A4">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原辅料名称</w:t>
                  </w:r>
                </w:p>
              </w:tc>
              <w:tc>
                <w:tcPr>
                  <w:tcW w:w="7036" w:type="dxa"/>
                  <w:vAlign w:val="center"/>
                </w:tcPr>
                <w:p w14:paraId="3A6F513D">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理化性质</w:t>
                  </w:r>
                </w:p>
              </w:tc>
              <w:tc>
                <w:tcPr>
                  <w:tcW w:w="7036" w:type="dxa"/>
                  <w:vAlign w:val="center"/>
                </w:tcPr>
                <w:p w14:paraId="3D6C2792">
                  <w:pPr>
                    <w:adjustRightInd w:val="0"/>
                    <w:jc w:val="center"/>
                    <w:rPr>
                      <w:rFonts w:hint="eastAsia" w:ascii="Times New Roman" w:hAnsi="Times New Roman" w:eastAsia="宋体" w:cs="Times New Roman"/>
                      <w:color w:val="auto"/>
                      <w:szCs w:val="21"/>
                      <w:lang w:val="en-US" w:eastAsia="zh-CN"/>
                    </w:rPr>
                  </w:pPr>
                </w:p>
              </w:tc>
            </w:tr>
            <w:tr w14:paraId="5828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F010728">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吡唑醚菌酯</w:t>
                  </w:r>
                </w:p>
              </w:tc>
              <w:tc>
                <w:tcPr>
                  <w:tcW w:w="7036" w:type="dxa"/>
                  <w:vAlign w:val="center"/>
                </w:tcPr>
                <w:p w14:paraId="38D05D02">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吡唑醚菌酯属甲氧基氨基甲酸酯类，通过阻止病菌细胞中细胞色素b和C1间电子传递而抑制线粒体呼吸作用，具有保护、治疗、叶片渗透传导作用</w:t>
                  </w:r>
                  <w:r>
                    <w:rPr>
                      <w:rFonts w:hint="eastAsia" w:cs="Times New Roman"/>
                      <w:color w:val="auto"/>
                      <w:szCs w:val="21"/>
                      <w:lang w:val="en-US" w:eastAsia="zh-CN"/>
                    </w:rPr>
                    <w:t>，密度：1.27g/cm</w:t>
                  </w:r>
                  <w:r>
                    <w:rPr>
                      <w:rFonts w:hint="eastAsia" w:cs="Times New Roman"/>
                      <w:color w:val="auto"/>
                      <w:szCs w:val="21"/>
                      <w:vertAlign w:val="superscript"/>
                      <w:lang w:val="en-US" w:eastAsia="zh-CN"/>
                    </w:rPr>
                    <w:t>3</w:t>
                  </w:r>
                  <w:r>
                    <w:rPr>
                      <w:rFonts w:hint="eastAsia" w:cs="Times New Roman"/>
                      <w:color w:val="auto"/>
                      <w:szCs w:val="21"/>
                      <w:lang w:val="en-US" w:eastAsia="zh-CN"/>
                    </w:rPr>
                    <w:t>、熔点：63.7-65.2℃、沸点：501.1℃、闪点：256.8℃、折射率：1.592、外观：白色至浅米色无味结晶体，不易挥发</w:t>
                  </w:r>
                </w:p>
              </w:tc>
              <w:tc>
                <w:tcPr>
                  <w:tcW w:w="7036" w:type="dxa"/>
                  <w:vAlign w:val="center"/>
                </w:tcPr>
                <w:p w14:paraId="0C7B6FEB">
                  <w:pPr>
                    <w:adjustRightInd w:val="0"/>
                    <w:jc w:val="center"/>
                    <w:rPr>
                      <w:rFonts w:hint="eastAsia" w:ascii="Times New Roman" w:hAnsi="Times New Roman" w:eastAsia="宋体" w:cs="Times New Roman"/>
                      <w:color w:val="auto"/>
                      <w:szCs w:val="21"/>
                      <w:lang w:val="en-US" w:eastAsia="zh-CN"/>
                    </w:rPr>
                  </w:pPr>
                </w:p>
              </w:tc>
            </w:tr>
            <w:tr w14:paraId="3669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56A1914">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脂肪醇聚氧乙烯醚</w:t>
                  </w:r>
                </w:p>
              </w:tc>
              <w:tc>
                <w:tcPr>
                  <w:tcW w:w="7036" w:type="dxa"/>
                  <w:vAlign w:val="center"/>
                </w:tcPr>
                <w:p w14:paraId="507931F4">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脂肪醇聚氧乙烯醚的通式为RO(CH2CH2O)nH，R一般为饱和的或不饱和的C12~C18的烃基，可以是直链烃基，也可以是带支链的烃基。n是环氧乙烷的加成数，也就是表面活性剂分子中氧乙烯基的数目。n越大，分子亲水基上的氧越多，与水就能形成更多的氢键，水溶性就越好。n=1</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5时，产物能溶于油而不溶于水，常</w:t>
                  </w:r>
                  <w:r>
                    <w:rPr>
                      <w:rFonts w:hint="eastAsia" w:cs="Times New Roman"/>
                      <w:color w:val="auto"/>
                      <w:szCs w:val="21"/>
                      <w:lang w:val="en-US" w:eastAsia="zh-CN"/>
                    </w:rPr>
                    <w:t>作为</w:t>
                  </w:r>
                  <w:r>
                    <w:rPr>
                      <w:rFonts w:hint="eastAsia" w:ascii="Times New Roman" w:hAnsi="Times New Roman" w:eastAsia="宋体" w:cs="Times New Roman"/>
                      <w:color w:val="auto"/>
                      <w:szCs w:val="21"/>
                      <w:lang w:val="en-US" w:eastAsia="zh-CN"/>
                    </w:rPr>
                    <w:t>制备硫酸酯类阴离子表面活性剂的原料。n=6</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8时，能溶于水，常用作纺织品的洗涤剂和油脂乳化剂。n=10</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20时，在工业上用作乳化剂和匀染剂</w:t>
                  </w:r>
                </w:p>
              </w:tc>
              <w:tc>
                <w:tcPr>
                  <w:tcW w:w="7036" w:type="dxa"/>
                  <w:vAlign w:val="center"/>
                </w:tcPr>
                <w:p w14:paraId="5E7668E0">
                  <w:pPr>
                    <w:adjustRightInd w:val="0"/>
                    <w:jc w:val="center"/>
                    <w:rPr>
                      <w:rFonts w:hint="eastAsia" w:ascii="Times New Roman" w:hAnsi="Times New Roman" w:eastAsia="宋体" w:cs="Times New Roman"/>
                      <w:color w:val="auto"/>
                      <w:szCs w:val="21"/>
                      <w:lang w:val="en-US" w:eastAsia="zh-CN"/>
                    </w:rPr>
                  </w:pPr>
                </w:p>
              </w:tc>
            </w:tr>
            <w:tr w14:paraId="4B28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E22E6DE">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黄原胶</w:t>
                  </w:r>
                </w:p>
              </w:tc>
              <w:tc>
                <w:tcPr>
                  <w:tcW w:w="7036" w:type="dxa"/>
                  <w:vAlign w:val="center"/>
                </w:tcPr>
                <w:p w14:paraId="793D9421">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，又名汉生胶，是由野油菜黄单胞杆菌( Xanthomnas campestris) 以碳水化合物为主要原料( 如玉米淀粉) 经发酵工程生产的一种作用广泛的微生物胞外多糖。它具有独特的流变性，良好的水溶性、对热及酸碱的稳定性、与多种盐类有很好的相容性，作为增稠剂、悬浮剂、乳化剂、稳定剂，可广泛应用于食品、石油、医药等20多个行业</w:t>
                  </w:r>
                </w:p>
              </w:tc>
              <w:tc>
                <w:tcPr>
                  <w:tcW w:w="7036" w:type="dxa"/>
                  <w:vAlign w:val="center"/>
                </w:tcPr>
                <w:p w14:paraId="5793C07A">
                  <w:pPr>
                    <w:adjustRightInd w:val="0"/>
                    <w:jc w:val="center"/>
                    <w:rPr>
                      <w:rFonts w:hint="eastAsia" w:ascii="Times New Roman" w:hAnsi="Times New Roman" w:eastAsia="宋体" w:cs="Times New Roman"/>
                      <w:color w:val="auto"/>
                      <w:szCs w:val="21"/>
                      <w:lang w:val="en-US" w:eastAsia="zh-CN"/>
                    </w:rPr>
                  </w:pPr>
                </w:p>
              </w:tc>
            </w:tr>
            <w:tr w14:paraId="6DAC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E656EE8">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甲氨基阿维菌素苯甲酸盐</w:t>
                  </w:r>
                </w:p>
              </w:tc>
              <w:tc>
                <w:tcPr>
                  <w:tcW w:w="7036" w:type="dxa"/>
                  <w:vAlign w:val="center"/>
                </w:tcPr>
                <w:p w14:paraId="5D20AEC2">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甲氨基阿维菌素苯甲酸盐（英文名：Emamectin Benzoate），是一种有机化合物，分子量为1008.240，外观呈白色或浅黄色晶状粉末。它在丙酮和甲醇中可溶，在pH=5～6 的水中溶解度为300mg/kg，微溶于水，不溶于正乙烷，且在正常贮存条件下性质稳定</w:t>
                  </w:r>
                </w:p>
              </w:tc>
              <w:tc>
                <w:tcPr>
                  <w:tcW w:w="7036" w:type="dxa"/>
                  <w:vAlign w:val="center"/>
                </w:tcPr>
                <w:p w14:paraId="3A9CC10E">
                  <w:pPr>
                    <w:adjustRightInd w:val="0"/>
                    <w:jc w:val="center"/>
                    <w:rPr>
                      <w:rFonts w:hint="eastAsia" w:ascii="Times New Roman" w:hAnsi="Times New Roman" w:eastAsia="宋体" w:cs="Times New Roman"/>
                      <w:color w:val="auto"/>
                      <w:szCs w:val="21"/>
                      <w:lang w:val="en-US" w:eastAsia="zh-CN"/>
                    </w:rPr>
                  </w:pPr>
                </w:p>
              </w:tc>
            </w:tr>
            <w:tr w14:paraId="541A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4A44247">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氯虫苯甲酰胺</w:t>
                  </w:r>
                </w:p>
              </w:tc>
              <w:tc>
                <w:tcPr>
                  <w:tcW w:w="7036" w:type="dxa"/>
                  <w:vAlign w:val="center"/>
                </w:tcPr>
                <w:p w14:paraId="69B9562F">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氯虫苯甲酰胺（chlorantraniliprole），化学式C18H14BrCl2N5O2，分子量为483.1，CAS登录号500008-45-7，是由杜邦公司于2007年开发的邻氨基苯甲酰胺类杀虫剂，于2000年代中期首次应用于农业生产，并于2007年获得布莱顿植保大会最具创新的化学奖。其研发基于氟苯虫酰胺等先导化合物。外观呈白色结晶性粉末，熔点208-210℃，沸点526.6℃，密度1.507g/cm</w:t>
                  </w:r>
                  <w:r>
                    <w:rPr>
                      <w:rFonts w:hint="eastAsia" w:ascii="Times New Roman" w:hAnsi="Times New Roman" w:eastAsia="宋体" w:cs="Times New Roman"/>
                      <w:color w:val="auto"/>
                      <w:szCs w:val="21"/>
                      <w:vertAlign w:val="superscript"/>
                      <w:lang w:val="en-US" w:eastAsia="zh-CN"/>
                    </w:rPr>
                    <w:t>3</w:t>
                  </w:r>
                  <w:r>
                    <w:rPr>
                      <w:rFonts w:hint="eastAsia" w:cs="Times New Roman"/>
                      <w:color w:val="auto"/>
                      <w:szCs w:val="21"/>
                      <w:lang w:val="en-US" w:eastAsia="zh-CN"/>
                    </w:rPr>
                    <w:t>，氯虫苯甲酰胺纯品外观为灰白色结晶固体，熔点为208-210°C，分解温度约为330°C。在20°C下，蒸气压为6.3×10-12 Pa，密度为1.507 g/mL。溶解度数据显示，在20°C水中为1.023 mg/L；在有机溶剂中，丙酮为3.446 g/L，甲醇为1.714 g/L，乙腈为0.711 g/L，乙酸乙酯为1.144 g/L</w:t>
                  </w:r>
                </w:p>
              </w:tc>
              <w:tc>
                <w:tcPr>
                  <w:tcW w:w="7036" w:type="dxa"/>
                  <w:vAlign w:val="center"/>
                </w:tcPr>
                <w:p w14:paraId="16FA3280">
                  <w:pPr>
                    <w:adjustRightInd w:val="0"/>
                    <w:jc w:val="center"/>
                    <w:rPr>
                      <w:rFonts w:hint="eastAsia" w:ascii="Times New Roman" w:hAnsi="Times New Roman" w:eastAsia="宋体" w:cs="Times New Roman"/>
                      <w:color w:val="auto"/>
                      <w:szCs w:val="21"/>
                      <w:lang w:val="en-US" w:eastAsia="zh-CN"/>
                    </w:rPr>
                  </w:pPr>
                </w:p>
              </w:tc>
            </w:tr>
            <w:tr w14:paraId="1FF8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912857D">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聚羟酸钠盐</w:t>
                  </w:r>
                </w:p>
              </w:tc>
              <w:tc>
                <w:tcPr>
                  <w:tcW w:w="7036" w:type="dxa"/>
                  <w:vAlign w:val="center"/>
                </w:tcPr>
                <w:p w14:paraId="6A331BB2">
                  <w:pPr>
                    <w:adjustRightIn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聚羟酸钠盐是一种高性能的减水剂，广泛应用于混凝土和其他化学工业中。聚羟酸钠盐通常是聚羧酸盐的一种形式，具有以下特点：分子结构：聚羧酸盐的分子通过“分子设计”形成“梳状”或“树枝状”结构，主链上连接有多个刚性支链，这种结构使其在水泥颗粒表面形成有效的分散作用。高效性：聚羧酸盐减水剂的有效成分比例高，分子量范围集中，相比其他减水剂，具有更高的减水率和更持久的坍落度保持能力</w:t>
                  </w:r>
                  <w:r>
                    <w:rPr>
                      <w:rFonts w:hint="eastAsia" w:cs="Times New Roman"/>
                      <w:color w:val="auto"/>
                      <w:szCs w:val="21"/>
                      <w:lang w:val="en-US" w:eastAsia="zh-CN"/>
                    </w:rPr>
                    <w:t>，性质稳定</w:t>
                  </w:r>
                </w:p>
              </w:tc>
              <w:tc>
                <w:tcPr>
                  <w:tcW w:w="7036" w:type="dxa"/>
                  <w:vAlign w:val="center"/>
                </w:tcPr>
                <w:p w14:paraId="0B9D8A27">
                  <w:pPr>
                    <w:adjustRightInd w:val="0"/>
                    <w:jc w:val="center"/>
                    <w:rPr>
                      <w:rFonts w:hint="eastAsia" w:ascii="Times New Roman" w:hAnsi="Times New Roman" w:eastAsia="宋体" w:cs="Times New Roman"/>
                      <w:color w:val="auto"/>
                      <w:szCs w:val="21"/>
                      <w:lang w:val="en-US" w:eastAsia="zh-CN"/>
                    </w:rPr>
                  </w:pPr>
                </w:p>
              </w:tc>
            </w:tr>
            <w:tr w14:paraId="7D8F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6980439">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十二烷基苯磺酸钠</w:t>
                  </w:r>
                </w:p>
              </w:tc>
              <w:tc>
                <w:tcPr>
                  <w:tcW w:w="7036" w:type="dxa"/>
                  <w:vAlign w:val="center"/>
                </w:tcPr>
                <w:p w14:paraId="333D388D">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十二烷基苯磺酸钠，英文名sodium dodecyl benzene sulfonate，简称SDBS，是常用的阴离子型表面活性剂，为白色或淡黄色粉状或片状固体，难挥发，易溶于水，溶于水而成半透明溶液。对碱，稀酸，硬水化学性质稳定，微毒</w:t>
                  </w:r>
                  <w:r>
                    <w:rPr>
                      <w:rFonts w:hint="eastAsia" w:cs="Times New Roman"/>
                      <w:color w:val="auto"/>
                      <w:szCs w:val="21"/>
                      <w:lang w:val="en-US" w:eastAsia="zh-CN"/>
                    </w:rPr>
                    <w:t>，分子式：C</w:t>
                  </w:r>
                  <w:r>
                    <w:rPr>
                      <w:rFonts w:hint="eastAsia" w:cs="Times New Roman"/>
                      <w:color w:val="auto"/>
                      <w:szCs w:val="21"/>
                      <w:vertAlign w:val="subscript"/>
                      <w:lang w:val="en-US" w:eastAsia="zh-CN"/>
                    </w:rPr>
                    <w:t>18</w:t>
                  </w:r>
                  <w:r>
                    <w:rPr>
                      <w:rFonts w:hint="eastAsia" w:cs="Times New Roman"/>
                      <w:color w:val="auto"/>
                      <w:szCs w:val="21"/>
                      <w:lang w:val="en-US" w:eastAsia="zh-CN"/>
                    </w:rPr>
                    <w:t>H</w:t>
                  </w:r>
                  <w:r>
                    <w:rPr>
                      <w:rFonts w:hint="eastAsia" w:cs="Times New Roman"/>
                      <w:color w:val="auto"/>
                      <w:szCs w:val="21"/>
                      <w:vertAlign w:val="subscript"/>
                      <w:lang w:val="en-US" w:eastAsia="zh-CN"/>
                    </w:rPr>
                    <w:t>29</w:t>
                  </w:r>
                  <w:r>
                    <w:rPr>
                      <w:rFonts w:hint="eastAsia" w:cs="Times New Roman"/>
                      <w:color w:val="auto"/>
                      <w:szCs w:val="21"/>
                      <w:lang w:val="en-US" w:eastAsia="zh-CN"/>
                    </w:rPr>
                    <w:t>NaO</w:t>
                  </w:r>
                  <w:r>
                    <w:rPr>
                      <w:rFonts w:hint="eastAsia" w:cs="Times New Roman"/>
                      <w:color w:val="auto"/>
                      <w:szCs w:val="21"/>
                      <w:vertAlign w:val="subscript"/>
                      <w:lang w:val="en-US" w:eastAsia="zh-CN"/>
                    </w:rPr>
                    <w:t>3</w:t>
                  </w:r>
                  <w:r>
                    <w:rPr>
                      <w:rFonts w:hint="eastAsia" w:cs="Times New Roman"/>
                      <w:color w:val="auto"/>
                      <w:szCs w:val="21"/>
                      <w:lang w:val="en-US" w:eastAsia="zh-CN"/>
                    </w:rPr>
                    <w:t>S、分子量：348.48、亲水亲油平衡值（HLB值）：10.638、分解温度：450℃、失重率：60%、性状：白色或淡黄色粉末、溶解性：易溶于水，易吸潮结块</w:t>
                  </w:r>
                </w:p>
              </w:tc>
              <w:tc>
                <w:tcPr>
                  <w:tcW w:w="7036" w:type="dxa"/>
                  <w:vAlign w:val="center"/>
                </w:tcPr>
                <w:p w14:paraId="3E6E9603">
                  <w:pPr>
                    <w:adjustRightInd w:val="0"/>
                    <w:jc w:val="center"/>
                    <w:rPr>
                      <w:rFonts w:hint="eastAsia" w:ascii="Times New Roman" w:hAnsi="Times New Roman" w:eastAsia="宋体" w:cs="Times New Roman"/>
                      <w:color w:val="auto"/>
                      <w:szCs w:val="21"/>
                      <w:lang w:val="en-US" w:eastAsia="zh-CN"/>
                    </w:rPr>
                  </w:pPr>
                </w:p>
              </w:tc>
            </w:tr>
            <w:tr w14:paraId="79A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06E9C98">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苦参碱</w:t>
                  </w:r>
                </w:p>
              </w:tc>
              <w:tc>
                <w:tcPr>
                  <w:tcW w:w="7036" w:type="dxa"/>
                  <w:vAlign w:val="center"/>
                </w:tcPr>
                <w:p w14:paraId="42D44E56">
                  <w:pPr>
                    <w:adjustRightInd w:val="0"/>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苦参碱，分子式为C</w:t>
                  </w:r>
                  <w:r>
                    <w:rPr>
                      <w:rFonts w:hint="eastAsia" w:ascii="Times New Roman" w:hAnsi="Times New Roman" w:eastAsia="宋体" w:cs="Times New Roman"/>
                      <w:color w:val="auto"/>
                      <w:szCs w:val="21"/>
                      <w:vertAlign w:val="subscript"/>
                      <w:lang w:val="en-US" w:eastAsia="zh-CN"/>
                    </w:rPr>
                    <w:t>15</w:t>
                  </w:r>
                  <w:r>
                    <w:rPr>
                      <w:rFonts w:hint="eastAsia" w:ascii="Times New Roman" w:hAnsi="Times New Roman" w:eastAsia="宋体" w:cs="Times New Roman"/>
                      <w:color w:val="auto"/>
                      <w:szCs w:val="21"/>
                      <w:lang w:val="en-US" w:eastAsia="zh-CN"/>
                    </w:rPr>
                    <w:t>H</w:t>
                  </w:r>
                  <w:r>
                    <w:rPr>
                      <w:rFonts w:hint="eastAsia" w:ascii="Times New Roman" w:hAnsi="Times New Roman" w:eastAsia="宋体" w:cs="Times New Roman"/>
                      <w:color w:val="auto"/>
                      <w:szCs w:val="21"/>
                      <w:vertAlign w:val="subscript"/>
                      <w:lang w:val="en-US" w:eastAsia="zh-CN"/>
                    </w:rPr>
                    <w:t>24</w:t>
                  </w:r>
                  <w:r>
                    <w:rPr>
                      <w:rFonts w:hint="eastAsia" w:ascii="Times New Roman" w:hAnsi="Times New Roman" w:eastAsia="宋体" w:cs="Times New Roman"/>
                      <w:color w:val="auto"/>
                      <w:szCs w:val="21"/>
                      <w:lang w:val="en-US" w:eastAsia="zh-CN"/>
                    </w:rPr>
                    <w:t>N</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O，是由豆科植物苦参的干燥根、植株、果实经乙醇等有机溶剂提取制成的一种生物碱</w:t>
                  </w:r>
                  <w:r>
                    <w:rPr>
                      <w:rFonts w:hint="eastAsia" w:cs="Times New Roman"/>
                      <w:color w:val="auto"/>
                      <w:szCs w:val="21"/>
                      <w:lang w:val="en-US" w:eastAsia="zh-CN"/>
                    </w:rPr>
                    <w:t>，.性状：白色粉末。</w:t>
                  </w:r>
                </w:p>
                <w:p w14:paraId="4FF5C274">
                  <w:pPr>
                    <w:adjustRightIn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溶解性：能溶于水、苯、氯仿、甲醇、乙醇，微溶于石油醚。</w:t>
                  </w:r>
                </w:p>
              </w:tc>
              <w:tc>
                <w:tcPr>
                  <w:tcW w:w="7036" w:type="dxa"/>
                  <w:vAlign w:val="center"/>
                </w:tcPr>
                <w:p w14:paraId="7E9BBFF1">
                  <w:pPr>
                    <w:adjustRightInd w:val="0"/>
                    <w:jc w:val="center"/>
                    <w:rPr>
                      <w:rFonts w:hint="eastAsia" w:cs="Times New Roman"/>
                      <w:color w:val="auto"/>
                      <w:szCs w:val="21"/>
                      <w:lang w:val="en-US" w:eastAsia="zh-CN"/>
                    </w:rPr>
                  </w:pPr>
                </w:p>
              </w:tc>
            </w:tr>
            <w:tr w14:paraId="4CC0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8FC58BF">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啶虫脒</w:t>
                  </w:r>
                </w:p>
              </w:tc>
              <w:tc>
                <w:tcPr>
                  <w:tcW w:w="7036" w:type="dxa"/>
                  <w:vAlign w:val="center"/>
                </w:tcPr>
                <w:p w14:paraId="03FAE6AC">
                  <w:pPr>
                    <w:adjustRightIn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白色晶体，熔点101.0～103.3℃，易溶于水及有机溶剂，酸性条件下稳定，常用剂型包括乳油、可湿性粉剂等。使用浓度需根据制剂调整，例如果树喷洒3%乳油稀释1500～2000倍液。其毒性较低（大鼠急性口服LD₅₀为146～217mg/kg），但对皮肤有刺激性，需避免直接接触，禁止与强碱性药剂混用，并建议轮换使用以延缓抗药性</w:t>
                  </w:r>
                </w:p>
              </w:tc>
              <w:tc>
                <w:tcPr>
                  <w:tcW w:w="7036" w:type="dxa"/>
                  <w:vAlign w:val="center"/>
                </w:tcPr>
                <w:p w14:paraId="64E3D892">
                  <w:pPr>
                    <w:adjustRightInd w:val="0"/>
                    <w:jc w:val="center"/>
                    <w:rPr>
                      <w:rFonts w:hint="eastAsia" w:ascii="Times New Roman" w:hAnsi="Times New Roman" w:eastAsia="宋体" w:cs="Times New Roman"/>
                      <w:color w:val="auto"/>
                      <w:szCs w:val="21"/>
                      <w:lang w:val="en-US" w:eastAsia="zh-CN"/>
                    </w:rPr>
                  </w:pPr>
                </w:p>
              </w:tc>
            </w:tr>
            <w:tr w14:paraId="0A52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9249DF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白碳黑</w:t>
                  </w:r>
                </w:p>
              </w:tc>
              <w:tc>
                <w:tcPr>
                  <w:tcW w:w="7036" w:type="dxa"/>
                  <w:vAlign w:val="center"/>
                </w:tcPr>
                <w:p w14:paraId="61CEA488">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Cs/>
                      <w:color w:val="auto"/>
                      <w:spacing w:val="0"/>
                      <w:kern w:val="0"/>
                      <w:position w:val="0"/>
                      <w:szCs w:val="21"/>
                      <w:lang w:val="en-US" w:eastAsia="zh-CN"/>
                    </w:rPr>
                    <w:t>白炭黑是白色粉末状</w:t>
                  </w:r>
                  <w:r>
                    <w:rPr>
                      <w:rFonts w:hint="eastAsia" w:cs="Times New Roman"/>
                      <w:bCs/>
                      <w:color w:val="auto"/>
                      <w:spacing w:val="0"/>
                      <w:kern w:val="0"/>
                      <w:position w:val="0"/>
                      <w:szCs w:val="21"/>
                      <w:lang w:val="en-US" w:eastAsia="zh-CN"/>
                    </w:rPr>
                    <w:t>X射线</w:t>
                  </w:r>
                  <w:r>
                    <w:rPr>
                      <w:rFonts w:hint="eastAsia" w:ascii="Times New Roman" w:hAnsi="Times New Roman" w:cs="Times New Roman"/>
                      <w:bCs/>
                      <w:color w:val="auto"/>
                      <w:spacing w:val="0"/>
                      <w:kern w:val="0"/>
                      <w:position w:val="0"/>
                      <w:szCs w:val="21"/>
                      <w:lang w:val="en-US" w:eastAsia="zh-CN"/>
                    </w:rPr>
                    <w:t>无定形</w:t>
                  </w:r>
                  <w:r>
                    <w:rPr>
                      <w:rFonts w:hint="eastAsia" w:ascii="Times New Roman" w:hAnsi="Times New Roman" w:cs="Times New Roman"/>
                      <w:bCs/>
                      <w:color w:val="auto"/>
                      <w:spacing w:val="0"/>
                      <w:kern w:val="0"/>
                      <w:position w:val="0"/>
                      <w:szCs w:val="21"/>
                      <w:lang w:val="en-US" w:eastAsia="zh-CN"/>
                    </w:rPr>
                    <w:fldChar w:fldCharType="begin"/>
                  </w:r>
                  <w:r>
                    <w:rPr>
                      <w:rFonts w:hint="eastAsia" w:ascii="Times New Roman" w:hAnsi="Times New Roman" w:cs="Times New Roman"/>
                      <w:bCs/>
                      <w:color w:val="auto"/>
                      <w:spacing w:val="0"/>
                      <w:kern w:val="0"/>
                      <w:position w:val="0"/>
                      <w:szCs w:val="21"/>
                      <w:lang w:val="en-US" w:eastAsia="zh-CN"/>
                    </w:rPr>
                    <w:instrText xml:space="preserve"> HYPERLINK "https://baike.baidu.com/item/%E7%A1%85%E9%85%B8/2691827?fromModule=lemma_inlink" \t "https://baike.baidu.com/item/%E7%99%BD%E7%82%AD%E9%BB%91/_blank" </w:instrText>
                  </w:r>
                  <w:r>
                    <w:rPr>
                      <w:rFonts w:hint="eastAsia" w:ascii="Times New Roman" w:hAnsi="Times New Roman" w:cs="Times New Roman"/>
                      <w:bCs/>
                      <w:color w:val="auto"/>
                      <w:spacing w:val="0"/>
                      <w:kern w:val="0"/>
                      <w:position w:val="0"/>
                      <w:szCs w:val="21"/>
                      <w:lang w:val="en-US" w:eastAsia="zh-CN"/>
                    </w:rPr>
                    <w:fldChar w:fldCharType="separate"/>
                  </w:r>
                  <w:r>
                    <w:rPr>
                      <w:rFonts w:hint="eastAsia" w:ascii="Times New Roman" w:hAnsi="Times New Roman" w:cs="Times New Roman"/>
                      <w:bCs/>
                      <w:color w:val="auto"/>
                      <w:spacing w:val="0"/>
                      <w:kern w:val="0"/>
                      <w:position w:val="0"/>
                      <w:szCs w:val="21"/>
                      <w:lang w:val="en-US" w:eastAsia="zh-CN"/>
                    </w:rPr>
                    <w:t>硅酸</w:t>
                  </w:r>
                  <w:r>
                    <w:rPr>
                      <w:rFonts w:hint="eastAsia" w:ascii="Times New Roman" w:hAnsi="Times New Roman" w:cs="Times New Roman"/>
                      <w:bCs/>
                      <w:color w:val="auto"/>
                      <w:spacing w:val="0"/>
                      <w:kern w:val="0"/>
                      <w:position w:val="0"/>
                      <w:szCs w:val="21"/>
                      <w:lang w:val="en-US" w:eastAsia="zh-CN"/>
                    </w:rPr>
                    <w:fldChar w:fldCharType="end"/>
                  </w:r>
                  <w:r>
                    <w:rPr>
                      <w:rFonts w:hint="eastAsia" w:ascii="Times New Roman" w:hAnsi="Times New Roman" w:cs="Times New Roman"/>
                      <w:bCs/>
                      <w:color w:val="auto"/>
                      <w:spacing w:val="0"/>
                      <w:kern w:val="0"/>
                      <w:position w:val="0"/>
                      <w:szCs w:val="21"/>
                      <w:lang w:val="en-US" w:eastAsia="zh-CN"/>
                    </w:rPr>
                    <w:t>和</w:t>
                  </w:r>
                  <w:r>
                    <w:rPr>
                      <w:rFonts w:hint="eastAsia" w:ascii="Times New Roman" w:hAnsi="Times New Roman" w:cs="Times New Roman"/>
                      <w:bCs/>
                      <w:color w:val="auto"/>
                      <w:spacing w:val="0"/>
                      <w:kern w:val="0"/>
                      <w:position w:val="0"/>
                      <w:szCs w:val="21"/>
                      <w:lang w:val="en-US" w:eastAsia="zh-CN"/>
                    </w:rPr>
                    <w:fldChar w:fldCharType="begin"/>
                  </w:r>
                  <w:r>
                    <w:rPr>
                      <w:rFonts w:hint="eastAsia" w:ascii="Times New Roman" w:hAnsi="Times New Roman" w:cs="Times New Roman"/>
                      <w:bCs/>
                      <w:color w:val="auto"/>
                      <w:spacing w:val="0"/>
                      <w:kern w:val="0"/>
                      <w:position w:val="0"/>
                      <w:szCs w:val="21"/>
                      <w:lang w:val="en-US" w:eastAsia="zh-CN"/>
                    </w:rPr>
                    <w:instrText xml:space="preserve"> HYPERLINK "https://baike.baidu.com/item/%E7%A1%85%E9%85%B8%E7%9B%90/1529277?fromModule=lemma_inlink" \t "https://baike.baidu.com/item/%E7%99%BD%E7%82%AD%E9%BB%91/_blank" </w:instrText>
                  </w:r>
                  <w:r>
                    <w:rPr>
                      <w:rFonts w:hint="eastAsia" w:ascii="Times New Roman" w:hAnsi="Times New Roman" w:cs="Times New Roman"/>
                      <w:bCs/>
                      <w:color w:val="auto"/>
                      <w:spacing w:val="0"/>
                      <w:kern w:val="0"/>
                      <w:position w:val="0"/>
                      <w:szCs w:val="21"/>
                      <w:lang w:val="en-US" w:eastAsia="zh-CN"/>
                    </w:rPr>
                    <w:fldChar w:fldCharType="separate"/>
                  </w:r>
                  <w:r>
                    <w:rPr>
                      <w:rFonts w:hint="eastAsia" w:ascii="Times New Roman" w:hAnsi="Times New Roman" w:cs="Times New Roman"/>
                      <w:bCs/>
                      <w:color w:val="auto"/>
                      <w:spacing w:val="0"/>
                      <w:kern w:val="0"/>
                      <w:position w:val="0"/>
                      <w:szCs w:val="21"/>
                      <w:lang w:val="en-US" w:eastAsia="zh-CN"/>
                    </w:rPr>
                    <w:t>硅酸盐</w:t>
                  </w:r>
                  <w:r>
                    <w:rPr>
                      <w:rFonts w:hint="eastAsia" w:ascii="Times New Roman" w:hAnsi="Times New Roman" w:cs="Times New Roman"/>
                      <w:bCs/>
                      <w:color w:val="auto"/>
                      <w:spacing w:val="0"/>
                      <w:kern w:val="0"/>
                      <w:position w:val="0"/>
                      <w:szCs w:val="21"/>
                      <w:lang w:val="en-US" w:eastAsia="zh-CN"/>
                    </w:rPr>
                    <w:fldChar w:fldCharType="end"/>
                  </w:r>
                  <w:r>
                    <w:rPr>
                      <w:rFonts w:hint="eastAsia" w:ascii="Times New Roman" w:hAnsi="Times New Roman" w:cs="Times New Roman"/>
                      <w:bCs/>
                      <w:color w:val="auto"/>
                      <w:spacing w:val="0"/>
                      <w:kern w:val="0"/>
                      <w:position w:val="0"/>
                      <w:szCs w:val="21"/>
                      <w:lang w:val="en-US" w:eastAsia="zh-CN"/>
                    </w:rPr>
                    <w:t>产品的总称，主要是指</w:t>
                  </w:r>
                  <w:r>
                    <w:rPr>
                      <w:rFonts w:hint="eastAsia" w:ascii="Times New Roman" w:hAnsi="Times New Roman" w:cs="Times New Roman"/>
                      <w:bCs/>
                      <w:color w:val="auto"/>
                      <w:spacing w:val="0"/>
                      <w:kern w:val="0"/>
                      <w:position w:val="0"/>
                      <w:szCs w:val="21"/>
                      <w:lang w:val="en-US" w:eastAsia="zh-CN"/>
                    </w:rPr>
                    <w:fldChar w:fldCharType="begin"/>
                  </w:r>
                  <w:r>
                    <w:rPr>
                      <w:rFonts w:hint="eastAsia" w:ascii="Times New Roman" w:hAnsi="Times New Roman" w:cs="Times New Roman"/>
                      <w:bCs/>
                      <w:color w:val="auto"/>
                      <w:spacing w:val="0"/>
                      <w:kern w:val="0"/>
                      <w:position w:val="0"/>
                      <w:szCs w:val="21"/>
                      <w:lang w:val="en-US" w:eastAsia="zh-CN"/>
                    </w:rPr>
                    <w:instrText xml:space="preserve"> HYPERLINK "https://baike.baidu.com/item/%E6%B2%89%E6%B7%80%E4%BA%8C%E6%B0%A7%E5%8C%96%E7%A1%85/6384851?fromModule=lemma_inlink" \t "https://baike.baidu.com/item/%E7%99%BD%E7%82%AD%E9%BB%91/_blank" </w:instrText>
                  </w:r>
                  <w:r>
                    <w:rPr>
                      <w:rFonts w:hint="eastAsia" w:ascii="Times New Roman" w:hAnsi="Times New Roman" w:cs="Times New Roman"/>
                      <w:bCs/>
                      <w:color w:val="auto"/>
                      <w:spacing w:val="0"/>
                      <w:kern w:val="0"/>
                      <w:position w:val="0"/>
                      <w:szCs w:val="21"/>
                      <w:lang w:val="en-US" w:eastAsia="zh-CN"/>
                    </w:rPr>
                    <w:fldChar w:fldCharType="separate"/>
                  </w:r>
                  <w:r>
                    <w:rPr>
                      <w:rFonts w:hint="eastAsia" w:ascii="Times New Roman" w:hAnsi="Times New Roman" w:cs="Times New Roman"/>
                      <w:bCs/>
                      <w:color w:val="auto"/>
                      <w:spacing w:val="0"/>
                      <w:kern w:val="0"/>
                      <w:position w:val="0"/>
                      <w:szCs w:val="21"/>
                      <w:lang w:val="en-US" w:eastAsia="zh-CN"/>
                    </w:rPr>
                    <w:t>沉淀二氧化硅</w:t>
                  </w:r>
                  <w:r>
                    <w:rPr>
                      <w:rFonts w:hint="eastAsia" w:ascii="Times New Roman" w:hAnsi="Times New Roman" w:cs="Times New Roman"/>
                      <w:bCs/>
                      <w:color w:val="auto"/>
                      <w:spacing w:val="0"/>
                      <w:kern w:val="0"/>
                      <w:position w:val="0"/>
                      <w:szCs w:val="21"/>
                      <w:lang w:val="en-US" w:eastAsia="zh-CN"/>
                    </w:rPr>
                    <w:fldChar w:fldCharType="end"/>
                  </w:r>
                  <w:r>
                    <w:rPr>
                      <w:rFonts w:hint="eastAsia" w:ascii="Times New Roman" w:hAnsi="Times New Roman" w:cs="Times New Roman"/>
                      <w:bCs/>
                      <w:color w:val="auto"/>
                      <w:spacing w:val="0"/>
                      <w:kern w:val="0"/>
                      <w:position w:val="0"/>
                      <w:szCs w:val="21"/>
                      <w:lang w:val="en-US" w:eastAsia="zh-CN"/>
                    </w:rPr>
                    <w:t>、</w:t>
                  </w:r>
                  <w:r>
                    <w:rPr>
                      <w:rFonts w:hint="eastAsia" w:ascii="Times New Roman" w:hAnsi="Times New Roman" w:cs="Times New Roman"/>
                      <w:bCs/>
                      <w:color w:val="auto"/>
                      <w:spacing w:val="0"/>
                      <w:kern w:val="0"/>
                      <w:position w:val="0"/>
                      <w:szCs w:val="21"/>
                      <w:lang w:val="en-US" w:eastAsia="zh-CN"/>
                    </w:rPr>
                    <w:fldChar w:fldCharType="begin"/>
                  </w:r>
                  <w:r>
                    <w:rPr>
                      <w:rFonts w:hint="eastAsia" w:ascii="Times New Roman" w:hAnsi="Times New Roman" w:cs="Times New Roman"/>
                      <w:bCs/>
                      <w:color w:val="auto"/>
                      <w:spacing w:val="0"/>
                      <w:kern w:val="0"/>
                      <w:position w:val="0"/>
                      <w:szCs w:val="21"/>
                      <w:lang w:val="en-US" w:eastAsia="zh-CN"/>
                    </w:rPr>
                    <w:instrText xml:space="preserve"> HYPERLINK "https://baike.baidu.com/item/%E6%B0%94%E7%9B%B8%E4%BA%8C%E6%B0%A7%E5%8C%96%E7%A1%85/56226676?fromModule=lemma_inlink" \t "https://baike.baidu.com/item/%E7%99%BD%E7%82%AD%E9%BB%91/_blank" </w:instrText>
                  </w:r>
                  <w:r>
                    <w:rPr>
                      <w:rFonts w:hint="eastAsia" w:ascii="Times New Roman" w:hAnsi="Times New Roman" w:cs="Times New Roman"/>
                      <w:bCs/>
                      <w:color w:val="auto"/>
                      <w:spacing w:val="0"/>
                      <w:kern w:val="0"/>
                      <w:position w:val="0"/>
                      <w:szCs w:val="21"/>
                      <w:lang w:val="en-US" w:eastAsia="zh-CN"/>
                    </w:rPr>
                    <w:fldChar w:fldCharType="separate"/>
                  </w:r>
                  <w:r>
                    <w:rPr>
                      <w:rFonts w:hint="eastAsia" w:ascii="Times New Roman" w:hAnsi="Times New Roman" w:cs="Times New Roman"/>
                      <w:bCs/>
                      <w:color w:val="auto"/>
                      <w:spacing w:val="0"/>
                      <w:kern w:val="0"/>
                      <w:position w:val="0"/>
                      <w:szCs w:val="21"/>
                      <w:lang w:val="en-US" w:eastAsia="zh-CN"/>
                    </w:rPr>
                    <w:t>气相二氧化硅</w:t>
                  </w:r>
                  <w:r>
                    <w:rPr>
                      <w:rFonts w:hint="eastAsia" w:ascii="Times New Roman" w:hAnsi="Times New Roman" w:cs="Times New Roman"/>
                      <w:bCs/>
                      <w:color w:val="auto"/>
                      <w:spacing w:val="0"/>
                      <w:kern w:val="0"/>
                      <w:position w:val="0"/>
                      <w:szCs w:val="21"/>
                      <w:lang w:val="en-US" w:eastAsia="zh-CN"/>
                    </w:rPr>
                    <w:fldChar w:fldCharType="end"/>
                  </w:r>
                  <w:r>
                    <w:rPr>
                      <w:rFonts w:hint="eastAsia" w:ascii="Times New Roman" w:hAnsi="Times New Roman" w:cs="Times New Roman"/>
                      <w:bCs/>
                      <w:color w:val="auto"/>
                      <w:spacing w:val="0"/>
                      <w:kern w:val="0"/>
                      <w:position w:val="0"/>
                      <w:szCs w:val="21"/>
                      <w:lang w:val="en-US" w:eastAsia="zh-CN"/>
                    </w:rPr>
                    <w:t>和超细二氧化硅凝胶，也包括粉末状合成</w:t>
                  </w:r>
                  <w:r>
                    <w:rPr>
                      <w:rFonts w:hint="eastAsia" w:ascii="Times New Roman" w:hAnsi="Times New Roman" w:cs="Times New Roman"/>
                      <w:bCs/>
                      <w:color w:val="auto"/>
                      <w:spacing w:val="0"/>
                      <w:kern w:val="0"/>
                      <w:position w:val="0"/>
                      <w:szCs w:val="21"/>
                      <w:lang w:val="en-US" w:eastAsia="zh-CN"/>
                    </w:rPr>
                    <w:fldChar w:fldCharType="begin"/>
                  </w:r>
                  <w:r>
                    <w:rPr>
                      <w:rFonts w:hint="eastAsia" w:ascii="Times New Roman" w:hAnsi="Times New Roman" w:cs="Times New Roman"/>
                      <w:bCs/>
                      <w:color w:val="auto"/>
                      <w:spacing w:val="0"/>
                      <w:kern w:val="0"/>
                      <w:position w:val="0"/>
                      <w:szCs w:val="21"/>
                      <w:lang w:val="en-US" w:eastAsia="zh-CN"/>
                    </w:rPr>
                    <w:instrText xml:space="preserve"> HYPERLINK "https://baike.baidu.com/item/%E7%A1%85%E9%85%B8%E9%93%9D/6038103?fromModule=lemma_inlink" \t "https://baike.baidu.com/item/%E7%99%BD%E7%82%AD%E9%BB%91/_blank" </w:instrText>
                  </w:r>
                  <w:r>
                    <w:rPr>
                      <w:rFonts w:hint="eastAsia" w:ascii="Times New Roman" w:hAnsi="Times New Roman" w:cs="Times New Roman"/>
                      <w:bCs/>
                      <w:color w:val="auto"/>
                      <w:spacing w:val="0"/>
                      <w:kern w:val="0"/>
                      <w:position w:val="0"/>
                      <w:szCs w:val="21"/>
                      <w:lang w:val="en-US" w:eastAsia="zh-CN"/>
                    </w:rPr>
                    <w:fldChar w:fldCharType="separate"/>
                  </w:r>
                  <w:r>
                    <w:rPr>
                      <w:rFonts w:hint="eastAsia" w:ascii="Times New Roman" w:hAnsi="Times New Roman" w:cs="Times New Roman"/>
                      <w:bCs/>
                      <w:color w:val="auto"/>
                      <w:spacing w:val="0"/>
                      <w:kern w:val="0"/>
                      <w:position w:val="0"/>
                      <w:szCs w:val="21"/>
                      <w:lang w:val="en-US" w:eastAsia="zh-CN"/>
                    </w:rPr>
                    <w:t>硅酸铝</w:t>
                  </w:r>
                  <w:r>
                    <w:rPr>
                      <w:rFonts w:hint="eastAsia" w:ascii="Times New Roman" w:hAnsi="Times New Roman" w:cs="Times New Roman"/>
                      <w:bCs/>
                      <w:color w:val="auto"/>
                      <w:spacing w:val="0"/>
                      <w:kern w:val="0"/>
                      <w:position w:val="0"/>
                      <w:szCs w:val="21"/>
                      <w:lang w:val="en-US" w:eastAsia="zh-CN"/>
                    </w:rPr>
                    <w:fldChar w:fldCharType="end"/>
                  </w:r>
                  <w:r>
                    <w:rPr>
                      <w:rFonts w:hint="eastAsia" w:ascii="Times New Roman" w:hAnsi="Times New Roman" w:cs="Times New Roman"/>
                      <w:bCs/>
                      <w:color w:val="auto"/>
                      <w:spacing w:val="0"/>
                      <w:kern w:val="0"/>
                      <w:position w:val="0"/>
                      <w:szCs w:val="21"/>
                      <w:lang w:val="en-US" w:eastAsia="zh-CN"/>
                    </w:rPr>
                    <w:t>和</w:t>
                  </w:r>
                  <w:r>
                    <w:rPr>
                      <w:rFonts w:hint="eastAsia" w:ascii="Times New Roman" w:hAnsi="Times New Roman" w:cs="Times New Roman"/>
                      <w:bCs/>
                      <w:color w:val="auto"/>
                      <w:spacing w:val="0"/>
                      <w:kern w:val="0"/>
                      <w:position w:val="0"/>
                      <w:szCs w:val="21"/>
                      <w:lang w:val="en-US" w:eastAsia="zh-CN"/>
                    </w:rPr>
                    <w:fldChar w:fldCharType="begin"/>
                  </w:r>
                  <w:r>
                    <w:rPr>
                      <w:rFonts w:hint="eastAsia" w:ascii="Times New Roman" w:hAnsi="Times New Roman" w:cs="Times New Roman"/>
                      <w:bCs/>
                      <w:color w:val="auto"/>
                      <w:spacing w:val="0"/>
                      <w:kern w:val="0"/>
                      <w:position w:val="0"/>
                      <w:szCs w:val="21"/>
                      <w:lang w:val="en-US" w:eastAsia="zh-CN"/>
                    </w:rPr>
                    <w:instrText xml:space="preserve"> HYPERLINK "https://baike.baidu.com/item/%E7%A1%85%E9%85%B8%E9%92%99/1854797?fromModule=lemma_inlink" \t "https://baike.baidu.com/item/%E7%99%BD%E7%82%AD%E9%BB%91/_blank" </w:instrText>
                  </w:r>
                  <w:r>
                    <w:rPr>
                      <w:rFonts w:hint="eastAsia" w:ascii="Times New Roman" w:hAnsi="Times New Roman" w:cs="Times New Roman"/>
                      <w:bCs/>
                      <w:color w:val="auto"/>
                      <w:spacing w:val="0"/>
                      <w:kern w:val="0"/>
                      <w:position w:val="0"/>
                      <w:szCs w:val="21"/>
                      <w:lang w:val="en-US" w:eastAsia="zh-CN"/>
                    </w:rPr>
                    <w:fldChar w:fldCharType="separate"/>
                  </w:r>
                  <w:r>
                    <w:rPr>
                      <w:rFonts w:hint="eastAsia" w:ascii="Times New Roman" w:hAnsi="Times New Roman" w:cs="Times New Roman"/>
                      <w:bCs/>
                      <w:color w:val="auto"/>
                      <w:spacing w:val="0"/>
                      <w:kern w:val="0"/>
                      <w:position w:val="0"/>
                      <w:szCs w:val="21"/>
                      <w:lang w:val="en-US" w:eastAsia="zh-CN"/>
                    </w:rPr>
                    <w:t>硅酸钙</w:t>
                  </w:r>
                  <w:r>
                    <w:rPr>
                      <w:rFonts w:hint="eastAsia" w:ascii="Times New Roman" w:hAnsi="Times New Roman" w:cs="Times New Roman"/>
                      <w:bCs/>
                      <w:color w:val="auto"/>
                      <w:spacing w:val="0"/>
                      <w:kern w:val="0"/>
                      <w:position w:val="0"/>
                      <w:szCs w:val="21"/>
                      <w:lang w:val="en-US" w:eastAsia="zh-CN"/>
                    </w:rPr>
                    <w:fldChar w:fldCharType="end"/>
                  </w:r>
                  <w:r>
                    <w:rPr>
                      <w:rFonts w:hint="eastAsia" w:ascii="Times New Roman" w:hAnsi="Times New Roman" w:cs="Times New Roman"/>
                      <w:bCs/>
                      <w:color w:val="auto"/>
                      <w:spacing w:val="0"/>
                      <w:kern w:val="0"/>
                      <w:position w:val="0"/>
                      <w:szCs w:val="21"/>
                      <w:lang w:val="en-US" w:eastAsia="zh-CN"/>
                    </w:rPr>
                    <w:t>等。</w:t>
                  </w:r>
                </w:p>
              </w:tc>
              <w:tc>
                <w:tcPr>
                  <w:tcW w:w="7036" w:type="dxa"/>
                  <w:vAlign w:val="center"/>
                </w:tcPr>
                <w:p w14:paraId="042D9B8B">
                  <w:pPr>
                    <w:adjustRightInd w:val="0"/>
                    <w:snapToGrid w:val="0"/>
                    <w:jc w:val="center"/>
                    <w:rPr>
                      <w:rFonts w:hint="eastAsia" w:ascii="Times New Roman" w:hAnsi="Times New Roman" w:cs="Times New Roman"/>
                      <w:bCs/>
                      <w:color w:val="auto"/>
                      <w:spacing w:val="0"/>
                      <w:kern w:val="0"/>
                      <w:position w:val="0"/>
                      <w:szCs w:val="21"/>
                      <w:lang w:val="en-US" w:eastAsia="zh-CN"/>
                    </w:rPr>
                  </w:pPr>
                </w:p>
              </w:tc>
            </w:tr>
          </w:tbl>
          <w:p w14:paraId="5C131503">
            <w:pPr>
              <w:pStyle w:val="18"/>
              <w:rPr>
                <w:color w:val="auto"/>
              </w:rPr>
            </w:pPr>
            <w:r>
              <w:rPr>
                <w:color w:val="auto"/>
              </w:rPr>
              <w:t>（2）主要生产设备</w:t>
            </w:r>
          </w:p>
          <w:p w14:paraId="4D8B59DB">
            <w:pPr>
              <w:pStyle w:val="18"/>
              <w:rPr>
                <w:color w:val="auto"/>
              </w:rPr>
            </w:pPr>
            <w:r>
              <w:rPr>
                <w:color w:val="auto"/>
              </w:rPr>
              <w:t>项目主要生产设备清单见表2-9。</w:t>
            </w:r>
          </w:p>
          <w:p w14:paraId="4A9D6C12">
            <w:pPr>
              <w:autoSpaceDE w:val="0"/>
              <w:autoSpaceDN w:val="0"/>
              <w:adjustRightInd w:val="0"/>
              <w:snapToGrid w:val="0"/>
              <w:jc w:val="center"/>
              <w:rPr>
                <w:b/>
                <w:bCs/>
                <w:color w:val="auto"/>
                <w:kern w:val="0"/>
                <w:szCs w:val="21"/>
              </w:rPr>
            </w:pPr>
            <w:r>
              <w:rPr>
                <w:b/>
                <w:bCs/>
                <w:color w:val="auto"/>
                <w:kern w:val="0"/>
                <w:szCs w:val="21"/>
              </w:rPr>
              <w:t>表2-9主要生产设备表</w:t>
            </w:r>
          </w:p>
          <w:tbl>
            <w:tblPr>
              <w:tblStyle w:val="82"/>
              <w:tblW w:w="818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50"/>
              <w:gridCol w:w="2370"/>
              <w:gridCol w:w="2255"/>
              <w:gridCol w:w="759"/>
              <w:gridCol w:w="1026"/>
              <w:gridCol w:w="1227"/>
            </w:tblGrid>
            <w:tr w14:paraId="2AD755A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shd w:val="clear" w:color="auto" w:fill="auto"/>
                  <w:vAlign w:val="center"/>
                </w:tcPr>
                <w:p w14:paraId="4B3700C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447" w:type="pct"/>
                  <w:shd w:val="clear" w:color="auto" w:fill="auto"/>
                  <w:vAlign w:val="center"/>
                </w:tcPr>
                <w:p w14:paraId="71F99E4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1377" w:type="pct"/>
                  <w:shd w:val="clear" w:color="auto" w:fill="auto"/>
                  <w:vAlign w:val="center"/>
                </w:tcPr>
                <w:p w14:paraId="7331102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规格及型号</w:t>
                  </w:r>
                </w:p>
              </w:tc>
              <w:tc>
                <w:tcPr>
                  <w:tcW w:w="463" w:type="pct"/>
                  <w:shd w:val="clear" w:color="auto" w:fill="auto"/>
                  <w:vAlign w:val="center"/>
                </w:tcPr>
                <w:p w14:paraId="637587C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626" w:type="pct"/>
                  <w:shd w:val="clear" w:color="auto" w:fill="auto"/>
                  <w:vAlign w:val="center"/>
                </w:tcPr>
                <w:p w14:paraId="0D62747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749" w:type="pct"/>
                  <w:shd w:val="clear" w:color="auto" w:fill="auto"/>
                  <w:vAlign w:val="center"/>
                </w:tcPr>
                <w:p w14:paraId="0D70717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备注</w:t>
                  </w:r>
                </w:p>
              </w:tc>
            </w:tr>
            <w:tr w14:paraId="20F3EB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6"/>
                  <w:vAlign w:val="center"/>
                </w:tcPr>
                <w:p w14:paraId="1E2AD5F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w:t>
                  </w:r>
                  <w:r>
                    <w:rPr>
                      <w:rFonts w:hint="eastAsia" w:ascii="Times New Roman" w:hAnsi="Times New Roman" w:eastAsia="宋体" w:cs="Times New Roman"/>
                      <w:i w:val="0"/>
                      <w:iCs w:val="0"/>
                      <w:color w:val="auto"/>
                      <w:kern w:val="0"/>
                      <w:sz w:val="21"/>
                      <w:szCs w:val="21"/>
                      <w:u w:val="none"/>
                      <w:lang w:val="en-US" w:eastAsia="zh-CN" w:bidi="ar"/>
                    </w:rPr>
                    <w:t>、悬浮剂</w:t>
                  </w:r>
                </w:p>
              </w:tc>
            </w:tr>
            <w:tr w14:paraId="7F72B7B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1D7FE43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47" w:type="pct"/>
                  <w:vAlign w:val="center"/>
                </w:tcPr>
                <w:p w14:paraId="37F7577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配置釜</w:t>
                  </w:r>
                </w:p>
              </w:tc>
              <w:tc>
                <w:tcPr>
                  <w:tcW w:w="1377" w:type="pct"/>
                  <w:vAlign w:val="center"/>
                </w:tcPr>
                <w:p w14:paraId="71B40D2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FX-06</w:t>
                  </w:r>
                </w:p>
              </w:tc>
              <w:tc>
                <w:tcPr>
                  <w:tcW w:w="463" w:type="pct"/>
                  <w:vAlign w:val="center"/>
                </w:tcPr>
                <w:p w14:paraId="6A083B0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319F64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7F2A38A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1985FC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F4BA20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47" w:type="pct"/>
                  <w:vAlign w:val="center"/>
                </w:tcPr>
                <w:p w14:paraId="215E407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计量罐</w:t>
                  </w:r>
                </w:p>
              </w:tc>
              <w:tc>
                <w:tcPr>
                  <w:tcW w:w="1377" w:type="pct"/>
                  <w:vAlign w:val="center"/>
                </w:tcPr>
                <w:p w14:paraId="239F685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MFR12-30</w:t>
                  </w:r>
                </w:p>
              </w:tc>
              <w:tc>
                <w:tcPr>
                  <w:tcW w:w="463" w:type="pct"/>
                  <w:vAlign w:val="center"/>
                </w:tcPr>
                <w:p w14:paraId="1CCE246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1B635F3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1BC38E1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1B3B4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FCBB64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47" w:type="pct"/>
                  <w:vAlign w:val="center"/>
                </w:tcPr>
                <w:p w14:paraId="4B40663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调配罐</w:t>
                  </w:r>
                </w:p>
              </w:tc>
              <w:tc>
                <w:tcPr>
                  <w:tcW w:w="1377" w:type="pct"/>
                  <w:vAlign w:val="center"/>
                </w:tcPr>
                <w:p w14:paraId="4E4B470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FX-06</w:t>
                  </w:r>
                </w:p>
              </w:tc>
              <w:tc>
                <w:tcPr>
                  <w:tcW w:w="463" w:type="pct"/>
                  <w:vAlign w:val="center"/>
                </w:tcPr>
                <w:p w14:paraId="28995C1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1A74217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5E49FD1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12B3F2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954B04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447" w:type="pct"/>
                  <w:vAlign w:val="center"/>
                </w:tcPr>
                <w:p w14:paraId="66BAB5D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剪切机（罐内）</w:t>
                  </w:r>
                </w:p>
              </w:tc>
              <w:tc>
                <w:tcPr>
                  <w:tcW w:w="1377" w:type="pct"/>
                  <w:vAlign w:val="center"/>
                </w:tcPr>
                <w:p w14:paraId="09FBAC7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20201009</w:t>
                  </w:r>
                </w:p>
              </w:tc>
              <w:tc>
                <w:tcPr>
                  <w:tcW w:w="463" w:type="pct"/>
                  <w:vAlign w:val="center"/>
                </w:tcPr>
                <w:p w14:paraId="377D186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4779B85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C9093F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12A35C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0ED05E7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47" w:type="pct"/>
                  <w:vAlign w:val="center"/>
                </w:tcPr>
                <w:p w14:paraId="6C14833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中转罐</w:t>
                  </w:r>
                </w:p>
              </w:tc>
              <w:tc>
                <w:tcPr>
                  <w:tcW w:w="1377" w:type="pct"/>
                  <w:vAlign w:val="center"/>
                </w:tcPr>
                <w:p w14:paraId="7E55E05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XTXUJ-Z</w:t>
                  </w:r>
                </w:p>
              </w:tc>
              <w:tc>
                <w:tcPr>
                  <w:tcW w:w="463" w:type="pct"/>
                  <w:vAlign w:val="center"/>
                </w:tcPr>
                <w:p w14:paraId="414EE0B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4681DDA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749" w:type="pct"/>
                  <w:vAlign w:val="center"/>
                </w:tcPr>
                <w:p w14:paraId="710D139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A56EF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21E5285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1447" w:type="pct"/>
                  <w:vAlign w:val="center"/>
                </w:tcPr>
                <w:p w14:paraId="06C36C3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砂磨机</w:t>
                  </w:r>
                </w:p>
              </w:tc>
              <w:tc>
                <w:tcPr>
                  <w:tcW w:w="1377" w:type="pct"/>
                  <w:vAlign w:val="center"/>
                </w:tcPr>
                <w:p w14:paraId="3954630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HRSM2016-01</w:t>
                  </w:r>
                </w:p>
              </w:tc>
              <w:tc>
                <w:tcPr>
                  <w:tcW w:w="463" w:type="pct"/>
                  <w:vAlign w:val="center"/>
                </w:tcPr>
                <w:p w14:paraId="4D54400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AC5A8E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w:t>
                  </w:r>
                </w:p>
              </w:tc>
              <w:tc>
                <w:tcPr>
                  <w:tcW w:w="749" w:type="pct"/>
                  <w:vAlign w:val="center"/>
                </w:tcPr>
                <w:p w14:paraId="294E29C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090A66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2D61E0D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1447" w:type="pct"/>
                  <w:vAlign w:val="center"/>
                </w:tcPr>
                <w:p w14:paraId="4365516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液体灌装机</w:t>
                  </w:r>
                </w:p>
              </w:tc>
              <w:tc>
                <w:tcPr>
                  <w:tcW w:w="1377" w:type="pct"/>
                  <w:vAlign w:val="center"/>
                </w:tcPr>
                <w:p w14:paraId="45F6FB0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MS590-160</w:t>
                  </w:r>
                </w:p>
              </w:tc>
              <w:tc>
                <w:tcPr>
                  <w:tcW w:w="463" w:type="pct"/>
                  <w:vAlign w:val="center"/>
                </w:tcPr>
                <w:p w14:paraId="1CE9D29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2BA6D22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34336B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0CD074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B9B29C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p>
              </w:tc>
              <w:tc>
                <w:tcPr>
                  <w:tcW w:w="1447" w:type="pct"/>
                  <w:vAlign w:val="center"/>
                </w:tcPr>
                <w:p w14:paraId="615DFBA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旋盖机</w:t>
                  </w:r>
                </w:p>
              </w:tc>
              <w:tc>
                <w:tcPr>
                  <w:tcW w:w="1377" w:type="pct"/>
                  <w:vAlign w:val="center"/>
                </w:tcPr>
                <w:p w14:paraId="0CD33C6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FXZ-6J</w:t>
                  </w:r>
                </w:p>
              </w:tc>
              <w:tc>
                <w:tcPr>
                  <w:tcW w:w="463" w:type="pct"/>
                  <w:vAlign w:val="center"/>
                </w:tcPr>
                <w:p w14:paraId="577CD20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3F41740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6FCD5D3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6B01D37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72F2DA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w:t>
                  </w:r>
                </w:p>
              </w:tc>
              <w:tc>
                <w:tcPr>
                  <w:tcW w:w="1447" w:type="pct"/>
                  <w:vAlign w:val="center"/>
                </w:tcPr>
                <w:p w14:paraId="7BF5F53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封口机</w:t>
                  </w:r>
                </w:p>
              </w:tc>
              <w:tc>
                <w:tcPr>
                  <w:tcW w:w="1377" w:type="pct"/>
                  <w:vAlign w:val="center"/>
                </w:tcPr>
                <w:p w14:paraId="35B463B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CS-60C</w:t>
                  </w:r>
                </w:p>
              </w:tc>
              <w:tc>
                <w:tcPr>
                  <w:tcW w:w="463" w:type="pct"/>
                  <w:vAlign w:val="center"/>
                </w:tcPr>
                <w:p w14:paraId="6672571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1D05FAA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5C6D61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36CC24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D8E866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1447" w:type="pct"/>
                  <w:vAlign w:val="center"/>
                </w:tcPr>
                <w:p w14:paraId="2B93E77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贴标机</w:t>
                  </w:r>
                </w:p>
              </w:tc>
              <w:tc>
                <w:tcPr>
                  <w:tcW w:w="1377" w:type="pct"/>
                  <w:vAlign w:val="center"/>
                </w:tcPr>
                <w:p w14:paraId="3A026BB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CDP-20AS</w:t>
                  </w:r>
                </w:p>
              </w:tc>
              <w:tc>
                <w:tcPr>
                  <w:tcW w:w="463" w:type="pct"/>
                  <w:vAlign w:val="center"/>
                </w:tcPr>
                <w:p w14:paraId="131A63E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38A72FD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575674A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13BAA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0B5C7D6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w:t>
                  </w:r>
                </w:p>
              </w:tc>
              <w:tc>
                <w:tcPr>
                  <w:tcW w:w="1447" w:type="pct"/>
                  <w:vAlign w:val="center"/>
                </w:tcPr>
                <w:p w14:paraId="39E9AFB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打包机</w:t>
                  </w:r>
                </w:p>
              </w:tc>
              <w:tc>
                <w:tcPr>
                  <w:tcW w:w="1377" w:type="pct"/>
                  <w:vAlign w:val="center"/>
                </w:tcPr>
                <w:p w14:paraId="39A4435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DBJ-2015</w:t>
                  </w:r>
                </w:p>
              </w:tc>
              <w:tc>
                <w:tcPr>
                  <w:tcW w:w="463" w:type="pct"/>
                  <w:vAlign w:val="center"/>
                </w:tcPr>
                <w:p w14:paraId="5DDBD1E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498874E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0767A61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032943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6"/>
                  <w:vAlign w:val="center"/>
                </w:tcPr>
                <w:p w14:paraId="56A6867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二、可湿性粉剂</w:t>
                  </w:r>
                </w:p>
              </w:tc>
            </w:tr>
            <w:tr w14:paraId="7DF8F11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20F2D72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447" w:type="pct"/>
                  <w:vAlign w:val="center"/>
                </w:tcPr>
                <w:p w14:paraId="78A2197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混料罐</w:t>
                  </w:r>
                </w:p>
              </w:tc>
              <w:tc>
                <w:tcPr>
                  <w:tcW w:w="1377" w:type="pct"/>
                  <w:vAlign w:val="center"/>
                </w:tcPr>
                <w:p w14:paraId="613FF70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SHDW-7X</w:t>
                  </w:r>
                </w:p>
              </w:tc>
              <w:tc>
                <w:tcPr>
                  <w:tcW w:w="463" w:type="pct"/>
                  <w:vAlign w:val="center"/>
                </w:tcPr>
                <w:p w14:paraId="76DE830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0A159D7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749" w:type="pct"/>
                  <w:vAlign w:val="center"/>
                </w:tcPr>
                <w:p w14:paraId="5036C0D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34A4E7C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13B8934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447" w:type="pct"/>
                  <w:vAlign w:val="center"/>
                </w:tcPr>
                <w:p w14:paraId="398716A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气流粉碎机</w:t>
                  </w:r>
                </w:p>
              </w:tc>
              <w:tc>
                <w:tcPr>
                  <w:tcW w:w="1377" w:type="pct"/>
                  <w:vAlign w:val="center"/>
                </w:tcPr>
                <w:p w14:paraId="1333D1F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SPD-10AT</w:t>
                  </w:r>
                </w:p>
              </w:tc>
              <w:tc>
                <w:tcPr>
                  <w:tcW w:w="463" w:type="pct"/>
                  <w:vAlign w:val="center"/>
                </w:tcPr>
                <w:p w14:paraId="75C03DC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20DE28C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34F2156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304075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769EE22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1447" w:type="pct"/>
                  <w:vAlign w:val="center"/>
                </w:tcPr>
                <w:p w14:paraId="5150777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混料罐</w:t>
                  </w:r>
                </w:p>
              </w:tc>
              <w:tc>
                <w:tcPr>
                  <w:tcW w:w="1377" w:type="pct"/>
                  <w:vAlign w:val="center"/>
                </w:tcPr>
                <w:p w14:paraId="6208254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MS590-160</w:t>
                  </w:r>
                </w:p>
              </w:tc>
              <w:tc>
                <w:tcPr>
                  <w:tcW w:w="463" w:type="pct"/>
                  <w:vAlign w:val="center"/>
                </w:tcPr>
                <w:p w14:paraId="10E4647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EC71F9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6CB6604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7E34B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748AA1B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1447" w:type="pct"/>
                  <w:vAlign w:val="center"/>
                </w:tcPr>
                <w:p w14:paraId="076EC8E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固体灌装机</w:t>
                  </w:r>
                </w:p>
              </w:tc>
              <w:tc>
                <w:tcPr>
                  <w:tcW w:w="1377" w:type="pct"/>
                  <w:vAlign w:val="center"/>
                </w:tcPr>
                <w:p w14:paraId="18E64DC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CS-60C</w:t>
                  </w:r>
                </w:p>
              </w:tc>
              <w:tc>
                <w:tcPr>
                  <w:tcW w:w="463" w:type="pct"/>
                  <w:vAlign w:val="center"/>
                </w:tcPr>
                <w:p w14:paraId="4203066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0A5FFE1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7ADCF40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0E977B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42FC003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1447" w:type="pct"/>
                  <w:vAlign w:val="center"/>
                </w:tcPr>
                <w:p w14:paraId="7B50664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封口机</w:t>
                  </w:r>
                </w:p>
              </w:tc>
              <w:tc>
                <w:tcPr>
                  <w:tcW w:w="1377" w:type="pct"/>
                  <w:vAlign w:val="center"/>
                </w:tcPr>
                <w:p w14:paraId="1A2BF5A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CDP-20AS</w:t>
                  </w:r>
                </w:p>
              </w:tc>
              <w:tc>
                <w:tcPr>
                  <w:tcW w:w="463" w:type="pct"/>
                  <w:vAlign w:val="center"/>
                </w:tcPr>
                <w:p w14:paraId="488AF8D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1F83A0F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0A3C886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0EB1E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F49A3A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447" w:type="pct"/>
                  <w:vAlign w:val="center"/>
                </w:tcPr>
                <w:p w14:paraId="6239C96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贴标机</w:t>
                  </w:r>
                </w:p>
              </w:tc>
              <w:tc>
                <w:tcPr>
                  <w:tcW w:w="1377" w:type="pct"/>
                  <w:vAlign w:val="center"/>
                </w:tcPr>
                <w:p w14:paraId="371DAEB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2012001</w:t>
                  </w:r>
                </w:p>
              </w:tc>
              <w:tc>
                <w:tcPr>
                  <w:tcW w:w="463" w:type="pct"/>
                  <w:vAlign w:val="center"/>
                </w:tcPr>
                <w:p w14:paraId="503F4E7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221047B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31116D2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D93D8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08AF6AA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1447" w:type="pct"/>
                  <w:vAlign w:val="center"/>
                </w:tcPr>
                <w:p w14:paraId="7D2EF2A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打包机</w:t>
                  </w:r>
                </w:p>
              </w:tc>
              <w:tc>
                <w:tcPr>
                  <w:tcW w:w="1377" w:type="pct"/>
                  <w:vAlign w:val="center"/>
                </w:tcPr>
                <w:p w14:paraId="5EC8971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DBJ-2015</w:t>
                  </w:r>
                </w:p>
              </w:tc>
              <w:tc>
                <w:tcPr>
                  <w:tcW w:w="463" w:type="pct"/>
                  <w:vAlign w:val="center"/>
                </w:tcPr>
                <w:p w14:paraId="4703533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8E634D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0738467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DFF41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6"/>
                  <w:vAlign w:val="center"/>
                </w:tcPr>
                <w:p w14:paraId="7AC127A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三、水乳剂</w:t>
                  </w:r>
                </w:p>
              </w:tc>
            </w:tr>
            <w:tr w14:paraId="69B84E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1FCC2E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447" w:type="pct"/>
                  <w:vAlign w:val="center"/>
                </w:tcPr>
                <w:p w14:paraId="385161F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搅拌罐</w:t>
                  </w:r>
                </w:p>
              </w:tc>
              <w:tc>
                <w:tcPr>
                  <w:tcW w:w="1377" w:type="pct"/>
                  <w:vAlign w:val="center"/>
                </w:tcPr>
                <w:p w14:paraId="7E2D397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TN150</w:t>
                  </w:r>
                </w:p>
              </w:tc>
              <w:tc>
                <w:tcPr>
                  <w:tcW w:w="463" w:type="pct"/>
                  <w:vAlign w:val="center"/>
                </w:tcPr>
                <w:p w14:paraId="3C4DE7F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4A1291C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25CEE2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2*10m</w:t>
                  </w:r>
                </w:p>
              </w:tc>
            </w:tr>
            <w:tr w14:paraId="7DFD4AF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449E4E1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447" w:type="pct"/>
                  <w:vAlign w:val="center"/>
                </w:tcPr>
                <w:p w14:paraId="21FEE7E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上料泵</w:t>
                  </w:r>
                </w:p>
              </w:tc>
              <w:tc>
                <w:tcPr>
                  <w:tcW w:w="1377" w:type="pct"/>
                  <w:vAlign w:val="center"/>
                </w:tcPr>
                <w:p w14:paraId="2E3032A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DMF220</w:t>
                  </w:r>
                </w:p>
              </w:tc>
              <w:tc>
                <w:tcPr>
                  <w:tcW w:w="463" w:type="pct"/>
                  <w:vAlign w:val="center"/>
                </w:tcPr>
                <w:p w14:paraId="589B9D2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3AD54EA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F7F23F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67578E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0B6AADA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1447" w:type="pct"/>
                  <w:vAlign w:val="center"/>
                </w:tcPr>
                <w:p w14:paraId="711B105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液体灌装机</w:t>
                  </w:r>
                </w:p>
              </w:tc>
              <w:tc>
                <w:tcPr>
                  <w:tcW w:w="1377" w:type="pct"/>
                  <w:vAlign w:val="center"/>
                </w:tcPr>
                <w:p w14:paraId="641D1CD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MS590-160</w:t>
                  </w:r>
                </w:p>
              </w:tc>
              <w:tc>
                <w:tcPr>
                  <w:tcW w:w="463" w:type="pct"/>
                  <w:vAlign w:val="center"/>
                </w:tcPr>
                <w:p w14:paraId="1A49587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39BE4C6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2612F3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6AB22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2A116F9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1447" w:type="pct"/>
                  <w:vAlign w:val="center"/>
                </w:tcPr>
                <w:p w14:paraId="2186C78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旋盖机</w:t>
                  </w:r>
                </w:p>
              </w:tc>
              <w:tc>
                <w:tcPr>
                  <w:tcW w:w="1377" w:type="pct"/>
                  <w:vAlign w:val="center"/>
                </w:tcPr>
                <w:p w14:paraId="2ACB7A6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FXZ-6J</w:t>
                  </w:r>
                </w:p>
              </w:tc>
              <w:tc>
                <w:tcPr>
                  <w:tcW w:w="463" w:type="pct"/>
                  <w:vAlign w:val="center"/>
                </w:tcPr>
                <w:p w14:paraId="731546C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5433CA3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68578C9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3AB556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7C1FB90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1447" w:type="pct"/>
                  <w:vAlign w:val="center"/>
                </w:tcPr>
                <w:p w14:paraId="2573685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封口机</w:t>
                  </w:r>
                </w:p>
              </w:tc>
              <w:tc>
                <w:tcPr>
                  <w:tcW w:w="1377" w:type="pct"/>
                  <w:vAlign w:val="center"/>
                </w:tcPr>
                <w:p w14:paraId="55D9115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CS-60C</w:t>
                  </w:r>
                </w:p>
              </w:tc>
              <w:tc>
                <w:tcPr>
                  <w:tcW w:w="463" w:type="pct"/>
                  <w:vAlign w:val="center"/>
                </w:tcPr>
                <w:p w14:paraId="7CE6E3F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13C11F0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754695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5B6D2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5BBD847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447" w:type="pct"/>
                  <w:vAlign w:val="center"/>
                </w:tcPr>
                <w:p w14:paraId="4136B10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贴标机</w:t>
                  </w:r>
                </w:p>
              </w:tc>
              <w:tc>
                <w:tcPr>
                  <w:tcW w:w="1377" w:type="pct"/>
                  <w:vAlign w:val="center"/>
                </w:tcPr>
                <w:p w14:paraId="5380BB1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CDP-20AS</w:t>
                  </w:r>
                </w:p>
              </w:tc>
              <w:tc>
                <w:tcPr>
                  <w:tcW w:w="463" w:type="pct"/>
                  <w:vAlign w:val="center"/>
                </w:tcPr>
                <w:p w14:paraId="69AEE2C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0B0E45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C2CCB7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13278A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5F221BE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1447" w:type="pct"/>
                  <w:vAlign w:val="center"/>
                </w:tcPr>
                <w:p w14:paraId="0DA218A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打包机</w:t>
                  </w:r>
                </w:p>
              </w:tc>
              <w:tc>
                <w:tcPr>
                  <w:tcW w:w="1377" w:type="pct"/>
                  <w:vAlign w:val="center"/>
                </w:tcPr>
                <w:p w14:paraId="208E1C2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DBJ-2015</w:t>
                  </w:r>
                </w:p>
              </w:tc>
              <w:tc>
                <w:tcPr>
                  <w:tcW w:w="463" w:type="pct"/>
                  <w:vAlign w:val="center"/>
                </w:tcPr>
                <w:p w14:paraId="634E0EF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0278B1B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70FC85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81F970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6"/>
                  <w:vAlign w:val="center"/>
                </w:tcPr>
                <w:p w14:paraId="299A55B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四、水剂</w:t>
                  </w:r>
                </w:p>
              </w:tc>
            </w:tr>
            <w:tr w14:paraId="225FAF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5D1F509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447" w:type="pct"/>
                  <w:vAlign w:val="center"/>
                </w:tcPr>
                <w:p w14:paraId="34BBEDF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搅拌罐</w:t>
                  </w:r>
                </w:p>
              </w:tc>
              <w:tc>
                <w:tcPr>
                  <w:tcW w:w="1377" w:type="pct"/>
                  <w:vAlign w:val="center"/>
                </w:tcPr>
                <w:p w14:paraId="0592C64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TN150</w:t>
                  </w:r>
                </w:p>
              </w:tc>
              <w:tc>
                <w:tcPr>
                  <w:tcW w:w="463" w:type="pct"/>
                  <w:vAlign w:val="center"/>
                </w:tcPr>
                <w:p w14:paraId="6541077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61D4D90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8C2599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2*10m</w:t>
                  </w:r>
                </w:p>
              </w:tc>
            </w:tr>
            <w:tr w14:paraId="414A29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D0A473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447" w:type="pct"/>
                  <w:vAlign w:val="center"/>
                </w:tcPr>
                <w:p w14:paraId="64C025B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上料泵</w:t>
                  </w:r>
                </w:p>
              </w:tc>
              <w:tc>
                <w:tcPr>
                  <w:tcW w:w="1377" w:type="pct"/>
                  <w:vAlign w:val="center"/>
                </w:tcPr>
                <w:p w14:paraId="1606226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DMF220</w:t>
                  </w:r>
                </w:p>
              </w:tc>
              <w:tc>
                <w:tcPr>
                  <w:tcW w:w="463" w:type="pct"/>
                  <w:vAlign w:val="center"/>
                </w:tcPr>
                <w:p w14:paraId="09AD0EF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61E15C7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715388D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383FD1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2AF5CFC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1447" w:type="pct"/>
                  <w:vAlign w:val="center"/>
                </w:tcPr>
                <w:p w14:paraId="01979B5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液体灌装机</w:t>
                  </w:r>
                </w:p>
              </w:tc>
              <w:tc>
                <w:tcPr>
                  <w:tcW w:w="1377" w:type="pct"/>
                  <w:vAlign w:val="center"/>
                </w:tcPr>
                <w:p w14:paraId="37EDDC0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MS590-160</w:t>
                  </w:r>
                </w:p>
              </w:tc>
              <w:tc>
                <w:tcPr>
                  <w:tcW w:w="463" w:type="pct"/>
                  <w:vAlign w:val="center"/>
                </w:tcPr>
                <w:p w14:paraId="49E1149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83798E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378675A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B9969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096C4A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1447" w:type="pct"/>
                  <w:vAlign w:val="center"/>
                </w:tcPr>
                <w:p w14:paraId="23964FC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旋盖机</w:t>
                  </w:r>
                </w:p>
              </w:tc>
              <w:tc>
                <w:tcPr>
                  <w:tcW w:w="1377" w:type="pct"/>
                  <w:vAlign w:val="center"/>
                </w:tcPr>
                <w:p w14:paraId="7A3F432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FXZ-6J</w:t>
                  </w:r>
                </w:p>
              </w:tc>
              <w:tc>
                <w:tcPr>
                  <w:tcW w:w="463" w:type="pct"/>
                  <w:vAlign w:val="center"/>
                </w:tcPr>
                <w:p w14:paraId="0ABC4D6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779C996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4E5FC87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1BE3F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5E1ADAC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1447" w:type="pct"/>
                  <w:vAlign w:val="center"/>
                </w:tcPr>
                <w:p w14:paraId="684DF1E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封口机</w:t>
                  </w:r>
                </w:p>
              </w:tc>
              <w:tc>
                <w:tcPr>
                  <w:tcW w:w="1377" w:type="pct"/>
                  <w:vAlign w:val="center"/>
                </w:tcPr>
                <w:p w14:paraId="7A11CD1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CS-60C</w:t>
                  </w:r>
                </w:p>
              </w:tc>
              <w:tc>
                <w:tcPr>
                  <w:tcW w:w="463" w:type="pct"/>
                  <w:vAlign w:val="center"/>
                </w:tcPr>
                <w:p w14:paraId="4368921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2A421AA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5FBF6D7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66F3D60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138B11C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447" w:type="pct"/>
                  <w:vAlign w:val="center"/>
                </w:tcPr>
                <w:p w14:paraId="29C42F1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贴标机</w:t>
                  </w:r>
                </w:p>
              </w:tc>
              <w:tc>
                <w:tcPr>
                  <w:tcW w:w="1377" w:type="pct"/>
                  <w:vAlign w:val="center"/>
                </w:tcPr>
                <w:p w14:paraId="78D0999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CDP-20AS</w:t>
                  </w:r>
                </w:p>
              </w:tc>
              <w:tc>
                <w:tcPr>
                  <w:tcW w:w="463" w:type="pct"/>
                  <w:vAlign w:val="center"/>
                </w:tcPr>
                <w:p w14:paraId="2F38C54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62836E2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6B6DB3A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9AF52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0D83D84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1447" w:type="pct"/>
                  <w:vAlign w:val="center"/>
                </w:tcPr>
                <w:p w14:paraId="3005B36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打包机</w:t>
                  </w:r>
                </w:p>
              </w:tc>
              <w:tc>
                <w:tcPr>
                  <w:tcW w:w="1377" w:type="pct"/>
                  <w:vAlign w:val="center"/>
                </w:tcPr>
                <w:p w14:paraId="52078F0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DBJ-2015</w:t>
                  </w:r>
                </w:p>
              </w:tc>
              <w:tc>
                <w:tcPr>
                  <w:tcW w:w="463" w:type="pct"/>
                  <w:vAlign w:val="center"/>
                </w:tcPr>
                <w:p w14:paraId="776217C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3C43B3E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3197669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25EC4F8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6"/>
                  <w:vAlign w:val="center"/>
                </w:tcPr>
                <w:p w14:paraId="7B24E75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五、检验室</w:t>
                  </w:r>
                </w:p>
              </w:tc>
            </w:tr>
            <w:tr w14:paraId="7FEBA6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F3C348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1447" w:type="pct"/>
                  <w:vAlign w:val="center"/>
                </w:tcPr>
                <w:p w14:paraId="02F3F8D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色谱仪</w:t>
                  </w:r>
                </w:p>
              </w:tc>
              <w:tc>
                <w:tcPr>
                  <w:tcW w:w="1377" w:type="pct"/>
                  <w:vAlign w:val="center"/>
                </w:tcPr>
                <w:p w14:paraId="3435214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p>
              </w:tc>
              <w:tc>
                <w:tcPr>
                  <w:tcW w:w="463" w:type="pct"/>
                  <w:vAlign w:val="center"/>
                </w:tcPr>
                <w:p w14:paraId="7CD349A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6E17DAC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7E9DD3E0">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61417F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3F8C6F0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1447" w:type="pct"/>
                  <w:vAlign w:val="center"/>
                </w:tcPr>
                <w:p w14:paraId="7E3B57F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电子天平</w:t>
                  </w:r>
                </w:p>
              </w:tc>
              <w:tc>
                <w:tcPr>
                  <w:tcW w:w="1377" w:type="pct"/>
                  <w:vAlign w:val="center"/>
                </w:tcPr>
                <w:p w14:paraId="3B7D91A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HZK-FA</w:t>
                  </w:r>
                </w:p>
              </w:tc>
              <w:tc>
                <w:tcPr>
                  <w:tcW w:w="463" w:type="pct"/>
                  <w:vAlign w:val="center"/>
                </w:tcPr>
                <w:p w14:paraId="4C2E3A8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0EE0FDB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11A1521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062B06A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7E620BF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w:t>
                  </w:r>
                </w:p>
              </w:tc>
              <w:tc>
                <w:tcPr>
                  <w:tcW w:w="1447" w:type="pct"/>
                  <w:vAlign w:val="center"/>
                </w:tcPr>
                <w:p w14:paraId="35A8EF4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酸度计</w:t>
                  </w:r>
                </w:p>
              </w:tc>
              <w:tc>
                <w:tcPr>
                  <w:tcW w:w="1377" w:type="pct"/>
                  <w:vAlign w:val="center"/>
                </w:tcPr>
                <w:p w14:paraId="23240AA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63" w:type="pct"/>
                  <w:vAlign w:val="center"/>
                </w:tcPr>
                <w:p w14:paraId="410F3DD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66BA9DF3">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19E0AD2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0FEF2F7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51CF4799">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1447" w:type="pct"/>
                  <w:vAlign w:val="center"/>
                </w:tcPr>
                <w:p w14:paraId="10A0BCA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电热恒温干燥箱</w:t>
                  </w:r>
                </w:p>
              </w:tc>
              <w:tc>
                <w:tcPr>
                  <w:tcW w:w="1377" w:type="pct"/>
                  <w:vAlign w:val="center"/>
                </w:tcPr>
                <w:p w14:paraId="5EB80C7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101</w:t>
                  </w:r>
                </w:p>
              </w:tc>
              <w:tc>
                <w:tcPr>
                  <w:tcW w:w="463" w:type="pct"/>
                  <w:vAlign w:val="center"/>
                </w:tcPr>
                <w:p w14:paraId="1D69482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套</w:t>
                  </w:r>
                </w:p>
              </w:tc>
              <w:tc>
                <w:tcPr>
                  <w:tcW w:w="626" w:type="pct"/>
                  <w:vAlign w:val="center"/>
                </w:tcPr>
                <w:p w14:paraId="5B39DFF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3255023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9F894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B8F859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1447" w:type="pct"/>
                  <w:vAlign w:val="center"/>
                </w:tcPr>
                <w:p w14:paraId="7D74010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水分测定装置</w:t>
                  </w:r>
                </w:p>
              </w:tc>
              <w:tc>
                <w:tcPr>
                  <w:tcW w:w="1377" w:type="pct"/>
                  <w:vAlign w:val="center"/>
                </w:tcPr>
                <w:p w14:paraId="0D9DB1E6">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63" w:type="pct"/>
                  <w:vAlign w:val="center"/>
                </w:tcPr>
                <w:p w14:paraId="6B68729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套</w:t>
                  </w:r>
                </w:p>
              </w:tc>
              <w:tc>
                <w:tcPr>
                  <w:tcW w:w="626" w:type="pct"/>
                  <w:vAlign w:val="center"/>
                </w:tcPr>
                <w:p w14:paraId="3F2E3E2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22C42A5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0D1EF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6236D03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w:t>
                  </w:r>
                </w:p>
              </w:tc>
              <w:tc>
                <w:tcPr>
                  <w:tcW w:w="1447" w:type="pct"/>
                  <w:vAlign w:val="center"/>
                </w:tcPr>
                <w:p w14:paraId="255F202D">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水浴锅</w:t>
                  </w:r>
                </w:p>
              </w:tc>
              <w:tc>
                <w:tcPr>
                  <w:tcW w:w="1377" w:type="pct"/>
                  <w:vAlign w:val="center"/>
                </w:tcPr>
                <w:p w14:paraId="0568C4A8">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63" w:type="pct"/>
                  <w:vAlign w:val="center"/>
                </w:tcPr>
                <w:p w14:paraId="4534381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42659D0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64AC2462">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B6B033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7D78D62E">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w:t>
                  </w:r>
                </w:p>
              </w:tc>
              <w:tc>
                <w:tcPr>
                  <w:tcW w:w="1447" w:type="pct"/>
                  <w:vAlign w:val="center"/>
                </w:tcPr>
                <w:p w14:paraId="3854468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粘度计</w:t>
                  </w:r>
                </w:p>
              </w:tc>
              <w:tc>
                <w:tcPr>
                  <w:tcW w:w="1377" w:type="pct"/>
                  <w:vAlign w:val="center"/>
                </w:tcPr>
                <w:p w14:paraId="7CB3F64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63" w:type="pct"/>
                  <w:vAlign w:val="center"/>
                </w:tcPr>
                <w:p w14:paraId="52E9183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1234F5E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11FD2BF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48B4A3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080D03C7">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p>
              </w:tc>
              <w:tc>
                <w:tcPr>
                  <w:tcW w:w="1447" w:type="pct"/>
                  <w:vAlign w:val="center"/>
                </w:tcPr>
                <w:p w14:paraId="787A1D6B">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测定装置</w:t>
                  </w:r>
                </w:p>
              </w:tc>
              <w:tc>
                <w:tcPr>
                  <w:tcW w:w="1377" w:type="pct"/>
                  <w:vAlign w:val="center"/>
                </w:tcPr>
                <w:p w14:paraId="3CAA3CE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63" w:type="pct"/>
                  <w:vAlign w:val="center"/>
                </w:tcPr>
                <w:p w14:paraId="608178F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台</w:t>
                  </w:r>
                </w:p>
              </w:tc>
              <w:tc>
                <w:tcPr>
                  <w:tcW w:w="626" w:type="pct"/>
                  <w:vAlign w:val="center"/>
                </w:tcPr>
                <w:p w14:paraId="65A9635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5A14B885">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78F924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35" w:type="pct"/>
                  <w:vAlign w:val="center"/>
                </w:tcPr>
                <w:p w14:paraId="1460A2C1">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w:t>
                  </w:r>
                </w:p>
              </w:tc>
              <w:tc>
                <w:tcPr>
                  <w:tcW w:w="1447" w:type="pct"/>
                  <w:vAlign w:val="center"/>
                </w:tcPr>
                <w:p w14:paraId="489C5D5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配套玻璃仪器</w:t>
                  </w:r>
                </w:p>
              </w:tc>
              <w:tc>
                <w:tcPr>
                  <w:tcW w:w="1377" w:type="pct"/>
                  <w:vAlign w:val="center"/>
                </w:tcPr>
                <w:p w14:paraId="0F082F54">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63" w:type="pct"/>
                  <w:vAlign w:val="center"/>
                </w:tcPr>
                <w:p w14:paraId="42F16F0F">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套</w:t>
                  </w:r>
                </w:p>
              </w:tc>
              <w:tc>
                <w:tcPr>
                  <w:tcW w:w="626" w:type="pct"/>
                  <w:vAlign w:val="center"/>
                </w:tcPr>
                <w:p w14:paraId="092CA81A">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49" w:type="pct"/>
                  <w:vAlign w:val="center"/>
                </w:tcPr>
                <w:p w14:paraId="54C6FFCC">
                  <w:pPr>
                    <w:keepNext w:val="0"/>
                    <w:keepLines w:val="0"/>
                    <w:pageBreakBefore w:val="0"/>
                    <w:widowControl w:val="0"/>
                    <w:suppressLineNumbers w:val="0"/>
                    <w:kinsoku/>
                    <w:wordWrap w:val="0"/>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bl>
          <w:p w14:paraId="74ED8905">
            <w:pPr>
              <w:pStyle w:val="18"/>
              <w:ind w:firstLine="422"/>
              <w:rPr>
                <w:b/>
                <w:bCs/>
                <w:color w:val="auto"/>
              </w:rPr>
            </w:pPr>
            <w:r>
              <w:rPr>
                <w:b/>
                <w:bCs/>
                <w:color w:val="auto"/>
              </w:rPr>
              <w:t>7、劳动定员和工作制度</w:t>
            </w:r>
          </w:p>
          <w:p w14:paraId="4A27678F">
            <w:pPr>
              <w:pStyle w:val="18"/>
              <w:rPr>
                <w:color w:val="auto"/>
              </w:rPr>
            </w:pPr>
            <w:r>
              <w:rPr>
                <w:color w:val="auto"/>
              </w:rPr>
              <w:t>劳动定员：本项目劳动定员</w:t>
            </w:r>
            <w:r>
              <w:rPr>
                <w:rFonts w:hint="eastAsia"/>
                <w:color w:val="auto"/>
                <w:lang w:val="en-US" w:eastAsia="zh-CN"/>
              </w:rPr>
              <w:t>50</w:t>
            </w:r>
            <w:r>
              <w:rPr>
                <w:color w:val="auto"/>
              </w:rPr>
              <w:t>人。</w:t>
            </w:r>
          </w:p>
          <w:p w14:paraId="22C44B03">
            <w:pPr>
              <w:pStyle w:val="18"/>
              <w:rPr>
                <w:color w:val="auto"/>
              </w:rPr>
            </w:pPr>
            <w:r>
              <w:rPr>
                <w:color w:val="auto"/>
              </w:rPr>
              <w:t>工作制度：年工作300天，采用</w:t>
            </w:r>
            <w:r>
              <w:rPr>
                <w:rFonts w:hint="eastAsia"/>
                <w:color w:val="auto"/>
                <w:lang w:val="en-US" w:eastAsia="zh-CN"/>
              </w:rPr>
              <w:t>三班制，每班</w:t>
            </w:r>
            <w:r>
              <w:rPr>
                <w:color w:val="auto"/>
              </w:rPr>
              <w:t>8h工作制度。</w:t>
            </w:r>
          </w:p>
          <w:p w14:paraId="6B4857DC">
            <w:pPr>
              <w:pStyle w:val="18"/>
              <w:ind w:firstLine="422"/>
              <w:rPr>
                <w:b/>
                <w:bCs/>
                <w:color w:val="auto"/>
              </w:rPr>
            </w:pPr>
            <w:r>
              <w:rPr>
                <w:rFonts w:hint="eastAsia"/>
                <w:b/>
                <w:bCs/>
                <w:color w:val="auto"/>
                <w:lang w:val="en-US" w:eastAsia="zh-CN"/>
              </w:rPr>
              <w:t>8</w:t>
            </w:r>
            <w:r>
              <w:rPr>
                <w:b/>
                <w:bCs/>
                <w:color w:val="auto"/>
              </w:rPr>
              <w:t>、水平衡分析</w:t>
            </w:r>
          </w:p>
          <w:p w14:paraId="24996767">
            <w:pPr>
              <w:pStyle w:val="18"/>
              <w:rPr>
                <w:snapToGrid w:val="0"/>
                <w:color w:val="auto"/>
              </w:rPr>
            </w:pPr>
            <w:bookmarkStart w:id="11" w:name="_Hlk139036505"/>
            <w:bookmarkStart w:id="12" w:name="_Hlk139012395"/>
            <w:r>
              <w:rPr>
                <w:b/>
                <w:bCs/>
                <w:snapToGrid w:val="0"/>
                <w:color w:val="auto"/>
              </w:rPr>
              <w:t>项目用水包括生产用水、生活用水</w:t>
            </w:r>
            <w:r>
              <w:rPr>
                <w:rFonts w:hint="eastAsia"/>
                <w:b/>
                <w:bCs/>
                <w:snapToGrid w:val="0"/>
                <w:color w:val="auto"/>
                <w:lang w:eastAsia="zh-CN"/>
              </w:rPr>
              <w:t>（</w:t>
            </w:r>
            <w:r>
              <w:rPr>
                <w:rFonts w:hint="eastAsia"/>
                <w:b/>
                <w:bCs/>
                <w:snapToGrid w:val="0"/>
                <w:color w:val="auto"/>
                <w:lang w:val="en-US" w:eastAsia="zh-CN"/>
              </w:rPr>
              <w:t>车间通过扫把清扫，无地面冲洗废水</w:t>
            </w:r>
            <w:r>
              <w:rPr>
                <w:rFonts w:hint="eastAsia"/>
                <w:b/>
                <w:bCs/>
                <w:snapToGrid w:val="0"/>
                <w:color w:val="auto"/>
                <w:lang w:eastAsia="zh-CN"/>
              </w:rPr>
              <w:t>）</w:t>
            </w:r>
            <w:r>
              <w:rPr>
                <w:snapToGrid w:val="0"/>
                <w:color w:val="auto"/>
              </w:rPr>
              <w:t>。</w:t>
            </w:r>
          </w:p>
          <w:bookmarkEnd w:id="11"/>
          <w:p w14:paraId="40E10C83">
            <w:pPr>
              <w:pStyle w:val="18"/>
              <w:rPr>
                <w:b/>
                <w:bCs/>
                <w:snapToGrid w:val="0"/>
                <w:color w:val="auto"/>
              </w:rPr>
            </w:pPr>
            <w:bookmarkStart w:id="13" w:name="_Hlk161305228"/>
            <w:r>
              <w:rPr>
                <w:b/>
                <w:bCs/>
                <w:snapToGrid w:val="0"/>
                <w:color w:val="auto"/>
              </w:rPr>
              <w:t>（1）生产废水</w:t>
            </w:r>
          </w:p>
          <w:p w14:paraId="14A9C5E6">
            <w:pPr>
              <w:pStyle w:val="18"/>
              <w:rPr>
                <w:b/>
                <w:bCs/>
                <w:snapToGrid w:val="0"/>
                <w:color w:val="auto"/>
              </w:rPr>
            </w:pPr>
            <w:r>
              <w:rPr>
                <w:rFonts w:hint="eastAsia"/>
                <w:b/>
                <w:bCs/>
                <w:snapToGrid w:val="0"/>
                <w:color w:val="auto"/>
              </w:rPr>
              <w:t>1）</w:t>
            </w:r>
            <w:r>
              <w:rPr>
                <w:rFonts w:hint="eastAsia"/>
                <w:b/>
                <w:bCs/>
                <w:snapToGrid w:val="0"/>
                <w:color w:val="auto"/>
                <w:lang w:val="en-US" w:eastAsia="zh-CN"/>
              </w:rPr>
              <w:t>产品</w:t>
            </w:r>
            <w:r>
              <w:rPr>
                <w:rFonts w:hint="eastAsia"/>
                <w:b/>
                <w:bCs/>
                <w:snapToGrid w:val="0"/>
                <w:color w:val="auto"/>
              </w:rPr>
              <w:t>用水</w:t>
            </w:r>
          </w:p>
          <w:p w14:paraId="28DCA6FF">
            <w:pPr>
              <w:pStyle w:val="18"/>
              <w:rPr>
                <w:rFonts w:hint="eastAsia"/>
                <w:snapToGrid w:val="0"/>
                <w:color w:val="auto"/>
              </w:rPr>
            </w:pPr>
            <w:r>
              <w:rPr>
                <w:rFonts w:hint="eastAsia"/>
                <w:snapToGrid w:val="0"/>
                <w:color w:val="auto"/>
              </w:rPr>
              <w:t>本项目水剂、</w:t>
            </w:r>
            <w:r>
              <w:rPr>
                <w:rFonts w:hint="eastAsia"/>
                <w:snapToGrid w:val="0"/>
                <w:color w:val="auto"/>
                <w:lang w:val="en-US" w:eastAsia="zh-CN"/>
              </w:rPr>
              <w:t>水乳</w:t>
            </w:r>
            <w:r>
              <w:rPr>
                <w:rFonts w:hint="eastAsia"/>
                <w:snapToGrid w:val="0"/>
                <w:color w:val="auto"/>
              </w:rPr>
              <w:t>剂、悬浮剂生产过程中需加入</w:t>
            </w:r>
            <w:r>
              <w:rPr>
                <w:rFonts w:hint="eastAsia"/>
                <w:snapToGrid w:val="0"/>
                <w:color w:val="auto"/>
                <w:lang w:val="en-US" w:eastAsia="zh-CN"/>
              </w:rPr>
              <w:t>纯</w:t>
            </w:r>
            <w:r>
              <w:rPr>
                <w:rFonts w:hint="eastAsia"/>
                <w:snapToGrid w:val="0"/>
                <w:color w:val="auto"/>
              </w:rPr>
              <w:t>水，根据物料衡算，生产用水量为</w:t>
            </w:r>
            <w:r>
              <w:rPr>
                <w:rFonts w:hint="eastAsia"/>
                <w:snapToGrid w:val="0"/>
                <w:color w:val="auto"/>
                <w:lang w:val="en-US" w:eastAsia="zh-CN"/>
              </w:rPr>
              <w:t>7.57</w:t>
            </w:r>
            <w:r>
              <w:rPr>
                <w:rFonts w:hint="eastAsia"/>
                <w:snapToGrid w:val="0"/>
                <w:color w:val="auto"/>
              </w:rPr>
              <w:t>m</w:t>
            </w:r>
            <w:r>
              <w:rPr>
                <w:rFonts w:hint="eastAsia"/>
                <w:snapToGrid w:val="0"/>
                <w:color w:val="auto"/>
                <w:vertAlign w:val="superscript"/>
              </w:rPr>
              <w:t>3</w:t>
            </w:r>
            <w:r>
              <w:rPr>
                <w:rFonts w:hint="eastAsia"/>
                <w:snapToGrid w:val="0"/>
                <w:color w:val="auto"/>
              </w:rPr>
              <w:t>/d（</w:t>
            </w:r>
            <w:r>
              <w:rPr>
                <w:rFonts w:hint="eastAsia"/>
                <w:snapToGrid w:val="0"/>
                <w:color w:val="auto"/>
                <w:lang w:val="en-US" w:eastAsia="zh-CN"/>
              </w:rPr>
              <w:t>2271</w:t>
            </w:r>
            <w:r>
              <w:rPr>
                <w:rFonts w:hint="eastAsia"/>
                <w:snapToGrid w:val="0"/>
                <w:color w:val="auto"/>
              </w:rPr>
              <w:t>m</w:t>
            </w:r>
            <w:r>
              <w:rPr>
                <w:rFonts w:hint="eastAsia"/>
                <w:snapToGrid w:val="0"/>
                <w:color w:val="auto"/>
                <w:vertAlign w:val="superscript"/>
              </w:rPr>
              <w:t>3</w:t>
            </w:r>
            <w:r>
              <w:rPr>
                <w:rFonts w:hint="eastAsia"/>
                <w:snapToGrid w:val="0"/>
                <w:color w:val="auto"/>
              </w:rPr>
              <w:t>/a），扣除设备冲洗废水，需</w:t>
            </w:r>
            <w:r>
              <w:rPr>
                <w:rFonts w:hint="eastAsia"/>
                <w:snapToGrid w:val="0"/>
                <w:color w:val="auto"/>
                <w:lang w:val="en-US" w:eastAsia="zh-CN"/>
              </w:rPr>
              <w:t>纯</w:t>
            </w:r>
            <w:r>
              <w:rPr>
                <w:rFonts w:hint="eastAsia"/>
                <w:snapToGrid w:val="0"/>
                <w:color w:val="auto"/>
              </w:rPr>
              <w:t>水</w:t>
            </w:r>
            <w:r>
              <w:rPr>
                <w:rFonts w:hint="eastAsia"/>
                <w:snapToGrid w:val="0"/>
                <w:color w:val="auto"/>
                <w:lang w:val="en-US" w:eastAsia="zh-CN"/>
              </w:rPr>
              <w:t>7.186</w:t>
            </w:r>
            <w:r>
              <w:rPr>
                <w:rFonts w:hint="eastAsia"/>
                <w:snapToGrid w:val="0"/>
                <w:color w:val="auto"/>
              </w:rPr>
              <w:t>m</w:t>
            </w:r>
            <w:r>
              <w:rPr>
                <w:rFonts w:hint="eastAsia"/>
                <w:snapToGrid w:val="0"/>
                <w:color w:val="auto"/>
                <w:vertAlign w:val="superscript"/>
              </w:rPr>
              <w:t>3</w:t>
            </w:r>
            <w:r>
              <w:rPr>
                <w:rFonts w:hint="eastAsia"/>
                <w:snapToGrid w:val="0"/>
                <w:color w:val="auto"/>
              </w:rPr>
              <w:t>/d（</w:t>
            </w:r>
            <w:r>
              <w:rPr>
                <w:rFonts w:hint="eastAsia"/>
                <w:snapToGrid w:val="0"/>
                <w:color w:val="auto"/>
                <w:lang w:val="en-US" w:eastAsia="zh-CN"/>
              </w:rPr>
              <w:t>2155.8</w:t>
            </w:r>
            <w:r>
              <w:rPr>
                <w:rFonts w:hint="eastAsia"/>
                <w:snapToGrid w:val="0"/>
                <w:color w:val="auto"/>
              </w:rPr>
              <w:t>m3/a）。</w:t>
            </w:r>
          </w:p>
          <w:p w14:paraId="07F01DD4">
            <w:pPr>
              <w:pStyle w:val="18"/>
              <w:rPr>
                <w:b/>
                <w:bCs/>
                <w:snapToGrid w:val="0"/>
                <w:color w:val="auto"/>
              </w:rPr>
            </w:pPr>
            <w:r>
              <w:rPr>
                <w:rFonts w:hint="eastAsia"/>
                <w:b/>
                <w:bCs/>
                <w:snapToGrid w:val="0"/>
                <w:color w:val="auto"/>
              </w:rPr>
              <w:t>2）</w:t>
            </w:r>
            <w:r>
              <w:rPr>
                <w:rFonts w:hint="eastAsia"/>
                <w:b/>
                <w:bCs/>
                <w:snapToGrid w:val="0"/>
                <w:color w:val="auto"/>
                <w:lang w:val="en-US" w:eastAsia="zh-CN"/>
              </w:rPr>
              <w:t>设备冲洗</w:t>
            </w:r>
            <w:r>
              <w:rPr>
                <w:rFonts w:hint="eastAsia"/>
                <w:b/>
                <w:bCs/>
                <w:snapToGrid w:val="0"/>
                <w:color w:val="auto"/>
              </w:rPr>
              <w:t>用水</w:t>
            </w:r>
          </w:p>
          <w:p w14:paraId="3BB21C06">
            <w:pPr>
              <w:pStyle w:val="18"/>
              <w:rPr>
                <w:rFonts w:hint="eastAsia"/>
                <w:color w:val="auto"/>
                <w:lang w:val="en-US" w:eastAsia="zh-CN"/>
              </w:rPr>
            </w:pPr>
            <w:r>
              <w:rPr>
                <w:rFonts w:hint="eastAsia"/>
                <w:color w:val="auto"/>
                <w:lang w:val="en-US" w:eastAsia="zh-CN"/>
              </w:rPr>
              <w:t>可湿性粉剂</w:t>
            </w:r>
            <w:r>
              <w:rPr>
                <w:rFonts w:hint="eastAsia"/>
                <w:color w:val="auto"/>
              </w:rPr>
              <w:t>生产线不涉及用水清洗，生产不同型号产品时只需清扫干净即可；其余生产线则用水清洗，清洗用水</w:t>
            </w:r>
            <w:r>
              <w:rPr>
                <w:rFonts w:hint="eastAsia"/>
                <w:color w:val="auto"/>
                <w:lang w:eastAsia="zh-CN"/>
              </w:rPr>
              <w:t>（</w:t>
            </w:r>
            <w:r>
              <w:rPr>
                <w:rFonts w:hint="eastAsia"/>
                <w:color w:val="auto"/>
                <w:lang w:val="en-US" w:eastAsia="zh-CN"/>
              </w:rPr>
              <w:t>纯水</w:t>
            </w:r>
            <w:r>
              <w:rPr>
                <w:rFonts w:hint="eastAsia"/>
                <w:color w:val="auto"/>
                <w:lang w:eastAsia="zh-CN"/>
              </w:rPr>
              <w:t>）</w:t>
            </w:r>
            <w:r>
              <w:rPr>
                <w:rFonts w:hint="eastAsia"/>
                <w:color w:val="auto"/>
              </w:rPr>
              <w:t>约4m</w:t>
            </w:r>
            <w:r>
              <w:rPr>
                <w:rFonts w:hint="eastAsia"/>
                <w:color w:val="auto"/>
                <w:vertAlign w:val="superscript"/>
              </w:rPr>
              <w:t>3</w:t>
            </w:r>
            <w:r>
              <w:rPr>
                <w:rFonts w:hint="eastAsia"/>
                <w:color w:val="auto"/>
              </w:rPr>
              <w:t>/次，年更换生产产品类型约36次（即年清洗36次），则清洗设备用水144m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产生废水量为115.2m</w:t>
            </w:r>
            <w:r>
              <w:rPr>
                <w:rFonts w:hint="eastAsia"/>
                <w:color w:val="auto"/>
                <w:vertAlign w:val="superscript"/>
                <w:lang w:val="en-US" w:eastAsia="zh-CN"/>
              </w:rPr>
              <w:t>3</w:t>
            </w:r>
            <w:r>
              <w:rPr>
                <w:rFonts w:hint="eastAsia"/>
                <w:color w:val="auto"/>
                <w:lang w:val="en-US" w:eastAsia="zh-CN"/>
              </w:rPr>
              <w:t>/a。</w:t>
            </w:r>
            <w:r>
              <w:rPr>
                <w:rFonts w:hint="default"/>
                <w:color w:val="auto"/>
                <w:lang w:val="en-US" w:eastAsia="zh-CN"/>
              </w:rPr>
              <w:t>设备清洗废水</w:t>
            </w:r>
            <w:r>
              <w:rPr>
                <w:rFonts w:hint="eastAsia"/>
                <w:color w:val="auto"/>
                <w:lang w:val="en-US" w:eastAsia="zh-CN"/>
              </w:rPr>
              <w:t>单独</w:t>
            </w:r>
            <w:r>
              <w:rPr>
                <w:rFonts w:hint="default"/>
                <w:color w:val="auto"/>
                <w:lang w:val="en-US" w:eastAsia="zh-CN"/>
              </w:rPr>
              <w:t>收集于清洗罐中，贴上标签，用于下一轮相同产品的生产，不外排</w:t>
            </w:r>
            <w:r>
              <w:rPr>
                <w:rFonts w:hint="eastAsia"/>
                <w:color w:val="auto"/>
                <w:lang w:val="en-US" w:eastAsia="zh-CN"/>
              </w:rPr>
              <w:t>。</w:t>
            </w:r>
          </w:p>
          <w:p w14:paraId="1FC5807C">
            <w:pPr>
              <w:pStyle w:val="18"/>
              <w:rPr>
                <w:rFonts w:hint="eastAsia"/>
                <w:b/>
                <w:bCs/>
                <w:color w:val="auto"/>
                <w:lang w:val="en-US" w:eastAsia="zh-CN"/>
              </w:rPr>
            </w:pPr>
            <w:r>
              <w:rPr>
                <w:rFonts w:hint="eastAsia"/>
                <w:b/>
                <w:bCs/>
                <w:color w:val="auto"/>
                <w:lang w:val="en-US" w:eastAsia="zh-CN"/>
              </w:rPr>
              <w:t>3）纯水制备废水</w:t>
            </w:r>
          </w:p>
          <w:p w14:paraId="3AA171A8">
            <w:pPr>
              <w:pStyle w:val="18"/>
              <w:rPr>
                <w:rFonts w:hint="default"/>
                <w:color w:val="auto"/>
                <w:lang w:val="en-US" w:eastAsia="zh-CN"/>
              </w:rPr>
            </w:pPr>
            <w:r>
              <w:rPr>
                <w:rFonts w:hint="eastAsia"/>
                <w:color w:val="auto"/>
                <w:lang w:val="en-US" w:eastAsia="zh-CN"/>
              </w:rPr>
              <w:t>本项目设置纯水制备机（2t/h），项目纯水用水量为2299.8t/a，7.666t/d，项目纯水制备系统产纯率为80%，因此纯水制备系统用量为9.583t/d，排水量为1.917t/d，排入预处理池处理。</w:t>
            </w:r>
          </w:p>
          <w:p w14:paraId="3A659528">
            <w:pPr>
              <w:pStyle w:val="18"/>
              <w:rPr>
                <w:b/>
                <w:bCs/>
                <w:snapToGrid w:val="0"/>
                <w:color w:val="auto"/>
              </w:rPr>
            </w:pPr>
            <w:r>
              <w:rPr>
                <w:b/>
                <w:bCs/>
                <w:snapToGrid w:val="0"/>
                <w:color w:val="auto"/>
              </w:rPr>
              <w:t>（2）生活污水</w:t>
            </w:r>
          </w:p>
          <w:p w14:paraId="661805BB">
            <w:pPr>
              <w:pStyle w:val="18"/>
              <w:rPr>
                <w:b/>
                <w:bCs/>
                <w:snapToGrid w:val="0"/>
                <w:color w:val="auto"/>
              </w:rPr>
            </w:pPr>
            <w:r>
              <w:rPr>
                <w:b/>
                <w:bCs/>
                <w:snapToGrid w:val="0"/>
                <w:color w:val="auto"/>
              </w:rPr>
              <w:t>1）办公生活污水</w:t>
            </w:r>
          </w:p>
          <w:p w14:paraId="42A0CDD8">
            <w:pPr>
              <w:pStyle w:val="18"/>
              <w:rPr>
                <w:snapToGrid w:val="0"/>
                <w:color w:val="auto"/>
              </w:rPr>
            </w:pPr>
            <w:r>
              <w:rPr>
                <w:snapToGrid w:val="0"/>
                <w:color w:val="auto"/>
              </w:rPr>
              <w:t>本项目员工</w:t>
            </w:r>
            <w:r>
              <w:rPr>
                <w:rFonts w:hint="eastAsia"/>
                <w:snapToGrid w:val="0"/>
                <w:color w:val="auto"/>
                <w:lang w:val="en-US" w:eastAsia="zh-CN"/>
              </w:rPr>
              <w:t>50</w:t>
            </w:r>
            <w:r>
              <w:rPr>
                <w:snapToGrid w:val="0"/>
                <w:color w:val="auto"/>
              </w:rPr>
              <w:t>人，年工作300天，</w:t>
            </w:r>
            <w:r>
              <w:rPr>
                <w:rFonts w:hint="eastAsia"/>
                <w:snapToGrid w:val="0"/>
                <w:color w:val="auto"/>
              </w:rPr>
              <w:t>根据《新疆维吾尔自治区生活用水定额》</w:t>
            </w:r>
            <w:r>
              <w:rPr>
                <w:snapToGrid w:val="0"/>
                <w:color w:val="auto"/>
              </w:rPr>
              <w:t>，每人每天用水量按120L/人·d计算，则生活用水量为</w:t>
            </w:r>
            <w:r>
              <w:rPr>
                <w:rFonts w:hint="eastAsia"/>
                <w:snapToGrid w:val="0"/>
                <w:color w:val="auto"/>
                <w:lang w:val="en-US" w:eastAsia="zh-CN"/>
              </w:rPr>
              <w:t>6</w:t>
            </w:r>
            <w:r>
              <w:rPr>
                <w:snapToGrid w:val="0"/>
                <w:color w:val="auto"/>
              </w:rPr>
              <w:t>m</w:t>
            </w:r>
            <w:r>
              <w:rPr>
                <w:snapToGrid w:val="0"/>
                <w:color w:val="auto"/>
                <w:vertAlign w:val="superscript"/>
              </w:rPr>
              <w:t>3</w:t>
            </w:r>
            <w:r>
              <w:rPr>
                <w:snapToGrid w:val="0"/>
                <w:color w:val="auto"/>
              </w:rPr>
              <w:t>/d、</w:t>
            </w:r>
            <w:r>
              <w:rPr>
                <w:rFonts w:hint="eastAsia"/>
                <w:snapToGrid w:val="0"/>
                <w:color w:val="auto"/>
                <w:lang w:val="en-US" w:eastAsia="zh-CN"/>
              </w:rPr>
              <w:t>1800</w:t>
            </w:r>
            <w:r>
              <w:rPr>
                <w:snapToGrid w:val="0"/>
                <w:color w:val="auto"/>
              </w:rPr>
              <w:t>m</w:t>
            </w:r>
            <w:r>
              <w:rPr>
                <w:snapToGrid w:val="0"/>
                <w:color w:val="auto"/>
                <w:vertAlign w:val="superscript"/>
              </w:rPr>
              <w:t>3</w:t>
            </w:r>
            <w:r>
              <w:rPr>
                <w:snapToGrid w:val="0"/>
                <w:color w:val="auto"/>
              </w:rPr>
              <w:t>/a。生活污水排放系数按85%计，则生活污水产生量为</w:t>
            </w:r>
            <w:r>
              <w:rPr>
                <w:rFonts w:hint="eastAsia"/>
                <w:snapToGrid w:val="0"/>
                <w:color w:val="auto"/>
                <w:lang w:val="en-US" w:eastAsia="zh-CN"/>
              </w:rPr>
              <w:t>5.1</w:t>
            </w:r>
            <w:r>
              <w:rPr>
                <w:snapToGrid w:val="0"/>
                <w:color w:val="auto"/>
              </w:rPr>
              <w:t>m</w:t>
            </w:r>
            <w:r>
              <w:rPr>
                <w:snapToGrid w:val="0"/>
                <w:color w:val="auto"/>
                <w:vertAlign w:val="superscript"/>
              </w:rPr>
              <w:t>3</w:t>
            </w:r>
            <w:r>
              <w:rPr>
                <w:snapToGrid w:val="0"/>
                <w:color w:val="auto"/>
              </w:rPr>
              <w:t>/d、</w:t>
            </w:r>
            <w:r>
              <w:rPr>
                <w:rFonts w:hint="eastAsia"/>
                <w:snapToGrid w:val="0"/>
                <w:color w:val="auto"/>
                <w:lang w:val="en-US" w:eastAsia="zh-CN"/>
              </w:rPr>
              <w:t>1530</w:t>
            </w:r>
            <w:r>
              <w:rPr>
                <w:snapToGrid w:val="0"/>
                <w:color w:val="auto"/>
              </w:rPr>
              <w:t>m</w:t>
            </w:r>
            <w:r>
              <w:rPr>
                <w:snapToGrid w:val="0"/>
                <w:color w:val="auto"/>
                <w:vertAlign w:val="superscript"/>
              </w:rPr>
              <w:t>3</w:t>
            </w:r>
            <w:r>
              <w:rPr>
                <w:snapToGrid w:val="0"/>
                <w:color w:val="auto"/>
              </w:rPr>
              <w:t>/a。</w:t>
            </w:r>
          </w:p>
          <w:p w14:paraId="2E05BB6D">
            <w:pPr>
              <w:pStyle w:val="18"/>
              <w:rPr>
                <w:b/>
                <w:bCs/>
                <w:color w:val="auto"/>
              </w:rPr>
            </w:pPr>
            <w:r>
              <w:rPr>
                <w:b/>
                <w:bCs/>
                <w:color w:val="auto"/>
              </w:rPr>
              <w:t>2）食堂废水</w:t>
            </w:r>
          </w:p>
          <w:p w14:paraId="2CF403EA">
            <w:pPr>
              <w:pStyle w:val="18"/>
              <w:rPr>
                <w:rFonts w:hint="default" w:eastAsia="宋体"/>
                <w:color w:val="auto"/>
                <w:lang w:val="en-US" w:eastAsia="zh-CN"/>
              </w:rPr>
            </w:pPr>
            <w:r>
              <w:rPr>
                <w:color w:val="auto"/>
              </w:rPr>
              <w:t>职工食堂每人每天用水量以20L/人•d计，则食堂用水量为</w:t>
            </w:r>
            <w:r>
              <w:rPr>
                <w:rFonts w:hint="eastAsia"/>
                <w:color w:val="auto"/>
                <w:lang w:val="en-US" w:eastAsia="zh-CN"/>
              </w:rPr>
              <w:t>1</w:t>
            </w:r>
            <w:r>
              <w:rPr>
                <w:color w:val="auto"/>
              </w:rPr>
              <w:t>m</w:t>
            </w:r>
            <w:r>
              <w:rPr>
                <w:color w:val="auto"/>
                <w:vertAlign w:val="superscript"/>
              </w:rPr>
              <w:t>3</w:t>
            </w:r>
            <w:r>
              <w:rPr>
                <w:color w:val="auto"/>
              </w:rPr>
              <w:t>/d，共</w:t>
            </w:r>
            <w:r>
              <w:rPr>
                <w:rFonts w:hint="eastAsia"/>
                <w:color w:val="auto"/>
                <w:lang w:val="en-US" w:eastAsia="zh-CN"/>
              </w:rPr>
              <w:t>300</w:t>
            </w:r>
            <w:r>
              <w:rPr>
                <w:color w:val="auto"/>
              </w:rPr>
              <w:t>m</w:t>
            </w:r>
            <w:r>
              <w:rPr>
                <w:color w:val="auto"/>
                <w:vertAlign w:val="superscript"/>
              </w:rPr>
              <w:t>3</w:t>
            </w:r>
            <w:r>
              <w:rPr>
                <w:color w:val="auto"/>
              </w:rPr>
              <w:t>/a，产污系数按0.8</w:t>
            </w:r>
            <w:r>
              <w:rPr>
                <w:rFonts w:hint="eastAsia"/>
                <w:color w:val="auto"/>
                <w:lang w:val="en-US" w:eastAsia="zh-CN"/>
              </w:rPr>
              <w:t>5</w:t>
            </w:r>
            <w:r>
              <w:rPr>
                <w:color w:val="auto"/>
              </w:rPr>
              <w:t>计，则污水产生量</w:t>
            </w:r>
            <w:r>
              <w:rPr>
                <w:rFonts w:hint="eastAsia"/>
                <w:color w:val="auto"/>
                <w:lang w:val="en-US" w:eastAsia="zh-CN"/>
              </w:rPr>
              <w:t>0.85</w:t>
            </w:r>
            <w:r>
              <w:rPr>
                <w:color w:val="auto"/>
              </w:rPr>
              <w:t>m</w:t>
            </w:r>
            <w:r>
              <w:rPr>
                <w:color w:val="auto"/>
                <w:vertAlign w:val="superscript"/>
              </w:rPr>
              <w:t>3</w:t>
            </w:r>
            <w:r>
              <w:rPr>
                <w:color w:val="auto"/>
              </w:rPr>
              <w:t>/d，</w:t>
            </w:r>
            <w:r>
              <w:rPr>
                <w:rFonts w:hint="eastAsia"/>
                <w:color w:val="auto"/>
                <w:lang w:val="en-US" w:eastAsia="zh-CN"/>
              </w:rPr>
              <w:t>255</w:t>
            </w:r>
            <w:r>
              <w:rPr>
                <w:color w:val="auto"/>
              </w:rPr>
              <w:t>m</w:t>
            </w:r>
            <w:r>
              <w:rPr>
                <w:color w:val="auto"/>
                <w:vertAlign w:val="superscript"/>
              </w:rPr>
              <w:t>3</w:t>
            </w:r>
            <w:r>
              <w:rPr>
                <w:color w:val="auto"/>
              </w:rPr>
              <w:t>/a。食堂废水通过隔油池（容积1m</w:t>
            </w:r>
            <w:r>
              <w:rPr>
                <w:color w:val="auto"/>
                <w:vertAlign w:val="superscript"/>
              </w:rPr>
              <w:t>3</w:t>
            </w:r>
            <w:r>
              <w:rPr>
                <w:color w:val="auto"/>
              </w:rPr>
              <w:t>）处理后与办公生活污水一起</w:t>
            </w:r>
            <w:r>
              <w:rPr>
                <w:rFonts w:hint="eastAsia"/>
                <w:color w:val="auto"/>
              </w:rPr>
              <w:t>进入预处理池</w:t>
            </w:r>
            <w:r>
              <w:rPr>
                <w:rFonts w:hint="eastAsia"/>
                <w:color w:val="auto"/>
                <w:lang w:eastAsia="zh-CN"/>
              </w:rPr>
              <w:t>（</w:t>
            </w:r>
            <w:r>
              <w:rPr>
                <w:color w:val="auto"/>
              </w:rPr>
              <w:t>容积</w:t>
            </w:r>
            <w:r>
              <w:rPr>
                <w:rFonts w:hint="eastAsia"/>
                <w:color w:val="auto"/>
                <w:lang w:val="en-US" w:eastAsia="zh-CN"/>
              </w:rPr>
              <w:t>6</w:t>
            </w:r>
            <w:r>
              <w:rPr>
                <w:color w:val="auto"/>
              </w:rPr>
              <w:t>m</w:t>
            </w:r>
            <w:r>
              <w:rPr>
                <w:color w:val="auto"/>
                <w:vertAlign w:val="superscript"/>
              </w:rPr>
              <w:t>3</w:t>
            </w:r>
            <w:r>
              <w:rPr>
                <w:rFonts w:hint="eastAsia"/>
                <w:color w:val="auto"/>
                <w:lang w:eastAsia="zh-CN"/>
              </w:rPr>
              <w:t>）</w:t>
            </w:r>
            <w:r>
              <w:rPr>
                <w:color w:val="auto"/>
              </w:rPr>
              <w:t>。</w:t>
            </w:r>
          </w:p>
          <w:bookmarkEnd w:id="13"/>
          <w:p w14:paraId="291FD4BF">
            <w:pPr>
              <w:autoSpaceDE w:val="0"/>
              <w:autoSpaceDN w:val="0"/>
              <w:adjustRightInd w:val="0"/>
              <w:snapToGrid w:val="0"/>
              <w:jc w:val="center"/>
              <w:rPr>
                <w:b/>
                <w:bCs/>
                <w:color w:val="auto"/>
                <w:kern w:val="0"/>
                <w:szCs w:val="21"/>
              </w:rPr>
            </w:pPr>
            <w:r>
              <w:rPr>
                <w:b/>
                <w:bCs/>
                <w:color w:val="auto"/>
                <w:kern w:val="0"/>
                <w:szCs w:val="21"/>
              </w:rPr>
              <w:t>表2-10项目用水情况一览表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485"/>
              <w:gridCol w:w="1365"/>
              <w:gridCol w:w="1425"/>
              <w:gridCol w:w="3113"/>
            </w:tblGrid>
            <w:tr w14:paraId="1327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66" w:type="dxa"/>
                  <w:vAlign w:val="center"/>
                </w:tcPr>
                <w:p w14:paraId="4C8E393E">
                  <w:pPr>
                    <w:jc w:val="center"/>
                    <w:rPr>
                      <w:color w:val="auto"/>
                      <w:szCs w:val="21"/>
                    </w:rPr>
                  </w:pPr>
                  <w:r>
                    <w:rPr>
                      <w:color w:val="auto"/>
                      <w:szCs w:val="21"/>
                    </w:rPr>
                    <w:t>序号</w:t>
                  </w:r>
                </w:p>
              </w:tc>
              <w:tc>
                <w:tcPr>
                  <w:tcW w:w="1485" w:type="dxa"/>
                  <w:vAlign w:val="center"/>
                </w:tcPr>
                <w:p w14:paraId="04875FEC">
                  <w:pPr>
                    <w:jc w:val="center"/>
                    <w:rPr>
                      <w:color w:val="auto"/>
                      <w:szCs w:val="21"/>
                    </w:rPr>
                  </w:pPr>
                  <w:r>
                    <w:rPr>
                      <w:color w:val="auto"/>
                      <w:szCs w:val="21"/>
                    </w:rPr>
                    <w:t>项目</w:t>
                  </w:r>
                </w:p>
              </w:tc>
              <w:tc>
                <w:tcPr>
                  <w:tcW w:w="1365" w:type="dxa"/>
                  <w:vAlign w:val="center"/>
                </w:tcPr>
                <w:p w14:paraId="00E25084">
                  <w:pPr>
                    <w:jc w:val="center"/>
                    <w:rPr>
                      <w:color w:val="auto"/>
                      <w:szCs w:val="21"/>
                    </w:rPr>
                  </w:pPr>
                  <w:r>
                    <w:rPr>
                      <w:color w:val="auto"/>
                      <w:szCs w:val="21"/>
                    </w:rPr>
                    <w:t>用水量m</w:t>
                  </w:r>
                  <w:r>
                    <w:rPr>
                      <w:color w:val="auto"/>
                      <w:szCs w:val="21"/>
                      <w:vertAlign w:val="superscript"/>
                    </w:rPr>
                    <w:t>3</w:t>
                  </w:r>
                  <w:r>
                    <w:rPr>
                      <w:color w:val="auto"/>
                      <w:szCs w:val="21"/>
                    </w:rPr>
                    <w:t>/d</w:t>
                  </w:r>
                </w:p>
              </w:tc>
              <w:tc>
                <w:tcPr>
                  <w:tcW w:w="1425" w:type="dxa"/>
                  <w:vAlign w:val="center"/>
                </w:tcPr>
                <w:p w14:paraId="0EC7D11D">
                  <w:pPr>
                    <w:jc w:val="center"/>
                    <w:rPr>
                      <w:color w:val="auto"/>
                      <w:szCs w:val="21"/>
                    </w:rPr>
                  </w:pPr>
                  <w:r>
                    <w:rPr>
                      <w:color w:val="auto"/>
                      <w:szCs w:val="21"/>
                    </w:rPr>
                    <w:t>排水量m</w:t>
                  </w:r>
                  <w:r>
                    <w:rPr>
                      <w:color w:val="auto"/>
                      <w:szCs w:val="21"/>
                      <w:vertAlign w:val="superscript"/>
                    </w:rPr>
                    <w:t>3</w:t>
                  </w:r>
                  <w:r>
                    <w:rPr>
                      <w:color w:val="auto"/>
                      <w:szCs w:val="21"/>
                    </w:rPr>
                    <w:t>/d</w:t>
                  </w:r>
                </w:p>
              </w:tc>
              <w:tc>
                <w:tcPr>
                  <w:tcW w:w="3113" w:type="dxa"/>
                  <w:vAlign w:val="center"/>
                </w:tcPr>
                <w:p w14:paraId="625C14DB">
                  <w:pPr>
                    <w:jc w:val="center"/>
                    <w:rPr>
                      <w:color w:val="auto"/>
                      <w:szCs w:val="21"/>
                    </w:rPr>
                  </w:pPr>
                  <w:r>
                    <w:rPr>
                      <w:color w:val="auto"/>
                      <w:szCs w:val="21"/>
                    </w:rPr>
                    <w:t>备注</w:t>
                  </w:r>
                </w:p>
              </w:tc>
            </w:tr>
            <w:tr w14:paraId="5983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66" w:type="dxa"/>
                  <w:vAlign w:val="center"/>
                </w:tcPr>
                <w:p w14:paraId="493CE337">
                  <w:pPr>
                    <w:jc w:val="center"/>
                    <w:rPr>
                      <w:color w:val="auto"/>
                      <w:szCs w:val="21"/>
                    </w:rPr>
                  </w:pPr>
                  <w:r>
                    <w:rPr>
                      <w:color w:val="auto"/>
                      <w:szCs w:val="21"/>
                    </w:rPr>
                    <w:t>1</w:t>
                  </w:r>
                </w:p>
              </w:tc>
              <w:tc>
                <w:tcPr>
                  <w:tcW w:w="1485" w:type="dxa"/>
                  <w:vAlign w:val="center"/>
                </w:tcPr>
                <w:p w14:paraId="06396690">
                  <w:pPr>
                    <w:jc w:val="center"/>
                    <w:rPr>
                      <w:rFonts w:hint="default" w:eastAsia="宋体"/>
                      <w:color w:val="auto"/>
                      <w:szCs w:val="21"/>
                      <w:lang w:val="en-US" w:eastAsia="zh-CN"/>
                    </w:rPr>
                  </w:pPr>
                  <w:r>
                    <w:rPr>
                      <w:rFonts w:hint="eastAsia"/>
                      <w:snapToGrid w:val="0"/>
                      <w:color w:val="auto"/>
                      <w:lang w:val="en-US" w:eastAsia="zh-CN"/>
                    </w:rPr>
                    <w:t>纯水制备</w:t>
                  </w:r>
                </w:p>
              </w:tc>
              <w:tc>
                <w:tcPr>
                  <w:tcW w:w="1365" w:type="dxa"/>
                  <w:vAlign w:val="center"/>
                </w:tcPr>
                <w:p w14:paraId="6B0755F9">
                  <w:pPr>
                    <w:jc w:val="center"/>
                    <w:rPr>
                      <w:rFonts w:hint="default" w:eastAsia="宋体"/>
                      <w:color w:val="auto"/>
                      <w:szCs w:val="21"/>
                      <w:lang w:val="en-US" w:eastAsia="zh-CN"/>
                    </w:rPr>
                  </w:pPr>
                  <w:r>
                    <w:rPr>
                      <w:rFonts w:hint="eastAsia"/>
                      <w:color w:val="auto"/>
                      <w:szCs w:val="21"/>
                      <w:lang w:val="en-US" w:eastAsia="zh-CN"/>
                    </w:rPr>
                    <w:t>9.583</w:t>
                  </w:r>
                </w:p>
              </w:tc>
              <w:tc>
                <w:tcPr>
                  <w:tcW w:w="1425" w:type="dxa"/>
                  <w:vAlign w:val="center"/>
                </w:tcPr>
                <w:p w14:paraId="14A1052B">
                  <w:pPr>
                    <w:jc w:val="center"/>
                    <w:rPr>
                      <w:rFonts w:hint="default" w:eastAsia="宋体"/>
                      <w:color w:val="auto"/>
                      <w:szCs w:val="21"/>
                      <w:lang w:val="en-US" w:eastAsia="zh-CN"/>
                    </w:rPr>
                  </w:pPr>
                  <w:r>
                    <w:rPr>
                      <w:rFonts w:hint="eastAsia"/>
                      <w:color w:val="auto"/>
                      <w:szCs w:val="21"/>
                      <w:lang w:val="en-US" w:eastAsia="zh-CN"/>
                    </w:rPr>
                    <w:t>1.917</w:t>
                  </w:r>
                </w:p>
              </w:tc>
              <w:tc>
                <w:tcPr>
                  <w:tcW w:w="3113" w:type="dxa"/>
                  <w:vAlign w:val="center"/>
                </w:tcPr>
                <w:p w14:paraId="0DA4516D">
                  <w:pPr>
                    <w:jc w:val="center"/>
                    <w:rPr>
                      <w:color w:val="auto"/>
                      <w:szCs w:val="21"/>
                    </w:rPr>
                  </w:pPr>
                  <w:r>
                    <w:rPr>
                      <w:rFonts w:hint="eastAsia"/>
                      <w:color w:val="auto"/>
                      <w:szCs w:val="21"/>
                    </w:rPr>
                    <w:t>损失消耗以及进入产品</w:t>
                  </w:r>
                </w:p>
              </w:tc>
            </w:tr>
            <w:tr w14:paraId="5CDF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14:paraId="3B9A1379">
                  <w:pPr>
                    <w:jc w:val="center"/>
                    <w:rPr>
                      <w:rFonts w:hint="eastAsia" w:eastAsia="宋体"/>
                      <w:color w:val="auto"/>
                      <w:szCs w:val="21"/>
                      <w:lang w:eastAsia="zh-CN"/>
                    </w:rPr>
                  </w:pPr>
                  <w:r>
                    <w:rPr>
                      <w:rFonts w:hint="eastAsia"/>
                      <w:color w:val="auto"/>
                      <w:szCs w:val="21"/>
                      <w:lang w:val="en-US" w:eastAsia="zh-CN"/>
                    </w:rPr>
                    <w:t>2</w:t>
                  </w:r>
                </w:p>
              </w:tc>
              <w:tc>
                <w:tcPr>
                  <w:tcW w:w="1485" w:type="dxa"/>
                  <w:vAlign w:val="center"/>
                </w:tcPr>
                <w:p w14:paraId="362354D5">
                  <w:pPr>
                    <w:jc w:val="center"/>
                    <w:rPr>
                      <w:color w:val="auto"/>
                      <w:szCs w:val="21"/>
                    </w:rPr>
                  </w:pPr>
                  <w:r>
                    <w:rPr>
                      <w:color w:val="auto"/>
                      <w:szCs w:val="21"/>
                    </w:rPr>
                    <w:t>办公生活用水</w:t>
                  </w:r>
                </w:p>
              </w:tc>
              <w:tc>
                <w:tcPr>
                  <w:tcW w:w="1365" w:type="dxa"/>
                  <w:vAlign w:val="center"/>
                </w:tcPr>
                <w:p w14:paraId="657D71A0">
                  <w:pPr>
                    <w:jc w:val="center"/>
                    <w:rPr>
                      <w:rFonts w:hint="eastAsia" w:eastAsia="宋体"/>
                      <w:color w:val="auto"/>
                      <w:szCs w:val="21"/>
                      <w:lang w:eastAsia="zh-CN"/>
                    </w:rPr>
                  </w:pPr>
                  <w:r>
                    <w:rPr>
                      <w:rFonts w:hint="eastAsia"/>
                      <w:color w:val="auto"/>
                      <w:szCs w:val="21"/>
                      <w:lang w:val="en-US" w:eastAsia="zh-CN"/>
                    </w:rPr>
                    <w:t>6</w:t>
                  </w:r>
                </w:p>
              </w:tc>
              <w:tc>
                <w:tcPr>
                  <w:tcW w:w="1425" w:type="dxa"/>
                  <w:vAlign w:val="center"/>
                </w:tcPr>
                <w:p w14:paraId="2504F132">
                  <w:pPr>
                    <w:jc w:val="center"/>
                    <w:rPr>
                      <w:rFonts w:hint="default" w:eastAsia="宋体"/>
                      <w:color w:val="auto"/>
                      <w:szCs w:val="21"/>
                      <w:lang w:val="en-US" w:eastAsia="zh-CN"/>
                    </w:rPr>
                  </w:pPr>
                  <w:r>
                    <w:rPr>
                      <w:rFonts w:hint="eastAsia"/>
                      <w:color w:val="auto"/>
                      <w:szCs w:val="21"/>
                      <w:lang w:val="en-US" w:eastAsia="zh-CN"/>
                    </w:rPr>
                    <w:t>5.1</w:t>
                  </w:r>
                </w:p>
              </w:tc>
              <w:tc>
                <w:tcPr>
                  <w:tcW w:w="3113" w:type="dxa"/>
                  <w:vAlign w:val="center"/>
                </w:tcPr>
                <w:p w14:paraId="30B2B111">
                  <w:pPr>
                    <w:jc w:val="center"/>
                    <w:rPr>
                      <w:color w:val="auto"/>
                      <w:szCs w:val="21"/>
                    </w:rPr>
                  </w:pPr>
                  <w:r>
                    <w:rPr>
                      <w:rFonts w:hint="eastAsia"/>
                      <w:color w:val="auto"/>
                      <w:szCs w:val="21"/>
                    </w:rPr>
                    <w:t>预处理池处理</w:t>
                  </w:r>
                </w:p>
              </w:tc>
            </w:tr>
            <w:tr w14:paraId="5B6A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14:paraId="152540BE">
                  <w:pPr>
                    <w:jc w:val="center"/>
                    <w:rPr>
                      <w:rFonts w:hint="eastAsia" w:eastAsia="宋体"/>
                      <w:color w:val="auto"/>
                      <w:szCs w:val="21"/>
                      <w:lang w:eastAsia="zh-CN"/>
                    </w:rPr>
                  </w:pPr>
                  <w:r>
                    <w:rPr>
                      <w:rFonts w:hint="eastAsia"/>
                      <w:color w:val="auto"/>
                      <w:szCs w:val="21"/>
                      <w:lang w:val="en-US" w:eastAsia="zh-CN"/>
                    </w:rPr>
                    <w:t>3</w:t>
                  </w:r>
                </w:p>
              </w:tc>
              <w:tc>
                <w:tcPr>
                  <w:tcW w:w="1485" w:type="dxa"/>
                  <w:vAlign w:val="center"/>
                </w:tcPr>
                <w:p w14:paraId="5C09BEA1">
                  <w:pPr>
                    <w:jc w:val="center"/>
                    <w:rPr>
                      <w:color w:val="auto"/>
                      <w:szCs w:val="21"/>
                    </w:rPr>
                  </w:pPr>
                  <w:r>
                    <w:rPr>
                      <w:color w:val="auto"/>
                      <w:szCs w:val="21"/>
                    </w:rPr>
                    <w:t>食堂用水</w:t>
                  </w:r>
                </w:p>
              </w:tc>
              <w:tc>
                <w:tcPr>
                  <w:tcW w:w="1365" w:type="dxa"/>
                  <w:vAlign w:val="center"/>
                </w:tcPr>
                <w:p w14:paraId="03EDF023">
                  <w:pPr>
                    <w:jc w:val="center"/>
                    <w:rPr>
                      <w:rFonts w:hint="default" w:eastAsia="宋体"/>
                      <w:color w:val="auto"/>
                      <w:szCs w:val="21"/>
                      <w:lang w:val="en-US" w:eastAsia="zh-CN"/>
                    </w:rPr>
                  </w:pPr>
                  <w:r>
                    <w:rPr>
                      <w:rFonts w:hint="eastAsia"/>
                      <w:color w:val="auto"/>
                      <w:szCs w:val="21"/>
                      <w:lang w:val="en-US" w:eastAsia="zh-CN"/>
                    </w:rPr>
                    <w:t>1</w:t>
                  </w:r>
                </w:p>
              </w:tc>
              <w:tc>
                <w:tcPr>
                  <w:tcW w:w="1425" w:type="dxa"/>
                  <w:vAlign w:val="center"/>
                </w:tcPr>
                <w:p w14:paraId="6D8574B2">
                  <w:pPr>
                    <w:jc w:val="center"/>
                    <w:rPr>
                      <w:rFonts w:hint="default" w:eastAsia="宋体"/>
                      <w:color w:val="auto"/>
                      <w:szCs w:val="21"/>
                      <w:lang w:val="en-US" w:eastAsia="zh-CN"/>
                    </w:rPr>
                  </w:pPr>
                  <w:r>
                    <w:rPr>
                      <w:rFonts w:hint="eastAsia"/>
                      <w:color w:val="auto"/>
                      <w:szCs w:val="21"/>
                      <w:lang w:val="en-US" w:eastAsia="zh-CN"/>
                    </w:rPr>
                    <w:t>0.85</w:t>
                  </w:r>
                </w:p>
              </w:tc>
              <w:tc>
                <w:tcPr>
                  <w:tcW w:w="3113" w:type="dxa"/>
                  <w:vAlign w:val="center"/>
                </w:tcPr>
                <w:p w14:paraId="627C9E38">
                  <w:pPr>
                    <w:jc w:val="center"/>
                    <w:rPr>
                      <w:color w:val="auto"/>
                      <w:szCs w:val="21"/>
                    </w:rPr>
                  </w:pPr>
                  <w:r>
                    <w:rPr>
                      <w:rFonts w:hint="eastAsia"/>
                      <w:color w:val="auto"/>
                      <w:szCs w:val="21"/>
                    </w:rPr>
                    <w:t>隔油池处理后进入预处理池</w:t>
                  </w:r>
                </w:p>
              </w:tc>
            </w:tr>
            <w:tr w14:paraId="4DC5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1" w:type="dxa"/>
                  <w:gridSpan w:val="2"/>
                  <w:vAlign w:val="center"/>
                </w:tcPr>
                <w:p w14:paraId="1E8DD779">
                  <w:pPr>
                    <w:jc w:val="center"/>
                    <w:rPr>
                      <w:color w:val="auto"/>
                      <w:szCs w:val="21"/>
                    </w:rPr>
                  </w:pPr>
                  <w:r>
                    <w:rPr>
                      <w:color w:val="auto"/>
                      <w:szCs w:val="21"/>
                    </w:rPr>
                    <w:t>合计</w:t>
                  </w:r>
                </w:p>
              </w:tc>
              <w:tc>
                <w:tcPr>
                  <w:tcW w:w="1365" w:type="dxa"/>
                  <w:vAlign w:val="center"/>
                </w:tcPr>
                <w:p w14:paraId="78CD89E6">
                  <w:pPr>
                    <w:jc w:val="center"/>
                    <w:rPr>
                      <w:rFonts w:hint="default" w:eastAsia="宋体"/>
                      <w:color w:val="auto"/>
                      <w:szCs w:val="21"/>
                      <w:lang w:val="en-US" w:eastAsia="zh-CN"/>
                    </w:rPr>
                  </w:pPr>
                  <w:r>
                    <w:rPr>
                      <w:rFonts w:hint="eastAsia"/>
                      <w:color w:val="auto"/>
                      <w:szCs w:val="21"/>
                      <w:lang w:val="en-US" w:eastAsia="zh-CN"/>
                    </w:rPr>
                    <w:t>16.583</w:t>
                  </w:r>
                </w:p>
              </w:tc>
              <w:tc>
                <w:tcPr>
                  <w:tcW w:w="1425" w:type="dxa"/>
                  <w:vAlign w:val="center"/>
                </w:tcPr>
                <w:p w14:paraId="2ACF323C">
                  <w:pPr>
                    <w:jc w:val="center"/>
                    <w:rPr>
                      <w:rFonts w:hint="default" w:eastAsia="宋体"/>
                      <w:color w:val="auto"/>
                      <w:szCs w:val="21"/>
                      <w:lang w:val="en-US" w:eastAsia="zh-CN"/>
                    </w:rPr>
                  </w:pPr>
                  <w:r>
                    <w:rPr>
                      <w:rFonts w:hint="eastAsia"/>
                      <w:color w:val="auto"/>
                      <w:szCs w:val="21"/>
                      <w:lang w:val="en-US" w:eastAsia="zh-CN"/>
                    </w:rPr>
                    <w:t>7.867</w:t>
                  </w:r>
                </w:p>
              </w:tc>
              <w:tc>
                <w:tcPr>
                  <w:tcW w:w="3113" w:type="dxa"/>
                  <w:vAlign w:val="center"/>
                </w:tcPr>
                <w:p w14:paraId="51077B45">
                  <w:pPr>
                    <w:jc w:val="center"/>
                    <w:rPr>
                      <w:color w:val="auto"/>
                      <w:szCs w:val="21"/>
                    </w:rPr>
                  </w:pPr>
                  <w:r>
                    <w:rPr>
                      <w:rFonts w:hint="eastAsia"/>
                      <w:color w:val="auto"/>
                      <w:szCs w:val="21"/>
                    </w:rPr>
                    <w:t>/</w:t>
                  </w:r>
                </w:p>
              </w:tc>
            </w:tr>
          </w:tbl>
          <w:p w14:paraId="533C0337">
            <w:pPr>
              <w:pStyle w:val="18"/>
              <w:jc w:val="center"/>
              <w:rPr>
                <w:color w:val="auto"/>
              </w:rPr>
            </w:pPr>
          </w:p>
          <w:p w14:paraId="7F4F7A7C">
            <w:pPr>
              <w:pStyle w:val="18"/>
              <w:jc w:val="center"/>
              <w:rPr>
                <w:color w:val="auto"/>
              </w:rPr>
            </w:pPr>
            <w:r>
              <w:rPr>
                <w:color w:val="auto"/>
              </w:rPr>
              <w:drawing>
                <wp:inline distT="0" distB="0" distL="114300" distR="114300">
                  <wp:extent cx="4689475" cy="2779395"/>
                  <wp:effectExtent l="0" t="0" r="15875"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4689475" cy="2779395"/>
                          </a:xfrm>
                          <a:prstGeom prst="rect">
                            <a:avLst/>
                          </a:prstGeom>
                          <a:noFill/>
                          <a:ln>
                            <a:noFill/>
                          </a:ln>
                        </pic:spPr>
                      </pic:pic>
                    </a:graphicData>
                  </a:graphic>
                </wp:inline>
              </w:drawing>
            </w:r>
          </w:p>
          <w:p w14:paraId="65648B7B">
            <w:pPr>
              <w:autoSpaceDE w:val="0"/>
              <w:autoSpaceDN w:val="0"/>
              <w:adjustRightInd w:val="0"/>
              <w:snapToGrid w:val="0"/>
              <w:jc w:val="center"/>
              <w:rPr>
                <w:rFonts w:hint="eastAsia" w:eastAsia="宋体"/>
                <w:b/>
                <w:bCs/>
                <w:color w:val="auto"/>
                <w:kern w:val="0"/>
                <w:szCs w:val="21"/>
                <w:lang w:eastAsia="zh-CN"/>
              </w:rPr>
            </w:pPr>
            <w:r>
              <w:rPr>
                <w:b/>
                <w:bCs/>
                <w:color w:val="auto"/>
                <w:kern w:val="0"/>
                <w:szCs w:val="21"/>
              </w:rPr>
              <w:t>图2-1水平衡图</w:t>
            </w:r>
            <w:r>
              <w:rPr>
                <w:rFonts w:hint="eastAsia"/>
                <w:b/>
                <w:bCs/>
                <w:color w:val="auto"/>
                <w:kern w:val="0"/>
                <w:szCs w:val="21"/>
                <w:lang w:eastAsia="zh-CN"/>
              </w:rPr>
              <w:t>（</w:t>
            </w:r>
            <w:r>
              <w:rPr>
                <w:rFonts w:hint="eastAsia"/>
                <w:b/>
                <w:bCs/>
                <w:color w:val="auto"/>
                <w:kern w:val="0"/>
                <w:szCs w:val="21"/>
                <w:lang w:val="en-US" w:eastAsia="zh-CN"/>
              </w:rPr>
              <w:t>t/d</w:t>
            </w:r>
            <w:r>
              <w:rPr>
                <w:rFonts w:hint="eastAsia"/>
                <w:b/>
                <w:bCs/>
                <w:color w:val="auto"/>
                <w:kern w:val="0"/>
                <w:szCs w:val="21"/>
                <w:lang w:eastAsia="zh-CN"/>
              </w:rPr>
              <w:t>）</w:t>
            </w:r>
          </w:p>
          <w:bookmarkEnd w:id="12"/>
          <w:p w14:paraId="4FD3DC07">
            <w:pPr>
              <w:pStyle w:val="18"/>
              <w:ind w:firstLine="422"/>
              <w:rPr>
                <w:b/>
                <w:bCs/>
                <w:color w:val="auto"/>
              </w:rPr>
            </w:pPr>
            <w:r>
              <w:rPr>
                <w:b/>
                <w:bCs/>
                <w:color w:val="auto"/>
              </w:rPr>
              <w:t>10、</w:t>
            </w:r>
            <w:r>
              <w:rPr>
                <w:rFonts w:hint="eastAsia"/>
                <w:b/>
                <w:bCs/>
                <w:color w:val="auto"/>
              </w:rPr>
              <w:t>物料平衡</w:t>
            </w:r>
          </w:p>
          <w:p w14:paraId="682F07F3">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表2-11  吡唑醚菌酯悬浮剂物料平衡表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860"/>
              <w:gridCol w:w="2125"/>
              <w:gridCol w:w="1993"/>
            </w:tblGrid>
            <w:tr w14:paraId="1C67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51" w:type="dxa"/>
                  <w:gridSpan w:val="2"/>
                </w:tcPr>
                <w:p w14:paraId="026D6F60">
                  <w:pPr>
                    <w:jc w:val="center"/>
                    <w:rPr>
                      <w:color w:val="auto"/>
                      <w:szCs w:val="21"/>
                    </w:rPr>
                  </w:pPr>
                  <w:r>
                    <w:rPr>
                      <w:rFonts w:hint="eastAsia"/>
                      <w:color w:val="auto"/>
                      <w:szCs w:val="21"/>
                    </w:rPr>
                    <w:t>输入</w:t>
                  </w:r>
                </w:p>
              </w:tc>
              <w:tc>
                <w:tcPr>
                  <w:tcW w:w="4118" w:type="dxa"/>
                  <w:gridSpan w:val="2"/>
                </w:tcPr>
                <w:p w14:paraId="61BBBA3C">
                  <w:pPr>
                    <w:jc w:val="center"/>
                    <w:rPr>
                      <w:color w:val="auto"/>
                      <w:szCs w:val="21"/>
                    </w:rPr>
                  </w:pPr>
                  <w:r>
                    <w:rPr>
                      <w:rFonts w:hint="eastAsia"/>
                      <w:color w:val="auto"/>
                      <w:szCs w:val="21"/>
                    </w:rPr>
                    <w:t>输出</w:t>
                  </w:r>
                </w:p>
              </w:tc>
            </w:tr>
            <w:tr w14:paraId="71D3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4B611FD6">
                  <w:pPr>
                    <w:jc w:val="center"/>
                    <w:rPr>
                      <w:color w:val="auto"/>
                      <w:szCs w:val="21"/>
                    </w:rPr>
                  </w:pPr>
                  <w:r>
                    <w:rPr>
                      <w:rFonts w:hint="eastAsia"/>
                      <w:color w:val="auto"/>
                      <w:szCs w:val="21"/>
                    </w:rPr>
                    <w:t>项目</w:t>
                  </w:r>
                </w:p>
              </w:tc>
              <w:tc>
                <w:tcPr>
                  <w:tcW w:w="1860" w:type="dxa"/>
                </w:tcPr>
                <w:p w14:paraId="24B80EF3">
                  <w:pPr>
                    <w:jc w:val="center"/>
                    <w:rPr>
                      <w:color w:val="auto"/>
                      <w:szCs w:val="21"/>
                    </w:rPr>
                  </w:pPr>
                  <w:r>
                    <w:rPr>
                      <w:rFonts w:hint="eastAsia"/>
                      <w:color w:val="auto"/>
                      <w:szCs w:val="21"/>
                    </w:rPr>
                    <w:t>输入量</w:t>
                  </w:r>
                </w:p>
              </w:tc>
              <w:tc>
                <w:tcPr>
                  <w:tcW w:w="2125" w:type="dxa"/>
                  <w:vAlign w:val="center"/>
                </w:tcPr>
                <w:p w14:paraId="24839564">
                  <w:pPr>
                    <w:jc w:val="center"/>
                    <w:rPr>
                      <w:color w:val="auto"/>
                      <w:szCs w:val="21"/>
                    </w:rPr>
                  </w:pPr>
                  <w:r>
                    <w:rPr>
                      <w:rFonts w:hint="eastAsia"/>
                      <w:color w:val="auto"/>
                      <w:szCs w:val="21"/>
                    </w:rPr>
                    <w:t>项目</w:t>
                  </w:r>
                </w:p>
              </w:tc>
              <w:tc>
                <w:tcPr>
                  <w:tcW w:w="1993" w:type="dxa"/>
                </w:tcPr>
                <w:p w14:paraId="2E7E962D">
                  <w:pPr>
                    <w:jc w:val="center"/>
                    <w:rPr>
                      <w:color w:val="auto"/>
                      <w:szCs w:val="21"/>
                    </w:rPr>
                  </w:pPr>
                  <w:r>
                    <w:rPr>
                      <w:rFonts w:hint="eastAsia"/>
                      <w:color w:val="auto"/>
                      <w:szCs w:val="21"/>
                    </w:rPr>
                    <w:t>输出量</w:t>
                  </w:r>
                </w:p>
              </w:tc>
            </w:tr>
            <w:tr w14:paraId="2F82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651BB377">
                  <w:pPr>
                    <w:adjustRightInd w:val="0"/>
                    <w:jc w:val="center"/>
                    <w:rPr>
                      <w:color w:val="auto"/>
                      <w:szCs w:val="21"/>
                    </w:rPr>
                  </w:pPr>
                  <w:r>
                    <w:rPr>
                      <w:rFonts w:hint="eastAsia" w:ascii="Times New Roman" w:hAnsi="Times New Roman" w:eastAsia="宋体" w:cs="Times New Roman"/>
                      <w:color w:val="auto"/>
                      <w:szCs w:val="21"/>
                      <w:lang w:val="en-US" w:eastAsia="zh-CN"/>
                    </w:rPr>
                    <w:t>吡唑醚菌酯</w:t>
                  </w:r>
                </w:p>
              </w:tc>
              <w:tc>
                <w:tcPr>
                  <w:tcW w:w="1860" w:type="dxa"/>
                  <w:vAlign w:val="center"/>
                </w:tcPr>
                <w:p w14:paraId="1EACEA4F">
                  <w:pPr>
                    <w:adjustRightInd w:val="0"/>
                    <w:jc w:val="center"/>
                    <w:rPr>
                      <w:color w:val="auto"/>
                      <w:szCs w:val="21"/>
                    </w:rPr>
                  </w:pPr>
                  <w:r>
                    <w:rPr>
                      <w:rFonts w:hint="eastAsia" w:ascii="Times New Roman" w:hAnsi="Times New Roman" w:eastAsia="宋体" w:cs="Times New Roman"/>
                      <w:color w:val="auto"/>
                      <w:szCs w:val="21"/>
                      <w:lang w:val="en-US" w:eastAsia="zh-CN"/>
                    </w:rPr>
                    <w:t>125</w:t>
                  </w:r>
                </w:p>
              </w:tc>
              <w:tc>
                <w:tcPr>
                  <w:tcW w:w="2125" w:type="dxa"/>
                  <w:vAlign w:val="center"/>
                </w:tcPr>
                <w:p w14:paraId="7858A69D">
                  <w:pPr>
                    <w:jc w:val="center"/>
                    <w:rPr>
                      <w:rFonts w:hint="eastAsia" w:eastAsia="宋体"/>
                      <w:color w:val="auto"/>
                      <w:szCs w:val="21"/>
                      <w:lang w:val="en-US" w:eastAsia="zh-CN"/>
                    </w:rPr>
                  </w:pPr>
                  <w:r>
                    <w:rPr>
                      <w:rFonts w:hint="eastAsia"/>
                      <w:color w:val="auto"/>
                      <w:szCs w:val="21"/>
                      <w:lang w:val="en-US" w:eastAsia="zh-CN"/>
                    </w:rPr>
                    <w:t>产品</w:t>
                  </w:r>
                </w:p>
              </w:tc>
              <w:tc>
                <w:tcPr>
                  <w:tcW w:w="1993" w:type="dxa"/>
                </w:tcPr>
                <w:p w14:paraId="41F659E7">
                  <w:pPr>
                    <w:jc w:val="center"/>
                    <w:rPr>
                      <w:rFonts w:hint="default" w:eastAsia="宋体"/>
                      <w:color w:val="auto"/>
                      <w:szCs w:val="21"/>
                      <w:lang w:val="en-US" w:eastAsia="zh-CN"/>
                    </w:rPr>
                  </w:pPr>
                  <w:r>
                    <w:rPr>
                      <w:rFonts w:hint="eastAsia"/>
                      <w:color w:val="auto"/>
                      <w:szCs w:val="21"/>
                      <w:lang w:val="en-US" w:eastAsia="zh-CN"/>
                    </w:rPr>
                    <w:t>499.9502</w:t>
                  </w:r>
                </w:p>
              </w:tc>
            </w:tr>
            <w:tr w14:paraId="641B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34EE3FEF">
                  <w:pPr>
                    <w:adjustRightInd w:val="0"/>
                    <w:jc w:val="center"/>
                    <w:rPr>
                      <w:color w:val="auto"/>
                      <w:szCs w:val="21"/>
                    </w:rPr>
                  </w:pPr>
                  <w:r>
                    <w:rPr>
                      <w:rFonts w:hint="eastAsia" w:ascii="Times New Roman" w:hAnsi="Times New Roman" w:eastAsia="宋体" w:cs="Times New Roman"/>
                      <w:color w:val="auto"/>
                      <w:szCs w:val="21"/>
                      <w:lang w:val="en-US" w:eastAsia="zh-CN"/>
                    </w:rPr>
                    <w:t>聚羟酸钠盐</w:t>
                  </w:r>
                </w:p>
              </w:tc>
              <w:tc>
                <w:tcPr>
                  <w:tcW w:w="1860" w:type="dxa"/>
                  <w:vAlign w:val="center"/>
                </w:tcPr>
                <w:p w14:paraId="148DEDB0">
                  <w:pPr>
                    <w:adjustRightInd w:val="0"/>
                    <w:jc w:val="center"/>
                    <w:rPr>
                      <w:rFonts w:hint="default"/>
                      <w:color w:val="auto"/>
                      <w:szCs w:val="21"/>
                      <w:lang w:val="en-US"/>
                    </w:rPr>
                  </w:pPr>
                  <w:r>
                    <w:rPr>
                      <w:rFonts w:hint="eastAsia" w:cs="Times New Roman"/>
                      <w:color w:val="auto"/>
                      <w:szCs w:val="21"/>
                      <w:lang w:val="en-US" w:eastAsia="zh-CN"/>
                    </w:rPr>
                    <w:t>45</w:t>
                  </w:r>
                </w:p>
              </w:tc>
              <w:tc>
                <w:tcPr>
                  <w:tcW w:w="2125" w:type="dxa"/>
                  <w:vAlign w:val="center"/>
                </w:tcPr>
                <w:p w14:paraId="5E4E9A0B">
                  <w:pPr>
                    <w:jc w:val="center"/>
                    <w:rPr>
                      <w:color w:val="auto"/>
                      <w:szCs w:val="21"/>
                    </w:rPr>
                  </w:pPr>
                  <w:r>
                    <w:rPr>
                      <w:rFonts w:hint="eastAsia"/>
                      <w:color w:val="auto"/>
                      <w:szCs w:val="21"/>
                    </w:rPr>
                    <w:t>废气</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tc>
              <w:tc>
                <w:tcPr>
                  <w:tcW w:w="1993" w:type="dxa"/>
                </w:tcPr>
                <w:p w14:paraId="59897F33">
                  <w:pPr>
                    <w:jc w:val="center"/>
                    <w:rPr>
                      <w:rFonts w:hint="default" w:eastAsia="宋体"/>
                      <w:color w:val="auto"/>
                      <w:szCs w:val="21"/>
                      <w:lang w:val="en-US" w:eastAsia="zh-CN"/>
                    </w:rPr>
                  </w:pPr>
                  <w:r>
                    <w:rPr>
                      <w:rFonts w:hint="eastAsia"/>
                      <w:color w:val="auto"/>
                      <w:szCs w:val="21"/>
                      <w:lang w:val="en-US" w:eastAsia="zh-CN"/>
                    </w:rPr>
                    <w:t>0.0498</w:t>
                  </w:r>
                </w:p>
              </w:tc>
            </w:tr>
            <w:tr w14:paraId="46CE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2263D8E9">
                  <w:pPr>
                    <w:adjustRightInd w:val="0"/>
                    <w:jc w:val="center"/>
                    <w:rPr>
                      <w:color w:val="auto"/>
                      <w:szCs w:val="21"/>
                    </w:rPr>
                  </w:pPr>
                  <w:r>
                    <w:rPr>
                      <w:rFonts w:hint="eastAsia" w:ascii="Times New Roman" w:hAnsi="Times New Roman" w:eastAsia="宋体" w:cs="Times New Roman"/>
                      <w:color w:val="auto"/>
                      <w:szCs w:val="21"/>
                      <w:lang w:val="en-US" w:eastAsia="zh-CN"/>
                    </w:rPr>
                    <w:t>脂肪醇聚氧乙烯醚</w:t>
                  </w:r>
                </w:p>
              </w:tc>
              <w:tc>
                <w:tcPr>
                  <w:tcW w:w="1860" w:type="dxa"/>
                  <w:vAlign w:val="center"/>
                </w:tcPr>
                <w:p w14:paraId="015350CD">
                  <w:pPr>
                    <w:adjustRightInd w:val="0"/>
                    <w:jc w:val="center"/>
                    <w:rPr>
                      <w:color w:val="auto"/>
                      <w:szCs w:val="21"/>
                    </w:rPr>
                  </w:pPr>
                  <w:r>
                    <w:rPr>
                      <w:rFonts w:hint="eastAsia" w:ascii="Times New Roman" w:hAnsi="Times New Roman" w:eastAsia="宋体" w:cs="Times New Roman"/>
                      <w:color w:val="auto"/>
                      <w:szCs w:val="21"/>
                      <w:lang w:val="en-US" w:eastAsia="zh-CN"/>
                    </w:rPr>
                    <w:t>50</w:t>
                  </w:r>
                </w:p>
              </w:tc>
              <w:tc>
                <w:tcPr>
                  <w:tcW w:w="2125" w:type="dxa"/>
                  <w:vAlign w:val="center"/>
                </w:tcPr>
                <w:p w14:paraId="59210834">
                  <w:pPr>
                    <w:jc w:val="center"/>
                    <w:rPr>
                      <w:color w:val="auto"/>
                      <w:szCs w:val="21"/>
                    </w:rPr>
                  </w:pPr>
                </w:p>
              </w:tc>
              <w:tc>
                <w:tcPr>
                  <w:tcW w:w="1993" w:type="dxa"/>
                </w:tcPr>
                <w:p w14:paraId="56FC03DC">
                  <w:pPr>
                    <w:jc w:val="center"/>
                    <w:rPr>
                      <w:rFonts w:hint="default" w:eastAsia="宋体"/>
                      <w:color w:val="auto"/>
                      <w:szCs w:val="21"/>
                      <w:lang w:val="en-US" w:eastAsia="zh-CN"/>
                    </w:rPr>
                  </w:pPr>
                </w:p>
              </w:tc>
            </w:tr>
            <w:tr w14:paraId="4B9E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0185A12F">
                  <w:pPr>
                    <w:adjustRightInd w:val="0"/>
                    <w:jc w:val="center"/>
                    <w:rPr>
                      <w:color w:val="auto"/>
                      <w:szCs w:val="21"/>
                    </w:rPr>
                  </w:pPr>
                  <w:r>
                    <w:rPr>
                      <w:rFonts w:hint="eastAsia" w:ascii="Times New Roman" w:hAnsi="Times New Roman" w:eastAsia="宋体" w:cs="Times New Roman"/>
                      <w:color w:val="auto"/>
                      <w:szCs w:val="21"/>
                      <w:lang w:val="en-US" w:eastAsia="zh-CN"/>
                    </w:rPr>
                    <w:t>硅酸镁铝</w:t>
                  </w:r>
                </w:p>
              </w:tc>
              <w:tc>
                <w:tcPr>
                  <w:tcW w:w="1860" w:type="dxa"/>
                  <w:vAlign w:val="center"/>
                </w:tcPr>
                <w:p w14:paraId="3A6B2CC2">
                  <w:pPr>
                    <w:adjustRightInd w:val="0"/>
                    <w:jc w:val="center"/>
                    <w:rPr>
                      <w:color w:val="auto"/>
                      <w:szCs w:val="21"/>
                    </w:rPr>
                  </w:pPr>
                  <w:r>
                    <w:rPr>
                      <w:rFonts w:hint="eastAsia" w:ascii="Times New Roman" w:hAnsi="Times New Roman" w:eastAsia="宋体" w:cs="Times New Roman"/>
                      <w:color w:val="auto"/>
                      <w:szCs w:val="21"/>
                      <w:lang w:val="en-US" w:eastAsia="zh-CN"/>
                    </w:rPr>
                    <w:t>5</w:t>
                  </w:r>
                </w:p>
              </w:tc>
              <w:tc>
                <w:tcPr>
                  <w:tcW w:w="2125" w:type="dxa"/>
                  <w:vAlign w:val="center"/>
                </w:tcPr>
                <w:p w14:paraId="23D7AB14">
                  <w:pPr>
                    <w:jc w:val="center"/>
                    <w:rPr>
                      <w:color w:val="auto"/>
                      <w:szCs w:val="21"/>
                    </w:rPr>
                  </w:pPr>
                </w:p>
              </w:tc>
              <w:tc>
                <w:tcPr>
                  <w:tcW w:w="1993" w:type="dxa"/>
                </w:tcPr>
                <w:p w14:paraId="7F873E63">
                  <w:pPr>
                    <w:jc w:val="center"/>
                    <w:rPr>
                      <w:rFonts w:hint="default" w:eastAsia="宋体"/>
                      <w:color w:val="auto"/>
                      <w:szCs w:val="21"/>
                      <w:lang w:val="en-US" w:eastAsia="zh-CN"/>
                    </w:rPr>
                  </w:pPr>
                </w:p>
              </w:tc>
            </w:tr>
            <w:tr w14:paraId="019C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61C90C38">
                  <w:pPr>
                    <w:adjustRightInd w:val="0"/>
                    <w:jc w:val="center"/>
                    <w:rPr>
                      <w:color w:val="auto"/>
                      <w:szCs w:val="21"/>
                    </w:rPr>
                  </w:pPr>
                  <w:r>
                    <w:rPr>
                      <w:rFonts w:hint="eastAsia" w:ascii="Times New Roman" w:hAnsi="Times New Roman" w:eastAsia="宋体" w:cs="Times New Roman"/>
                      <w:color w:val="auto"/>
                      <w:szCs w:val="21"/>
                      <w:lang w:val="en-US" w:eastAsia="zh-CN"/>
                    </w:rPr>
                    <w:t>白炭黑</w:t>
                  </w:r>
                </w:p>
              </w:tc>
              <w:tc>
                <w:tcPr>
                  <w:tcW w:w="1860" w:type="dxa"/>
                  <w:vAlign w:val="center"/>
                </w:tcPr>
                <w:p w14:paraId="71284600">
                  <w:pPr>
                    <w:adjustRightInd w:val="0"/>
                    <w:jc w:val="center"/>
                    <w:rPr>
                      <w:color w:val="auto"/>
                      <w:szCs w:val="21"/>
                    </w:rPr>
                  </w:pPr>
                  <w:r>
                    <w:rPr>
                      <w:rFonts w:hint="eastAsia" w:ascii="Times New Roman" w:hAnsi="Times New Roman" w:eastAsia="宋体" w:cs="Times New Roman"/>
                      <w:color w:val="auto"/>
                      <w:szCs w:val="21"/>
                      <w:lang w:val="en-US" w:eastAsia="zh-CN"/>
                    </w:rPr>
                    <w:t>5</w:t>
                  </w:r>
                </w:p>
              </w:tc>
              <w:tc>
                <w:tcPr>
                  <w:tcW w:w="2125" w:type="dxa"/>
                  <w:vAlign w:val="center"/>
                </w:tcPr>
                <w:p w14:paraId="1C68F1FB">
                  <w:pPr>
                    <w:jc w:val="center"/>
                    <w:rPr>
                      <w:color w:val="auto"/>
                      <w:szCs w:val="21"/>
                    </w:rPr>
                  </w:pPr>
                </w:p>
              </w:tc>
              <w:tc>
                <w:tcPr>
                  <w:tcW w:w="1993" w:type="dxa"/>
                </w:tcPr>
                <w:p w14:paraId="528029A1">
                  <w:pPr>
                    <w:jc w:val="center"/>
                    <w:rPr>
                      <w:color w:val="auto"/>
                      <w:szCs w:val="21"/>
                    </w:rPr>
                  </w:pPr>
                </w:p>
              </w:tc>
            </w:tr>
            <w:tr w14:paraId="5364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6B84563F">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黄原胶</w:t>
                  </w:r>
                </w:p>
              </w:tc>
              <w:tc>
                <w:tcPr>
                  <w:tcW w:w="1860" w:type="dxa"/>
                  <w:vAlign w:val="center"/>
                </w:tcPr>
                <w:p w14:paraId="13D77EDA">
                  <w:pPr>
                    <w:adjustRightInd w:val="0"/>
                    <w:jc w:val="center"/>
                    <w:rPr>
                      <w:snapToGrid w:val="0"/>
                      <w:color w:val="auto"/>
                    </w:rPr>
                  </w:pPr>
                  <w:r>
                    <w:rPr>
                      <w:rFonts w:hint="eastAsia" w:ascii="Times New Roman" w:hAnsi="Times New Roman" w:eastAsia="宋体" w:cs="Times New Roman"/>
                      <w:color w:val="auto"/>
                      <w:szCs w:val="21"/>
                      <w:lang w:val="en-US" w:eastAsia="zh-CN"/>
                    </w:rPr>
                    <w:t>1</w:t>
                  </w:r>
                </w:p>
              </w:tc>
              <w:tc>
                <w:tcPr>
                  <w:tcW w:w="2125" w:type="dxa"/>
                  <w:vAlign w:val="center"/>
                </w:tcPr>
                <w:p w14:paraId="5F76FE0B">
                  <w:pPr>
                    <w:jc w:val="center"/>
                    <w:rPr>
                      <w:color w:val="auto"/>
                      <w:szCs w:val="21"/>
                    </w:rPr>
                  </w:pPr>
                </w:p>
              </w:tc>
              <w:tc>
                <w:tcPr>
                  <w:tcW w:w="1993" w:type="dxa"/>
                </w:tcPr>
                <w:p w14:paraId="6C9158FF">
                  <w:pPr>
                    <w:jc w:val="center"/>
                    <w:rPr>
                      <w:color w:val="auto"/>
                      <w:szCs w:val="21"/>
                    </w:rPr>
                  </w:pPr>
                </w:p>
              </w:tc>
            </w:tr>
            <w:tr w14:paraId="652D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69C88FF6">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尿素</w:t>
                  </w:r>
                </w:p>
              </w:tc>
              <w:tc>
                <w:tcPr>
                  <w:tcW w:w="1860" w:type="dxa"/>
                  <w:vAlign w:val="center"/>
                </w:tcPr>
                <w:p w14:paraId="70E7FED6">
                  <w:pPr>
                    <w:adjustRightInd w:val="0"/>
                    <w:jc w:val="center"/>
                    <w:rPr>
                      <w:snapToGrid w:val="0"/>
                      <w:color w:val="auto"/>
                    </w:rPr>
                  </w:pPr>
                  <w:r>
                    <w:rPr>
                      <w:rFonts w:hint="eastAsia" w:ascii="Times New Roman" w:hAnsi="Times New Roman" w:eastAsia="宋体" w:cs="Times New Roman"/>
                      <w:color w:val="auto"/>
                      <w:szCs w:val="21"/>
                      <w:lang w:val="en-US" w:eastAsia="zh-CN"/>
                    </w:rPr>
                    <w:t>30</w:t>
                  </w:r>
                </w:p>
              </w:tc>
              <w:tc>
                <w:tcPr>
                  <w:tcW w:w="2125" w:type="dxa"/>
                  <w:vAlign w:val="center"/>
                </w:tcPr>
                <w:p w14:paraId="24635880">
                  <w:pPr>
                    <w:jc w:val="center"/>
                    <w:rPr>
                      <w:color w:val="auto"/>
                      <w:szCs w:val="21"/>
                    </w:rPr>
                  </w:pPr>
                </w:p>
              </w:tc>
              <w:tc>
                <w:tcPr>
                  <w:tcW w:w="1993" w:type="dxa"/>
                </w:tcPr>
                <w:p w14:paraId="687D5A72">
                  <w:pPr>
                    <w:jc w:val="center"/>
                    <w:rPr>
                      <w:color w:val="auto"/>
                      <w:szCs w:val="21"/>
                    </w:rPr>
                  </w:pPr>
                </w:p>
              </w:tc>
            </w:tr>
            <w:tr w14:paraId="7E7F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363E612B">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纯水</w:t>
                  </w:r>
                </w:p>
              </w:tc>
              <w:tc>
                <w:tcPr>
                  <w:tcW w:w="1860" w:type="dxa"/>
                  <w:vAlign w:val="center"/>
                </w:tcPr>
                <w:p w14:paraId="58E80CDD">
                  <w:pPr>
                    <w:adjustRightInd w:val="0"/>
                    <w:jc w:val="center"/>
                    <w:rPr>
                      <w:snapToGrid w:val="0"/>
                      <w:color w:val="auto"/>
                    </w:rPr>
                  </w:pPr>
                  <w:r>
                    <w:rPr>
                      <w:rFonts w:hint="eastAsia" w:ascii="Times New Roman" w:hAnsi="Times New Roman" w:eastAsia="宋体" w:cs="Times New Roman"/>
                      <w:color w:val="auto"/>
                      <w:szCs w:val="21"/>
                      <w:lang w:val="en-US" w:eastAsia="zh-CN"/>
                    </w:rPr>
                    <w:t>239</w:t>
                  </w:r>
                </w:p>
              </w:tc>
              <w:tc>
                <w:tcPr>
                  <w:tcW w:w="2125" w:type="dxa"/>
                  <w:vAlign w:val="center"/>
                </w:tcPr>
                <w:p w14:paraId="24AF6C9C">
                  <w:pPr>
                    <w:jc w:val="center"/>
                    <w:rPr>
                      <w:color w:val="auto"/>
                      <w:szCs w:val="21"/>
                    </w:rPr>
                  </w:pPr>
                </w:p>
              </w:tc>
              <w:tc>
                <w:tcPr>
                  <w:tcW w:w="1993" w:type="dxa"/>
                </w:tcPr>
                <w:p w14:paraId="45E7109C">
                  <w:pPr>
                    <w:jc w:val="center"/>
                    <w:rPr>
                      <w:color w:val="auto"/>
                      <w:szCs w:val="21"/>
                    </w:rPr>
                  </w:pPr>
                </w:p>
              </w:tc>
            </w:tr>
            <w:tr w14:paraId="1F5C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06572C79">
                  <w:pPr>
                    <w:jc w:val="center"/>
                    <w:rPr>
                      <w:color w:val="auto"/>
                      <w:szCs w:val="21"/>
                    </w:rPr>
                  </w:pPr>
                  <w:r>
                    <w:rPr>
                      <w:rFonts w:hint="eastAsia"/>
                      <w:color w:val="auto"/>
                      <w:szCs w:val="21"/>
                    </w:rPr>
                    <w:t>合计</w:t>
                  </w:r>
                </w:p>
              </w:tc>
              <w:tc>
                <w:tcPr>
                  <w:tcW w:w="1860" w:type="dxa"/>
                </w:tcPr>
                <w:p w14:paraId="3AC2E176">
                  <w:pPr>
                    <w:jc w:val="center"/>
                    <w:rPr>
                      <w:rFonts w:hint="default" w:eastAsia="宋体"/>
                      <w:color w:val="auto"/>
                      <w:szCs w:val="21"/>
                      <w:lang w:val="en-US" w:eastAsia="zh-CN"/>
                    </w:rPr>
                  </w:pPr>
                  <w:r>
                    <w:rPr>
                      <w:rFonts w:hint="eastAsia"/>
                      <w:color w:val="auto"/>
                      <w:szCs w:val="21"/>
                      <w:lang w:val="en-US" w:eastAsia="zh-CN"/>
                    </w:rPr>
                    <w:t>500</w:t>
                  </w:r>
                </w:p>
              </w:tc>
              <w:tc>
                <w:tcPr>
                  <w:tcW w:w="2125" w:type="dxa"/>
                  <w:vAlign w:val="center"/>
                </w:tcPr>
                <w:p w14:paraId="0498335C">
                  <w:pPr>
                    <w:jc w:val="center"/>
                    <w:rPr>
                      <w:color w:val="auto"/>
                      <w:szCs w:val="21"/>
                    </w:rPr>
                  </w:pPr>
                  <w:r>
                    <w:rPr>
                      <w:rFonts w:hint="eastAsia"/>
                      <w:color w:val="auto"/>
                      <w:szCs w:val="21"/>
                    </w:rPr>
                    <w:t>合计</w:t>
                  </w:r>
                </w:p>
              </w:tc>
              <w:tc>
                <w:tcPr>
                  <w:tcW w:w="1993" w:type="dxa"/>
                </w:tcPr>
                <w:p w14:paraId="180414CD">
                  <w:pPr>
                    <w:jc w:val="center"/>
                    <w:rPr>
                      <w:rFonts w:hint="default" w:eastAsia="宋体"/>
                      <w:color w:val="auto"/>
                      <w:szCs w:val="21"/>
                      <w:lang w:val="en-US" w:eastAsia="zh-CN"/>
                    </w:rPr>
                  </w:pPr>
                  <w:r>
                    <w:rPr>
                      <w:rFonts w:hint="eastAsia"/>
                      <w:color w:val="auto"/>
                      <w:szCs w:val="21"/>
                      <w:lang w:val="en-US" w:eastAsia="zh-CN"/>
                    </w:rPr>
                    <w:t>500</w:t>
                  </w:r>
                </w:p>
              </w:tc>
            </w:tr>
          </w:tbl>
          <w:p w14:paraId="3BFCB27A">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表2-12 甲维盐氯虫苯甲酰胺悬浮剂物料平衡表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1133"/>
              <w:gridCol w:w="1992"/>
              <w:gridCol w:w="1993"/>
            </w:tblGrid>
            <w:tr w14:paraId="6DEB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84" w:type="dxa"/>
                  <w:gridSpan w:val="2"/>
                  <w:vAlign w:val="center"/>
                </w:tcPr>
                <w:p w14:paraId="6B76A8FF">
                  <w:pPr>
                    <w:jc w:val="center"/>
                    <w:rPr>
                      <w:color w:val="auto"/>
                      <w:szCs w:val="21"/>
                    </w:rPr>
                  </w:pPr>
                  <w:r>
                    <w:rPr>
                      <w:rFonts w:hint="eastAsia"/>
                      <w:color w:val="auto"/>
                      <w:szCs w:val="21"/>
                    </w:rPr>
                    <w:t>输入</w:t>
                  </w:r>
                </w:p>
              </w:tc>
              <w:tc>
                <w:tcPr>
                  <w:tcW w:w="3985" w:type="dxa"/>
                  <w:gridSpan w:val="2"/>
                  <w:vAlign w:val="center"/>
                </w:tcPr>
                <w:p w14:paraId="5D5135D1">
                  <w:pPr>
                    <w:jc w:val="center"/>
                    <w:rPr>
                      <w:color w:val="auto"/>
                      <w:szCs w:val="21"/>
                    </w:rPr>
                  </w:pPr>
                  <w:r>
                    <w:rPr>
                      <w:rFonts w:hint="eastAsia"/>
                      <w:color w:val="auto"/>
                      <w:szCs w:val="21"/>
                    </w:rPr>
                    <w:t>输出</w:t>
                  </w:r>
                </w:p>
              </w:tc>
            </w:tr>
            <w:tr w14:paraId="4C5B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48CD1D4F">
                  <w:pPr>
                    <w:jc w:val="center"/>
                    <w:rPr>
                      <w:color w:val="auto"/>
                      <w:szCs w:val="21"/>
                    </w:rPr>
                  </w:pPr>
                  <w:r>
                    <w:rPr>
                      <w:rFonts w:hint="eastAsia"/>
                      <w:color w:val="auto"/>
                      <w:szCs w:val="21"/>
                    </w:rPr>
                    <w:t>项目</w:t>
                  </w:r>
                </w:p>
              </w:tc>
              <w:tc>
                <w:tcPr>
                  <w:tcW w:w="1133" w:type="dxa"/>
                  <w:vAlign w:val="center"/>
                </w:tcPr>
                <w:p w14:paraId="30B71249">
                  <w:pPr>
                    <w:jc w:val="center"/>
                    <w:rPr>
                      <w:color w:val="auto"/>
                      <w:szCs w:val="21"/>
                    </w:rPr>
                  </w:pPr>
                  <w:r>
                    <w:rPr>
                      <w:rFonts w:hint="eastAsia"/>
                      <w:color w:val="auto"/>
                      <w:szCs w:val="21"/>
                    </w:rPr>
                    <w:t>输入量</w:t>
                  </w:r>
                </w:p>
              </w:tc>
              <w:tc>
                <w:tcPr>
                  <w:tcW w:w="1992" w:type="dxa"/>
                  <w:vAlign w:val="center"/>
                </w:tcPr>
                <w:p w14:paraId="49056A54">
                  <w:pPr>
                    <w:jc w:val="center"/>
                    <w:rPr>
                      <w:color w:val="auto"/>
                      <w:szCs w:val="21"/>
                    </w:rPr>
                  </w:pPr>
                  <w:r>
                    <w:rPr>
                      <w:rFonts w:hint="eastAsia"/>
                      <w:color w:val="auto"/>
                      <w:szCs w:val="21"/>
                    </w:rPr>
                    <w:t>项目</w:t>
                  </w:r>
                </w:p>
              </w:tc>
              <w:tc>
                <w:tcPr>
                  <w:tcW w:w="1993" w:type="dxa"/>
                  <w:vAlign w:val="center"/>
                </w:tcPr>
                <w:p w14:paraId="517A3D49">
                  <w:pPr>
                    <w:jc w:val="center"/>
                    <w:rPr>
                      <w:color w:val="auto"/>
                      <w:szCs w:val="21"/>
                    </w:rPr>
                  </w:pPr>
                  <w:r>
                    <w:rPr>
                      <w:rFonts w:hint="eastAsia"/>
                      <w:color w:val="auto"/>
                      <w:szCs w:val="21"/>
                    </w:rPr>
                    <w:t>输出量</w:t>
                  </w:r>
                </w:p>
              </w:tc>
            </w:tr>
            <w:tr w14:paraId="1DB9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4E6F4389">
                  <w:pPr>
                    <w:adjustRightInd w:val="0"/>
                    <w:jc w:val="center"/>
                    <w:rPr>
                      <w:color w:val="auto"/>
                      <w:szCs w:val="21"/>
                    </w:rPr>
                  </w:pPr>
                  <w:r>
                    <w:rPr>
                      <w:rFonts w:hint="eastAsia" w:ascii="Times New Roman" w:hAnsi="Times New Roman" w:eastAsia="宋体" w:cs="Times New Roman"/>
                      <w:color w:val="auto"/>
                      <w:szCs w:val="21"/>
                      <w:lang w:val="en-US" w:eastAsia="zh-CN"/>
                    </w:rPr>
                    <w:t>甲氨基阿维菌素苯甲酸盐</w:t>
                  </w:r>
                </w:p>
              </w:tc>
              <w:tc>
                <w:tcPr>
                  <w:tcW w:w="1133" w:type="dxa"/>
                  <w:vAlign w:val="center"/>
                </w:tcPr>
                <w:p w14:paraId="49A5454A">
                  <w:pPr>
                    <w:adjustRightInd w:val="0"/>
                    <w:jc w:val="center"/>
                    <w:rPr>
                      <w:color w:val="auto"/>
                      <w:szCs w:val="21"/>
                    </w:rPr>
                  </w:pPr>
                  <w:r>
                    <w:rPr>
                      <w:rFonts w:hint="eastAsia" w:ascii="Times New Roman" w:hAnsi="Times New Roman" w:eastAsia="宋体" w:cs="Times New Roman"/>
                      <w:color w:val="auto"/>
                      <w:szCs w:val="21"/>
                      <w:lang w:val="en-US" w:eastAsia="zh-CN"/>
                    </w:rPr>
                    <w:t>16</w:t>
                  </w:r>
                </w:p>
              </w:tc>
              <w:tc>
                <w:tcPr>
                  <w:tcW w:w="1992" w:type="dxa"/>
                  <w:vAlign w:val="center"/>
                </w:tcPr>
                <w:p w14:paraId="142FA856">
                  <w:pPr>
                    <w:jc w:val="center"/>
                    <w:rPr>
                      <w:color w:val="auto"/>
                      <w:szCs w:val="21"/>
                    </w:rPr>
                  </w:pPr>
                  <w:r>
                    <w:rPr>
                      <w:rFonts w:hint="eastAsia"/>
                      <w:color w:val="auto"/>
                      <w:szCs w:val="21"/>
                      <w:lang w:val="en-US" w:eastAsia="zh-CN"/>
                    </w:rPr>
                    <w:t>产品</w:t>
                  </w:r>
                </w:p>
              </w:tc>
              <w:tc>
                <w:tcPr>
                  <w:tcW w:w="1993" w:type="dxa"/>
                  <w:vAlign w:val="center"/>
                </w:tcPr>
                <w:p w14:paraId="2D0AC80E">
                  <w:pPr>
                    <w:jc w:val="center"/>
                    <w:rPr>
                      <w:rFonts w:hint="default"/>
                      <w:color w:val="auto"/>
                      <w:szCs w:val="21"/>
                      <w:lang w:val="en-US"/>
                    </w:rPr>
                  </w:pPr>
                  <w:r>
                    <w:rPr>
                      <w:rFonts w:hint="eastAsia"/>
                      <w:color w:val="auto"/>
                      <w:szCs w:val="21"/>
                      <w:lang w:val="en-US" w:eastAsia="zh-CN"/>
                    </w:rPr>
                    <w:t>799.9523</w:t>
                  </w:r>
                </w:p>
              </w:tc>
            </w:tr>
            <w:tr w14:paraId="02D7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3B221E30">
                  <w:pPr>
                    <w:adjustRightInd w:val="0"/>
                    <w:jc w:val="center"/>
                    <w:rPr>
                      <w:color w:val="auto"/>
                      <w:szCs w:val="21"/>
                    </w:rPr>
                  </w:pPr>
                  <w:r>
                    <w:rPr>
                      <w:rFonts w:hint="eastAsia" w:ascii="Times New Roman" w:hAnsi="Times New Roman" w:eastAsia="宋体" w:cs="Times New Roman"/>
                      <w:color w:val="auto"/>
                      <w:szCs w:val="21"/>
                      <w:lang w:val="en-US" w:eastAsia="zh-CN"/>
                    </w:rPr>
                    <w:t>氯虫苯甲酰胺</w:t>
                  </w:r>
                </w:p>
              </w:tc>
              <w:tc>
                <w:tcPr>
                  <w:tcW w:w="1133" w:type="dxa"/>
                  <w:vAlign w:val="center"/>
                </w:tcPr>
                <w:p w14:paraId="4289F23F">
                  <w:pPr>
                    <w:adjustRightInd w:val="0"/>
                    <w:jc w:val="center"/>
                    <w:rPr>
                      <w:color w:val="auto"/>
                      <w:szCs w:val="21"/>
                    </w:rPr>
                  </w:pPr>
                  <w:r>
                    <w:rPr>
                      <w:rFonts w:hint="eastAsia" w:ascii="Times New Roman" w:hAnsi="Times New Roman" w:eastAsia="宋体" w:cs="Times New Roman"/>
                      <w:color w:val="auto"/>
                      <w:szCs w:val="21"/>
                      <w:lang w:val="en-US" w:eastAsia="zh-CN"/>
                    </w:rPr>
                    <w:t>76.8</w:t>
                  </w:r>
                </w:p>
              </w:tc>
              <w:tc>
                <w:tcPr>
                  <w:tcW w:w="1992" w:type="dxa"/>
                  <w:vAlign w:val="center"/>
                </w:tcPr>
                <w:p w14:paraId="457A9532">
                  <w:pPr>
                    <w:jc w:val="center"/>
                    <w:rPr>
                      <w:rFonts w:hint="eastAsia" w:eastAsia="宋体"/>
                      <w:color w:val="auto"/>
                      <w:szCs w:val="21"/>
                      <w:lang w:eastAsia="zh-CN"/>
                    </w:rPr>
                  </w:pPr>
                  <w:r>
                    <w:rPr>
                      <w:rFonts w:hint="eastAsia"/>
                      <w:color w:val="auto"/>
                      <w:szCs w:val="21"/>
                    </w:rPr>
                    <w:t>废气</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tc>
              <w:tc>
                <w:tcPr>
                  <w:tcW w:w="1993" w:type="dxa"/>
                  <w:vAlign w:val="center"/>
                </w:tcPr>
                <w:p w14:paraId="4DBCFBC0">
                  <w:pPr>
                    <w:jc w:val="center"/>
                    <w:rPr>
                      <w:rFonts w:hint="default"/>
                      <w:color w:val="auto"/>
                      <w:szCs w:val="21"/>
                      <w:lang w:val="en-US"/>
                    </w:rPr>
                  </w:pPr>
                  <w:r>
                    <w:rPr>
                      <w:rFonts w:hint="eastAsia"/>
                      <w:color w:val="auto"/>
                      <w:szCs w:val="21"/>
                      <w:lang w:val="en-US" w:eastAsia="zh-CN"/>
                    </w:rPr>
                    <w:t>0.0477</w:t>
                  </w:r>
                </w:p>
              </w:tc>
            </w:tr>
            <w:tr w14:paraId="4F1D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24755003">
                  <w:pPr>
                    <w:adjustRightInd w:val="0"/>
                    <w:jc w:val="center"/>
                    <w:rPr>
                      <w:color w:val="auto"/>
                      <w:szCs w:val="21"/>
                    </w:rPr>
                  </w:pPr>
                  <w:r>
                    <w:rPr>
                      <w:rFonts w:hint="eastAsia" w:ascii="Times New Roman" w:hAnsi="Times New Roman" w:eastAsia="宋体" w:cs="Times New Roman"/>
                      <w:color w:val="auto"/>
                      <w:szCs w:val="21"/>
                      <w:lang w:val="en-US" w:eastAsia="zh-CN"/>
                    </w:rPr>
                    <w:t>聚羟酸钠盐</w:t>
                  </w:r>
                </w:p>
              </w:tc>
              <w:tc>
                <w:tcPr>
                  <w:tcW w:w="1133" w:type="dxa"/>
                  <w:vAlign w:val="center"/>
                </w:tcPr>
                <w:p w14:paraId="5F215DA3">
                  <w:pPr>
                    <w:adjustRightInd w:val="0"/>
                    <w:jc w:val="center"/>
                    <w:rPr>
                      <w:color w:val="auto"/>
                      <w:szCs w:val="21"/>
                    </w:rPr>
                  </w:pPr>
                  <w:r>
                    <w:rPr>
                      <w:rFonts w:hint="eastAsia" w:ascii="Times New Roman" w:hAnsi="Times New Roman" w:eastAsia="宋体" w:cs="Times New Roman"/>
                      <w:color w:val="auto"/>
                      <w:szCs w:val="21"/>
                      <w:lang w:val="en-US" w:eastAsia="zh-CN"/>
                    </w:rPr>
                    <w:t>80</w:t>
                  </w:r>
                </w:p>
              </w:tc>
              <w:tc>
                <w:tcPr>
                  <w:tcW w:w="1992" w:type="dxa"/>
                  <w:vAlign w:val="center"/>
                </w:tcPr>
                <w:p w14:paraId="31ADD9F9">
                  <w:pPr>
                    <w:jc w:val="center"/>
                    <w:rPr>
                      <w:color w:val="auto"/>
                      <w:szCs w:val="21"/>
                    </w:rPr>
                  </w:pPr>
                </w:p>
              </w:tc>
              <w:tc>
                <w:tcPr>
                  <w:tcW w:w="1993" w:type="dxa"/>
                  <w:vAlign w:val="center"/>
                </w:tcPr>
                <w:p w14:paraId="194D372C">
                  <w:pPr>
                    <w:jc w:val="center"/>
                    <w:rPr>
                      <w:color w:val="auto"/>
                      <w:szCs w:val="21"/>
                    </w:rPr>
                  </w:pPr>
                </w:p>
              </w:tc>
            </w:tr>
            <w:tr w14:paraId="4355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2A256276">
                  <w:pPr>
                    <w:adjustRightInd w:val="0"/>
                    <w:jc w:val="center"/>
                    <w:rPr>
                      <w:color w:val="auto"/>
                      <w:szCs w:val="21"/>
                    </w:rPr>
                  </w:pPr>
                  <w:r>
                    <w:rPr>
                      <w:rFonts w:hint="eastAsia" w:ascii="Times New Roman" w:hAnsi="Times New Roman" w:eastAsia="宋体" w:cs="Times New Roman"/>
                      <w:color w:val="auto"/>
                      <w:szCs w:val="21"/>
                      <w:lang w:val="en-US" w:eastAsia="zh-CN"/>
                    </w:rPr>
                    <w:t>脂肪醇聚氧乙烯醚</w:t>
                  </w:r>
                </w:p>
              </w:tc>
              <w:tc>
                <w:tcPr>
                  <w:tcW w:w="1133" w:type="dxa"/>
                  <w:vAlign w:val="center"/>
                </w:tcPr>
                <w:p w14:paraId="1D6A2C1E">
                  <w:pPr>
                    <w:adjustRightInd w:val="0"/>
                    <w:jc w:val="center"/>
                    <w:rPr>
                      <w:color w:val="auto"/>
                      <w:szCs w:val="21"/>
                    </w:rPr>
                  </w:pPr>
                  <w:r>
                    <w:rPr>
                      <w:rFonts w:hint="eastAsia" w:ascii="Times New Roman" w:hAnsi="Times New Roman" w:eastAsia="宋体" w:cs="Times New Roman"/>
                      <w:color w:val="auto"/>
                      <w:szCs w:val="21"/>
                      <w:lang w:val="en-US" w:eastAsia="zh-CN"/>
                    </w:rPr>
                    <w:t>80</w:t>
                  </w:r>
                </w:p>
              </w:tc>
              <w:tc>
                <w:tcPr>
                  <w:tcW w:w="1992" w:type="dxa"/>
                  <w:vAlign w:val="center"/>
                </w:tcPr>
                <w:p w14:paraId="733888CC">
                  <w:pPr>
                    <w:jc w:val="center"/>
                    <w:rPr>
                      <w:color w:val="auto"/>
                      <w:szCs w:val="21"/>
                    </w:rPr>
                  </w:pPr>
                </w:p>
              </w:tc>
              <w:tc>
                <w:tcPr>
                  <w:tcW w:w="1993" w:type="dxa"/>
                  <w:vAlign w:val="center"/>
                </w:tcPr>
                <w:p w14:paraId="050EA031">
                  <w:pPr>
                    <w:jc w:val="center"/>
                    <w:rPr>
                      <w:color w:val="auto"/>
                      <w:szCs w:val="21"/>
                    </w:rPr>
                  </w:pPr>
                </w:p>
              </w:tc>
            </w:tr>
            <w:tr w14:paraId="0852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72187468">
                  <w:pPr>
                    <w:adjustRightInd w:val="0"/>
                    <w:jc w:val="center"/>
                    <w:rPr>
                      <w:color w:val="auto"/>
                      <w:szCs w:val="21"/>
                    </w:rPr>
                  </w:pPr>
                  <w:r>
                    <w:rPr>
                      <w:rFonts w:hint="eastAsia" w:ascii="Times New Roman" w:hAnsi="Times New Roman" w:eastAsia="宋体" w:cs="Times New Roman"/>
                      <w:color w:val="auto"/>
                      <w:szCs w:val="21"/>
                      <w:lang w:val="en-US" w:eastAsia="zh-CN"/>
                    </w:rPr>
                    <w:t>硅酸镁铝</w:t>
                  </w:r>
                </w:p>
              </w:tc>
              <w:tc>
                <w:tcPr>
                  <w:tcW w:w="1133" w:type="dxa"/>
                  <w:vAlign w:val="center"/>
                </w:tcPr>
                <w:p w14:paraId="2BD22314">
                  <w:pPr>
                    <w:adjustRightInd w:val="0"/>
                    <w:jc w:val="center"/>
                    <w:rPr>
                      <w:color w:val="auto"/>
                      <w:szCs w:val="21"/>
                    </w:rPr>
                  </w:pPr>
                  <w:r>
                    <w:rPr>
                      <w:rFonts w:hint="eastAsia" w:ascii="Times New Roman" w:hAnsi="Times New Roman" w:eastAsia="宋体" w:cs="Times New Roman"/>
                      <w:color w:val="auto"/>
                      <w:szCs w:val="21"/>
                      <w:lang w:val="en-US" w:eastAsia="zh-CN"/>
                    </w:rPr>
                    <w:t>8</w:t>
                  </w:r>
                </w:p>
              </w:tc>
              <w:tc>
                <w:tcPr>
                  <w:tcW w:w="1992" w:type="dxa"/>
                  <w:vAlign w:val="center"/>
                </w:tcPr>
                <w:p w14:paraId="6F58297C">
                  <w:pPr>
                    <w:jc w:val="center"/>
                    <w:rPr>
                      <w:color w:val="auto"/>
                      <w:szCs w:val="21"/>
                    </w:rPr>
                  </w:pPr>
                </w:p>
              </w:tc>
              <w:tc>
                <w:tcPr>
                  <w:tcW w:w="1993" w:type="dxa"/>
                  <w:vAlign w:val="center"/>
                </w:tcPr>
                <w:p w14:paraId="1AB33A12">
                  <w:pPr>
                    <w:jc w:val="center"/>
                    <w:rPr>
                      <w:color w:val="auto"/>
                      <w:szCs w:val="21"/>
                    </w:rPr>
                  </w:pPr>
                </w:p>
              </w:tc>
            </w:tr>
            <w:tr w14:paraId="4F3D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45731813">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白炭黑</w:t>
                  </w:r>
                </w:p>
              </w:tc>
              <w:tc>
                <w:tcPr>
                  <w:tcW w:w="1133" w:type="dxa"/>
                  <w:vAlign w:val="center"/>
                </w:tcPr>
                <w:p w14:paraId="5923A9FF">
                  <w:pPr>
                    <w:adjustRightInd w:val="0"/>
                    <w:jc w:val="center"/>
                    <w:rPr>
                      <w:snapToGrid w:val="0"/>
                      <w:color w:val="auto"/>
                    </w:rPr>
                  </w:pPr>
                  <w:r>
                    <w:rPr>
                      <w:rFonts w:hint="eastAsia" w:cs="Times New Roman"/>
                      <w:color w:val="auto"/>
                      <w:szCs w:val="21"/>
                      <w:lang w:val="en-US" w:eastAsia="zh-CN"/>
                    </w:rPr>
                    <w:t>8</w:t>
                  </w:r>
                </w:p>
              </w:tc>
              <w:tc>
                <w:tcPr>
                  <w:tcW w:w="1992" w:type="dxa"/>
                  <w:vAlign w:val="center"/>
                </w:tcPr>
                <w:p w14:paraId="5F6F8013">
                  <w:pPr>
                    <w:jc w:val="center"/>
                    <w:rPr>
                      <w:color w:val="auto"/>
                      <w:szCs w:val="21"/>
                    </w:rPr>
                  </w:pPr>
                </w:p>
              </w:tc>
              <w:tc>
                <w:tcPr>
                  <w:tcW w:w="1993" w:type="dxa"/>
                  <w:vAlign w:val="center"/>
                </w:tcPr>
                <w:p w14:paraId="17495F40">
                  <w:pPr>
                    <w:jc w:val="center"/>
                    <w:rPr>
                      <w:color w:val="auto"/>
                      <w:szCs w:val="21"/>
                    </w:rPr>
                  </w:pPr>
                </w:p>
              </w:tc>
            </w:tr>
            <w:tr w14:paraId="4B55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3BB60881">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黄原胶</w:t>
                  </w:r>
                </w:p>
              </w:tc>
              <w:tc>
                <w:tcPr>
                  <w:tcW w:w="1133" w:type="dxa"/>
                  <w:vAlign w:val="center"/>
                </w:tcPr>
                <w:p w14:paraId="7576DD06">
                  <w:pPr>
                    <w:adjustRightInd w:val="0"/>
                    <w:jc w:val="center"/>
                    <w:rPr>
                      <w:snapToGrid w:val="0"/>
                      <w:color w:val="auto"/>
                    </w:rPr>
                  </w:pPr>
                  <w:r>
                    <w:rPr>
                      <w:rFonts w:hint="eastAsia" w:ascii="Times New Roman" w:hAnsi="Times New Roman" w:eastAsia="宋体" w:cs="Times New Roman"/>
                      <w:color w:val="auto"/>
                      <w:szCs w:val="21"/>
                      <w:lang w:val="en-US" w:eastAsia="zh-CN"/>
                    </w:rPr>
                    <w:t>1.6</w:t>
                  </w:r>
                </w:p>
              </w:tc>
              <w:tc>
                <w:tcPr>
                  <w:tcW w:w="1992" w:type="dxa"/>
                  <w:vAlign w:val="center"/>
                </w:tcPr>
                <w:p w14:paraId="3F3E7C6E">
                  <w:pPr>
                    <w:jc w:val="center"/>
                    <w:rPr>
                      <w:color w:val="auto"/>
                      <w:szCs w:val="21"/>
                    </w:rPr>
                  </w:pPr>
                </w:p>
              </w:tc>
              <w:tc>
                <w:tcPr>
                  <w:tcW w:w="1993" w:type="dxa"/>
                  <w:vAlign w:val="center"/>
                </w:tcPr>
                <w:p w14:paraId="1FDB1C76">
                  <w:pPr>
                    <w:jc w:val="center"/>
                    <w:rPr>
                      <w:color w:val="auto"/>
                      <w:szCs w:val="21"/>
                    </w:rPr>
                  </w:pPr>
                </w:p>
              </w:tc>
            </w:tr>
            <w:tr w14:paraId="40EF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425F7F57">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尿素</w:t>
                  </w:r>
                </w:p>
              </w:tc>
              <w:tc>
                <w:tcPr>
                  <w:tcW w:w="1133" w:type="dxa"/>
                  <w:vAlign w:val="center"/>
                </w:tcPr>
                <w:p w14:paraId="242E8E44">
                  <w:pPr>
                    <w:adjustRightInd w:val="0"/>
                    <w:jc w:val="center"/>
                    <w:rPr>
                      <w:snapToGrid w:val="0"/>
                      <w:color w:val="auto"/>
                    </w:rPr>
                  </w:pPr>
                  <w:r>
                    <w:rPr>
                      <w:rFonts w:hint="eastAsia" w:ascii="Times New Roman" w:hAnsi="Times New Roman" w:eastAsia="宋体" w:cs="Times New Roman"/>
                      <w:color w:val="auto"/>
                      <w:szCs w:val="21"/>
                      <w:lang w:val="en-US" w:eastAsia="zh-CN"/>
                    </w:rPr>
                    <w:t>48</w:t>
                  </w:r>
                  <w:r>
                    <w:rPr>
                      <w:rFonts w:hint="eastAsia" w:cs="Times New Roman"/>
                      <w:color w:val="auto"/>
                      <w:szCs w:val="21"/>
                      <w:lang w:val="en-US" w:eastAsia="zh-CN"/>
                    </w:rPr>
                    <w:t>.6</w:t>
                  </w:r>
                </w:p>
              </w:tc>
              <w:tc>
                <w:tcPr>
                  <w:tcW w:w="1992" w:type="dxa"/>
                  <w:vAlign w:val="center"/>
                </w:tcPr>
                <w:p w14:paraId="57282491">
                  <w:pPr>
                    <w:jc w:val="center"/>
                    <w:rPr>
                      <w:color w:val="auto"/>
                      <w:szCs w:val="21"/>
                    </w:rPr>
                  </w:pPr>
                </w:p>
              </w:tc>
              <w:tc>
                <w:tcPr>
                  <w:tcW w:w="1993" w:type="dxa"/>
                  <w:vAlign w:val="center"/>
                </w:tcPr>
                <w:p w14:paraId="2EA9D2E4">
                  <w:pPr>
                    <w:jc w:val="center"/>
                    <w:rPr>
                      <w:color w:val="auto"/>
                      <w:szCs w:val="21"/>
                    </w:rPr>
                  </w:pPr>
                </w:p>
              </w:tc>
            </w:tr>
            <w:tr w14:paraId="528E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26C84192">
                  <w:pPr>
                    <w:adjustRightInd w:val="0"/>
                    <w:jc w:val="center"/>
                    <w:rPr>
                      <w:rFonts w:hint="eastAsia"/>
                      <w:color w:val="auto"/>
                      <w:szCs w:val="21"/>
                    </w:rPr>
                  </w:pPr>
                  <w:r>
                    <w:rPr>
                      <w:rFonts w:hint="eastAsia" w:ascii="Times New Roman" w:hAnsi="Times New Roman" w:eastAsia="宋体" w:cs="Times New Roman"/>
                      <w:color w:val="auto"/>
                      <w:szCs w:val="21"/>
                      <w:lang w:val="en-US" w:eastAsia="zh-CN"/>
                    </w:rPr>
                    <w:t>纯水</w:t>
                  </w:r>
                </w:p>
              </w:tc>
              <w:tc>
                <w:tcPr>
                  <w:tcW w:w="1133" w:type="dxa"/>
                  <w:vAlign w:val="center"/>
                </w:tcPr>
                <w:p w14:paraId="1882E8B9">
                  <w:pPr>
                    <w:adjustRightInd w:val="0"/>
                    <w:jc w:val="center"/>
                    <w:rPr>
                      <w:snapToGrid w:val="0"/>
                      <w:color w:val="auto"/>
                    </w:rPr>
                  </w:pPr>
                  <w:r>
                    <w:rPr>
                      <w:rFonts w:hint="eastAsia" w:ascii="Times New Roman" w:hAnsi="Times New Roman" w:eastAsia="宋体" w:cs="Times New Roman"/>
                      <w:color w:val="auto"/>
                      <w:szCs w:val="21"/>
                      <w:lang w:val="en-US" w:eastAsia="zh-CN"/>
                    </w:rPr>
                    <w:t>481</w:t>
                  </w:r>
                </w:p>
              </w:tc>
              <w:tc>
                <w:tcPr>
                  <w:tcW w:w="1992" w:type="dxa"/>
                  <w:vAlign w:val="center"/>
                </w:tcPr>
                <w:p w14:paraId="1409AC5E">
                  <w:pPr>
                    <w:jc w:val="center"/>
                    <w:rPr>
                      <w:color w:val="auto"/>
                      <w:szCs w:val="21"/>
                    </w:rPr>
                  </w:pPr>
                </w:p>
              </w:tc>
              <w:tc>
                <w:tcPr>
                  <w:tcW w:w="1993" w:type="dxa"/>
                  <w:vAlign w:val="center"/>
                </w:tcPr>
                <w:p w14:paraId="254A30A8">
                  <w:pPr>
                    <w:jc w:val="center"/>
                    <w:rPr>
                      <w:color w:val="auto"/>
                      <w:szCs w:val="21"/>
                    </w:rPr>
                  </w:pPr>
                </w:p>
              </w:tc>
            </w:tr>
            <w:tr w14:paraId="3F83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51" w:type="dxa"/>
                  <w:vAlign w:val="center"/>
                </w:tcPr>
                <w:p w14:paraId="2A94DE73">
                  <w:pPr>
                    <w:jc w:val="center"/>
                    <w:rPr>
                      <w:color w:val="auto"/>
                      <w:szCs w:val="21"/>
                    </w:rPr>
                  </w:pPr>
                  <w:r>
                    <w:rPr>
                      <w:rFonts w:hint="eastAsia"/>
                      <w:color w:val="auto"/>
                      <w:szCs w:val="21"/>
                    </w:rPr>
                    <w:t>合计</w:t>
                  </w:r>
                </w:p>
              </w:tc>
              <w:tc>
                <w:tcPr>
                  <w:tcW w:w="1133" w:type="dxa"/>
                  <w:vAlign w:val="center"/>
                </w:tcPr>
                <w:p w14:paraId="34BB612C">
                  <w:pPr>
                    <w:jc w:val="center"/>
                    <w:rPr>
                      <w:rFonts w:hint="default" w:eastAsia="宋体"/>
                      <w:color w:val="auto"/>
                      <w:szCs w:val="21"/>
                      <w:lang w:val="en-US" w:eastAsia="zh-CN"/>
                    </w:rPr>
                  </w:pPr>
                  <w:r>
                    <w:rPr>
                      <w:rFonts w:hint="eastAsia"/>
                      <w:color w:val="auto"/>
                      <w:szCs w:val="21"/>
                      <w:lang w:val="en-US" w:eastAsia="zh-CN"/>
                    </w:rPr>
                    <w:t>800</w:t>
                  </w:r>
                </w:p>
              </w:tc>
              <w:tc>
                <w:tcPr>
                  <w:tcW w:w="1992" w:type="dxa"/>
                  <w:vAlign w:val="center"/>
                </w:tcPr>
                <w:p w14:paraId="772FF677">
                  <w:pPr>
                    <w:jc w:val="center"/>
                    <w:rPr>
                      <w:color w:val="auto"/>
                      <w:szCs w:val="21"/>
                    </w:rPr>
                  </w:pPr>
                  <w:r>
                    <w:rPr>
                      <w:rFonts w:hint="eastAsia"/>
                      <w:color w:val="auto"/>
                      <w:szCs w:val="21"/>
                    </w:rPr>
                    <w:t>合计</w:t>
                  </w:r>
                </w:p>
              </w:tc>
              <w:tc>
                <w:tcPr>
                  <w:tcW w:w="1993" w:type="dxa"/>
                  <w:vAlign w:val="center"/>
                </w:tcPr>
                <w:p w14:paraId="00BA4B94">
                  <w:pPr>
                    <w:jc w:val="center"/>
                    <w:rPr>
                      <w:rFonts w:hint="default" w:eastAsia="宋体"/>
                      <w:color w:val="auto"/>
                      <w:szCs w:val="21"/>
                      <w:lang w:val="en-US" w:eastAsia="zh-CN"/>
                    </w:rPr>
                  </w:pPr>
                  <w:r>
                    <w:rPr>
                      <w:rFonts w:hint="eastAsia"/>
                      <w:color w:val="auto"/>
                      <w:szCs w:val="21"/>
                      <w:lang w:val="en-US" w:eastAsia="zh-CN"/>
                    </w:rPr>
                    <w:t>800</w:t>
                  </w:r>
                </w:p>
              </w:tc>
            </w:tr>
          </w:tbl>
          <w:p w14:paraId="615B2E98">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表2-13 阿维菌素水乳剂物料平衡表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993"/>
              <w:gridCol w:w="2242"/>
              <w:gridCol w:w="1743"/>
            </w:tblGrid>
            <w:tr w14:paraId="662A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84" w:type="dxa"/>
                  <w:gridSpan w:val="2"/>
                  <w:vAlign w:val="center"/>
                </w:tcPr>
                <w:p w14:paraId="17C38DD6">
                  <w:pPr>
                    <w:jc w:val="center"/>
                    <w:rPr>
                      <w:color w:val="auto"/>
                      <w:szCs w:val="21"/>
                    </w:rPr>
                  </w:pPr>
                  <w:r>
                    <w:rPr>
                      <w:rFonts w:hint="eastAsia"/>
                      <w:color w:val="auto"/>
                      <w:szCs w:val="21"/>
                    </w:rPr>
                    <w:t>输入</w:t>
                  </w:r>
                </w:p>
              </w:tc>
              <w:tc>
                <w:tcPr>
                  <w:tcW w:w="3985" w:type="dxa"/>
                  <w:gridSpan w:val="2"/>
                  <w:vAlign w:val="center"/>
                </w:tcPr>
                <w:p w14:paraId="19EE72D5">
                  <w:pPr>
                    <w:jc w:val="center"/>
                    <w:rPr>
                      <w:color w:val="auto"/>
                      <w:szCs w:val="21"/>
                    </w:rPr>
                  </w:pPr>
                  <w:r>
                    <w:rPr>
                      <w:rFonts w:hint="eastAsia"/>
                      <w:color w:val="auto"/>
                      <w:szCs w:val="21"/>
                    </w:rPr>
                    <w:t>输出</w:t>
                  </w:r>
                </w:p>
              </w:tc>
            </w:tr>
            <w:tr w14:paraId="194D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DEBB351">
                  <w:pPr>
                    <w:jc w:val="center"/>
                    <w:rPr>
                      <w:color w:val="auto"/>
                      <w:szCs w:val="21"/>
                    </w:rPr>
                  </w:pPr>
                  <w:r>
                    <w:rPr>
                      <w:rFonts w:hint="eastAsia"/>
                      <w:color w:val="auto"/>
                      <w:szCs w:val="21"/>
                    </w:rPr>
                    <w:t>项目</w:t>
                  </w:r>
                </w:p>
              </w:tc>
              <w:tc>
                <w:tcPr>
                  <w:tcW w:w="1993" w:type="dxa"/>
                  <w:vAlign w:val="center"/>
                </w:tcPr>
                <w:p w14:paraId="73190CBC">
                  <w:pPr>
                    <w:jc w:val="center"/>
                    <w:rPr>
                      <w:color w:val="auto"/>
                      <w:szCs w:val="21"/>
                    </w:rPr>
                  </w:pPr>
                  <w:r>
                    <w:rPr>
                      <w:rFonts w:hint="eastAsia"/>
                      <w:color w:val="auto"/>
                      <w:szCs w:val="21"/>
                    </w:rPr>
                    <w:t>输入量</w:t>
                  </w:r>
                </w:p>
              </w:tc>
              <w:tc>
                <w:tcPr>
                  <w:tcW w:w="2242" w:type="dxa"/>
                  <w:vAlign w:val="center"/>
                </w:tcPr>
                <w:p w14:paraId="494F4121">
                  <w:pPr>
                    <w:jc w:val="center"/>
                    <w:rPr>
                      <w:color w:val="auto"/>
                      <w:szCs w:val="21"/>
                    </w:rPr>
                  </w:pPr>
                  <w:r>
                    <w:rPr>
                      <w:rFonts w:hint="eastAsia"/>
                      <w:color w:val="auto"/>
                      <w:szCs w:val="21"/>
                    </w:rPr>
                    <w:t>项目</w:t>
                  </w:r>
                </w:p>
              </w:tc>
              <w:tc>
                <w:tcPr>
                  <w:tcW w:w="1743" w:type="dxa"/>
                  <w:vAlign w:val="center"/>
                </w:tcPr>
                <w:p w14:paraId="4D783EC9">
                  <w:pPr>
                    <w:jc w:val="center"/>
                    <w:rPr>
                      <w:color w:val="auto"/>
                      <w:szCs w:val="21"/>
                    </w:rPr>
                  </w:pPr>
                  <w:r>
                    <w:rPr>
                      <w:rFonts w:hint="eastAsia"/>
                      <w:color w:val="auto"/>
                      <w:szCs w:val="21"/>
                    </w:rPr>
                    <w:t>输出量</w:t>
                  </w:r>
                </w:p>
              </w:tc>
            </w:tr>
            <w:tr w14:paraId="5E98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64FCF6CE">
                  <w:pPr>
                    <w:adjustRightInd w:val="0"/>
                    <w:jc w:val="center"/>
                    <w:rPr>
                      <w:color w:val="auto"/>
                      <w:szCs w:val="21"/>
                    </w:rPr>
                  </w:pPr>
                  <w:r>
                    <w:rPr>
                      <w:rFonts w:hint="eastAsia" w:ascii="Times New Roman" w:hAnsi="Times New Roman" w:eastAsia="宋体" w:cs="Times New Roman"/>
                      <w:color w:val="auto"/>
                      <w:szCs w:val="21"/>
                      <w:lang w:val="en-US" w:eastAsia="zh-CN"/>
                    </w:rPr>
                    <w:t>阿维菌素</w:t>
                  </w:r>
                </w:p>
              </w:tc>
              <w:tc>
                <w:tcPr>
                  <w:tcW w:w="1993" w:type="dxa"/>
                  <w:vAlign w:val="center"/>
                </w:tcPr>
                <w:p w14:paraId="3A9E9CA1">
                  <w:pPr>
                    <w:adjustRightInd w:val="0"/>
                    <w:jc w:val="center"/>
                    <w:rPr>
                      <w:color w:val="auto"/>
                      <w:szCs w:val="21"/>
                    </w:rPr>
                  </w:pPr>
                  <w:r>
                    <w:rPr>
                      <w:rFonts w:hint="eastAsia" w:ascii="Times New Roman" w:hAnsi="Times New Roman" w:eastAsia="宋体" w:cs="Times New Roman"/>
                      <w:color w:val="auto"/>
                      <w:szCs w:val="21"/>
                      <w:lang w:val="en-US" w:eastAsia="zh-CN"/>
                    </w:rPr>
                    <w:t>35</w:t>
                  </w:r>
                </w:p>
              </w:tc>
              <w:tc>
                <w:tcPr>
                  <w:tcW w:w="2242" w:type="dxa"/>
                  <w:vAlign w:val="center"/>
                </w:tcPr>
                <w:p w14:paraId="4AEA2EE8">
                  <w:pPr>
                    <w:jc w:val="center"/>
                    <w:rPr>
                      <w:color w:val="auto"/>
                      <w:szCs w:val="21"/>
                    </w:rPr>
                  </w:pPr>
                  <w:r>
                    <w:rPr>
                      <w:rFonts w:hint="eastAsia"/>
                      <w:color w:val="auto"/>
                      <w:szCs w:val="21"/>
                      <w:lang w:val="en-US" w:eastAsia="zh-CN"/>
                    </w:rPr>
                    <w:t>产品</w:t>
                  </w:r>
                </w:p>
              </w:tc>
              <w:tc>
                <w:tcPr>
                  <w:tcW w:w="1743" w:type="dxa"/>
                  <w:vAlign w:val="center"/>
                </w:tcPr>
                <w:p w14:paraId="1BFF8DAD">
                  <w:pPr>
                    <w:jc w:val="center"/>
                    <w:rPr>
                      <w:rFonts w:hint="default"/>
                      <w:color w:val="auto"/>
                      <w:szCs w:val="21"/>
                      <w:lang w:val="en-US"/>
                    </w:rPr>
                  </w:pPr>
                  <w:r>
                    <w:rPr>
                      <w:rFonts w:hint="default"/>
                      <w:color w:val="auto"/>
                      <w:szCs w:val="21"/>
                      <w:lang w:val="en-US"/>
                    </w:rPr>
                    <w:t>695.8074</w:t>
                  </w:r>
                </w:p>
              </w:tc>
            </w:tr>
            <w:tr w14:paraId="480D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49FC93F">
                  <w:pPr>
                    <w:adjustRightInd w:val="0"/>
                    <w:jc w:val="center"/>
                    <w:rPr>
                      <w:color w:val="auto"/>
                      <w:szCs w:val="21"/>
                    </w:rPr>
                  </w:pPr>
                  <w:r>
                    <w:rPr>
                      <w:rFonts w:hint="eastAsia" w:ascii="Times New Roman" w:hAnsi="Times New Roman" w:eastAsia="宋体" w:cs="Times New Roman"/>
                      <w:color w:val="auto"/>
                      <w:szCs w:val="21"/>
                      <w:lang w:val="en-US" w:eastAsia="zh-CN"/>
                    </w:rPr>
                    <w:t>溶剂油270#</w:t>
                  </w:r>
                </w:p>
              </w:tc>
              <w:tc>
                <w:tcPr>
                  <w:tcW w:w="1993" w:type="dxa"/>
                  <w:vAlign w:val="center"/>
                </w:tcPr>
                <w:p w14:paraId="4A8B5D86">
                  <w:pPr>
                    <w:adjustRightInd w:val="0"/>
                    <w:jc w:val="center"/>
                    <w:rPr>
                      <w:color w:val="auto"/>
                      <w:szCs w:val="21"/>
                    </w:rPr>
                  </w:pPr>
                  <w:r>
                    <w:rPr>
                      <w:rFonts w:hint="eastAsia" w:ascii="Times New Roman" w:hAnsi="Times New Roman" w:eastAsia="宋体" w:cs="Times New Roman"/>
                      <w:color w:val="auto"/>
                      <w:szCs w:val="21"/>
                      <w:lang w:val="en-US" w:eastAsia="zh-CN"/>
                    </w:rPr>
                    <w:t>140</w:t>
                  </w:r>
                </w:p>
              </w:tc>
              <w:tc>
                <w:tcPr>
                  <w:tcW w:w="2242" w:type="dxa"/>
                  <w:vAlign w:val="center"/>
                </w:tcPr>
                <w:p w14:paraId="08F9BFEA">
                  <w:pPr>
                    <w:jc w:val="center"/>
                    <w:rPr>
                      <w:color w:val="auto"/>
                      <w:szCs w:val="21"/>
                    </w:rPr>
                  </w:pPr>
                  <w:r>
                    <w:rPr>
                      <w:rFonts w:hint="eastAsia"/>
                      <w:color w:val="auto"/>
                      <w:szCs w:val="21"/>
                    </w:rPr>
                    <w:t>废气</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tc>
              <w:tc>
                <w:tcPr>
                  <w:tcW w:w="1743" w:type="dxa"/>
                  <w:vAlign w:val="center"/>
                </w:tcPr>
                <w:p w14:paraId="26F90622">
                  <w:pPr>
                    <w:jc w:val="center"/>
                    <w:rPr>
                      <w:rFonts w:hint="default" w:eastAsia="宋体"/>
                      <w:color w:val="auto"/>
                      <w:szCs w:val="21"/>
                      <w:lang w:val="en-US" w:eastAsia="zh-CN"/>
                    </w:rPr>
                  </w:pPr>
                  <w:r>
                    <w:rPr>
                      <w:rFonts w:hint="eastAsia"/>
                      <w:color w:val="auto"/>
                      <w:szCs w:val="21"/>
                      <w:lang w:val="en-US" w:eastAsia="zh-CN"/>
                    </w:rPr>
                    <w:t>0.0105</w:t>
                  </w:r>
                </w:p>
              </w:tc>
            </w:tr>
            <w:tr w14:paraId="67B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269D88B6">
                  <w:pPr>
                    <w:adjustRightInd w:val="0"/>
                    <w:jc w:val="center"/>
                    <w:rPr>
                      <w:color w:val="auto"/>
                      <w:szCs w:val="21"/>
                    </w:rPr>
                  </w:pPr>
                  <w:r>
                    <w:rPr>
                      <w:rFonts w:hint="eastAsia" w:ascii="Times New Roman" w:hAnsi="Times New Roman" w:eastAsia="宋体" w:cs="Times New Roman"/>
                      <w:color w:val="auto"/>
                      <w:szCs w:val="21"/>
                      <w:lang w:val="en-US" w:eastAsia="zh-CN"/>
                    </w:rPr>
                    <w:t>十二烷基苯磺酸钠</w:t>
                  </w:r>
                </w:p>
              </w:tc>
              <w:tc>
                <w:tcPr>
                  <w:tcW w:w="1993" w:type="dxa"/>
                  <w:vAlign w:val="center"/>
                </w:tcPr>
                <w:p w14:paraId="326821A3">
                  <w:pPr>
                    <w:adjustRightInd w:val="0"/>
                    <w:jc w:val="center"/>
                    <w:rPr>
                      <w:color w:val="auto"/>
                      <w:szCs w:val="21"/>
                    </w:rPr>
                  </w:pPr>
                  <w:r>
                    <w:rPr>
                      <w:rFonts w:hint="eastAsia" w:ascii="Times New Roman" w:hAnsi="Times New Roman" w:eastAsia="宋体" w:cs="Times New Roman"/>
                      <w:color w:val="auto"/>
                      <w:szCs w:val="21"/>
                      <w:lang w:val="en-US" w:eastAsia="zh-CN"/>
                    </w:rPr>
                    <w:t>140</w:t>
                  </w:r>
                </w:p>
              </w:tc>
              <w:tc>
                <w:tcPr>
                  <w:tcW w:w="2242" w:type="dxa"/>
                  <w:vAlign w:val="center"/>
                </w:tcPr>
                <w:p w14:paraId="4B5D446A">
                  <w:pPr>
                    <w:jc w:val="center"/>
                    <w:rPr>
                      <w:color w:val="auto"/>
                      <w:szCs w:val="21"/>
                    </w:rPr>
                  </w:pPr>
                  <w:r>
                    <w:rPr>
                      <w:rFonts w:hint="eastAsia"/>
                      <w:color w:val="auto"/>
                      <w:szCs w:val="21"/>
                    </w:rPr>
                    <w:t>废气</w:t>
                  </w:r>
                  <w:r>
                    <w:rPr>
                      <w:rFonts w:hint="eastAsia"/>
                      <w:color w:val="auto"/>
                      <w:szCs w:val="21"/>
                      <w:lang w:eastAsia="zh-CN"/>
                    </w:rPr>
                    <w:t>（</w:t>
                  </w:r>
                  <w:r>
                    <w:rPr>
                      <w:rFonts w:hint="eastAsia"/>
                      <w:color w:val="auto"/>
                      <w:szCs w:val="21"/>
                      <w:lang w:val="en-US" w:eastAsia="zh-CN"/>
                    </w:rPr>
                    <w:t>非甲烷总烃</w:t>
                  </w:r>
                  <w:r>
                    <w:rPr>
                      <w:rFonts w:hint="eastAsia"/>
                      <w:color w:val="auto"/>
                      <w:szCs w:val="21"/>
                      <w:lang w:eastAsia="zh-CN"/>
                    </w:rPr>
                    <w:t>）</w:t>
                  </w:r>
                </w:p>
              </w:tc>
              <w:tc>
                <w:tcPr>
                  <w:tcW w:w="1743" w:type="dxa"/>
                  <w:vAlign w:val="center"/>
                </w:tcPr>
                <w:p w14:paraId="719A5F11">
                  <w:pPr>
                    <w:jc w:val="center"/>
                    <w:rPr>
                      <w:color w:val="auto"/>
                      <w:szCs w:val="21"/>
                    </w:rPr>
                  </w:pPr>
                  <w:r>
                    <w:rPr>
                      <w:rFonts w:hint="eastAsia"/>
                      <w:color w:val="auto"/>
                      <w:lang w:val="en-US" w:eastAsia="zh-CN"/>
                    </w:rPr>
                    <w:t>4.1821</w:t>
                  </w:r>
                </w:p>
              </w:tc>
            </w:tr>
            <w:tr w14:paraId="79F1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3C83EB90">
                  <w:pPr>
                    <w:adjustRightInd w:val="0"/>
                    <w:jc w:val="center"/>
                    <w:rPr>
                      <w:color w:val="auto"/>
                      <w:szCs w:val="21"/>
                    </w:rPr>
                  </w:pPr>
                  <w:r>
                    <w:rPr>
                      <w:rFonts w:hint="eastAsia" w:ascii="Times New Roman" w:hAnsi="Times New Roman" w:eastAsia="宋体" w:cs="Times New Roman"/>
                      <w:color w:val="auto"/>
                      <w:szCs w:val="21"/>
                      <w:lang w:val="en-US" w:eastAsia="zh-CN"/>
                    </w:rPr>
                    <w:t>纯水</w:t>
                  </w:r>
                </w:p>
              </w:tc>
              <w:tc>
                <w:tcPr>
                  <w:tcW w:w="1993" w:type="dxa"/>
                  <w:vAlign w:val="center"/>
                </w:tcPr>
                <w:p w14:paraId="42C3AC35">
                  <w:pPr>
                    <w:adjustRightInd w:val="0"/>
                    <w:jc w:val="center"/>
                    <w:rPr>
                      <w:color w:val="auto"/>
                      <w:szCs w:val="21"/>
                    </w:rPr>
                  </w:pPr>
                  <w:r>
                    <w:rPr>
                      <w:rFonts w:hint="eastAsia" w:ascii="Times New Roman" w:hAnsi="Times New Roman" w:eastAsia="宋体" w:cs="Times New Roman"/>
                      <w:color w:val="auto"/>
                      <w:szCs w:val="21"/>
                      <w:lang w:val="en-US" w:eastAsia="zh-CN"/>
                    </w:rPr>
                    <w:t>385</w:t>
                  </w:r>
                </w:p>
              </w:tc>
              <w:tc>
                <w:tcPr>
                  <w:tcW w:w="2242" w:type="dxa"/>
                  <w:vAlign w:val="center"/>
                </w:tcPr>
                <w:p w14:paraId="27FBB3A4">
                  <w:pPr>
                    <w:jc w:val="center"/>
                    <w:rPr>
                      <w:color w:val="auto"/>
                      <w:szCs w:val="21"/>
                    </w:rPr>
                  </w:pPr>
                </w:p>
              </w:tc>
              <w:tc>
                <w:tcPr>
                  <w:tcW w:w="1743" w:type="dxa"/>
                  <w:vAlign w:val="center"/>
                </w:tcPr>
                <w:p w14:paraId="71BD6824">
                  <w:pPr>
                    <w:jc w:val="center"/>
                    <w:rPr>
                      <w:color w:val="auto"/>
                      <w:szCs w:val="21"/>
                    </w:rPr>
                  </w:pPr>
                </w:p>
              </w:tc>
            </w:tr>
            <w:tr w14:paraId="672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1C5214D8">
                  <w:pPr>
                    <w:jc w:val="center"/>
                    <w:rPr>
                      <w:color w:val="auto"/>
                      <w:szCs w:val="21"/>
                    </w:rPr>
                  </w:pPr>
                  <w:r>
                    <w:rPr>
                      <w:rFonts w:hint="eastAsia"/>
                      <w:color w:val="auto"/>
                      <w:szCs w:val="21"/>
                    </w:rPr>
                    <w:t>合计</w:t>
                  </w:r>
                </w:p>
              </w:tc>
              <w:tc>
                <w:tcPr>
                  <w:tcW w:w="1993" w:type="dxa"/>
                  <w:vAlign w:val="center"/>
                </w:tcPr>
                <w:p w14:paraId="3A32A85C">
                  <w:pPr>
                    <w:jc w:val="center"/>
                    <w:rPr>
                      <w:rFonts w:hint="default" w:eastAsia="宋体"/>
                      <w:color w:val="auto"/>
                      <w:szCs w:val="21"/>
                      <w:lang w:val="en-US" w:eastAsia="zh-CN"/>
                    </w:rPr>
                  </w:pPr>
                  <w:r>
                    <w:rPr>
                      <w:rFonts w:hint="eastAsia"/>
                      <w:color w:val="auto"/>
                      <w:szCs w:val="21"/>
                      <w:lang w:val="en-US" w:eastAsia="zh-CN"/>
                    </w:rPr>
                    <w:t>700</w:t>
                  </w:r>
                </w:p>
              </w:tc>
              <w:tc>
                <w:tcPr>
                  <w:tcW w:w="2242" w:type="dxa"/>
                  <w:vAlign w:val="center"/>
                </w:tcPr>
                <w:p w14:paraId="3277A840">
                  <w:pPr>
                    <w:jc w:val="center"/>
                    <w:rPr>
                      <w:color w:val="auto"/>
                      <w:szCs w:val="21"/>
                    </w:rPr>
                  </w:pPr>
                  <w:r>
                    <w:rPr>
                      <w:rFonts w:hint="eastAsia"/>
                      <w:color w:val="auto"/>
                      <w:szCs w:val="21"/>
                    </w:rPr>
                    <w:t>合计</w:t>
                  </w:r>
                </w:p>
              </w:tc>
              <w:tc>
                <w:tcPr>
                  <w:tcW w:w="1743" w:type="dxa"/>
                  <w:vAlign w:val="center"/>
                </w:tcPr>
                <w:p w14:paraId="66BCE851">
                  <w:pPr>
                    <w:jc w:val="center"/>
                    <w:rPr>
                      <w:rFonts w:hint="default" w:eastAsia="宋体"/>
                      <w:color w:val="auto"/>
                      <w:szCs w:val="21"/>
                      <w:lang w:val="en-US" w:eastAsia="zh-CN"/>
                    </w:rPr>
                  </w:pPr>
                </w:p>
              </w:tc>
            </w:tr>
          </w:tbl>
          <w:p w14:paraId="4CF999AA">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表2-14 苦参碱水剂物料平衡表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993"/>
              <w:gridCol w:w="2242"/>
              <w:gridCol w:w="1743"/>
            </w:tblGrid>
            <w:tr w14:paraId="49E3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84" w:type="dxa"/>
                  <w:gridSpan w:val="2"/>
                  <w:vAlign w:val="center"/>
                </w:tcPr>
                <w:p w14:paraId="496C63BD">
                  <w:pPr>
                    <w:jc w:val="center"/>
                    <w:rPr>
                      <w:color w:val="auto"/>
                      <w:szCs w:val="21"/>
                    </w:rPr>
                  </w:pPr>
                  <w:r>
                    <w:rPr>
                      <w:rFonts w:hint="eastAsia"/>
                      <w:color w:val="auto"/>
                      <w:szCs w:val="21"/>
                    </w:rPr>
                    <w:t>输入</w:t>
                  </w:r>
                </w:p>
              </w:tc>
              <w:tc>
                <w:tcPr>
                  <w:tcW w:w="3985" w:type="dxa"/>
                  <w:gridSpan w:val="2"/>
                  <w:vAlign w:val="center"/>
                </w:tcPr>
                <w:p w14:paraId="76EBCEEF">
                  <w:pPr>
                    <w:jc w:val="center"/>
                    <w:rPr>
                      <w:color w:val="auto"/>
                      <w:szCs w:val="21"/>
                    </w:rPr>
                  </w:pPr>
                  <w:r>
                    <w:rPr>
                      <w:rFonts w:hint="eastAsia"/>
                      <w:color w:val="auto"/>
                      <w:szCs w:val="21"/>
                    </w:rPr>
                    <w:t>输出</w:t>
                  </w:r>
                </w:p>
              </w:tc>
            </w:tr>
            <w:tr w14:paraId="1399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A14C5B0">
                  <w:pPr>
                    <w:jc w:val="center"/>
                    <w:rPr>
                      <w:color w:val="auto"/>
                      <w:szCs w:val="21"/>
                    </w:rPr>
                  </w:pPr>
                  <w:r>
                    <w:rPr>
                      <w:rFonts w:hint="eastAsia"/>
                      <w:color w:val="auto"/>
                      <w:szCs w:val="21"/>
                    </w:rPr>
                    <w:t>项目</w:t>
                  </w:r>
                </w:p>
              </w:tc>
              <w:tc>
                <w:tcPr>
                  <w:tcW w:w="1993" w:type="dxa"/>
                  <w:vAlign w:val="center"/>
                </w:tcPr>
                <w:p w14:paraId="787A612C">
                  <w:pPr>
                    <w:jc w:val="center"/>
                    <w:rPr>
                      <w:color w:val="auto"/>
                      <w:szCs w:val="21"/>
                    </w:rPr>
                  </w:pPr>
                  <w:r>
                    <w:rPr>
                      <w:rFonts w:hint="eastAsia"/>
                      <w:color w:val="auto"/>
                      <w:szCs w:val="21"/>
                    </w:rPr>
                    <w:t>输入量</w:t>
                  </w:r>
                </w:p>
              </w:tc>
              <w:tc>
                <w:tcPr>
                  <w:tcW w:w="2242" w:type="dxa"/>
                  <w:vAlign w:val="center"/>
                </w:tcPr>
                <w:p w14:paraId="468B96B9">
                  <w:pPr>
                    <w:jc w:val="center"/>
                    <w:rPr>
                      <w:color w:val="auto"/>
                      <w:szCs w:val="21"/>
                    </w:rPr>
                  </w:pPr>
                  <w:r>
                    <w:rPr>
                      <w:rFonts w:hint="eastAsia"/>
                      <w:color w:val="auto"/>
                      <w:szCs w:val="21"/>
                    </w:rPr>
                    <w:t>项目</w:t>
                  </w:r>
                </w:p>
              </w:tc>
              <w:tc>
                <w:tcPr>
                  <w:tcW w:w="1743" w:type="dxa"/>
                  <w:vAlign w:val="center"/>
                </w:tcPr>
                <w:p w14:paraId="5BCF1AA3">
                  <w:pPr>
                    <w:jc w:val="center"/>
                    <w:rPr>
                      <w:color w:val="auto"/>
                      <w:szCs w:val="21"/>
                    </w:rPr>
                  </w:pPr>
                  <w:r>
                    <w:rPr>
                      <w:rFonts w:hint="eastAsia"/>
                      <w:color w:val="auto"/>
                      <w:szCs w:val="21"/>
                    </w:rPr>
                    <w:t>输出量</w:t>
                  </w:r>
                </w:p>
              </w:tc>
            </w:tr>
            <w:tr w14:paraId="150C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8A86ED9">
                  <w:pPr>
                    <w:adjustRightInd w:val="0"/>
                    <w:jc w:val="center"/>
                    <w:rPr>
                      <w:color w:val="auto"/>
                      <w:szCs w:val="21"/>
                    </w:rPr>
                  </w:pPr>
                  <w:r>
                    <w:rPr>
                      <w:rFonts w:hint="eastAsia" w:ascii="Times New Roman" w:hAnsi="Times New Roman" w:eastAsia="宋体" w:cs="Times New Roman"/>
                      <w:color w:val="auto"/>
                      <w:szCs w:val="21"/>
                      <w:lang w:val="en-US" w:eastAsia="zh-CN"/>
                    </w:rPr>
                    <w:t>苦参碱</w:t>
                  </w:r>
                </w:p>
              </w:tc>
              <w:tc>
                <w:tcPr>
                  <w:tcW w:w="1993" w:type="dxa"/>
                  <w:vAlign w:val="center"/>
                </w:tcPr>
                <w:p w14:paraId="14717106">
                  <w:pPr>
                    <w:adjustRightInd w:val="0"/>
                    <w:jc w:val="center"/>
                    <w:rPr>
                      <w:color w:val="auto"/>
                      <w:szCs w:val="21"/>
                    </w:rPr>
                  </w:pPr>
                  <w:r>
                    <w:rPr>
                      <w:rFonts w:hint="eastAsia" w:ascii="Times New Roman" w:hAnsi="Times New Roman" w:eastAsia="宋体" w:cs="Times New Roman"/>
                      <w:color w:val="auto"/>
                      <w:szCs w:val="21"/>
                      <w:lang w:val="en-US" w:eastAsia="zh-CN"/>
                    </w:rPr>
                    <w:t>3.9</w:t>
                  </w:r>
                </w:p>
              </w:tc>
              <w:tc>
                <w:tcPr>
                  <w:tcW w:w="2242" w:type="dxa"/>
                  <w:vAlign w:val="center"/>
                </w:tcPr>
                <w:p w14:paraId="65FAF3A5">
                  <w:pPr>
                    <w:jc w:val="center"/>
                    <w:rPr>
                      <w:color w:val="auto"/>
                      <w:szCs w:val="21"/>
                    </w:rPr>
                  </w:pPr>
                  <w:r>
                    <w:rPr>
                      <w:rFonts w:hint="eastAsia"/>
                      <w:color w:val="auto"/>
                      <w:szCs w:val="21"/>
                      <w:lang w:val="en-US" w:eastAsia="zh-CN"/>
                    </w:rPr>
                    <w:t>产品</w:t>
                  </w:r>
                </w:p>
              </w:tc>
              <w:tc>
                <w:tcPr>
                  <w:tcW w:w="1743" w:type="dxa"/>
                  <w:vAlign w:val="center"/>
                </w:tcPr>
                <w:p w14:paraId="06CE0EFE">
                  <w:pPr>
                    <w:jc w:val="center"/>
                    <w:rPr>
                      <w:rFonts w:hint="default"/>
                      <w:color w:val="auto"/>
                      <w:szCs w:val="21"/>
                      <w:lang w:val="en-US"/>
                    </w:rPr>
                  </w:pPr>
                  <w:r>
                    <w:rPr>
                      <w:rFonts w:hint="default"/>
                      <w:color w:val="auto"/>
                      <w:szCs w:val="21"/>
                      <w:lang w:val="en-US"/>
                    </w:rPr>
                    <w:t>1299.9988</w:t>
                  </w:r>
                </w:p>
              </w:tc>
            </w:tr>
            <w:tr w14:paraId="3B7D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1EFC6F86">
                  <w:pPr>
                    <w:adjustRightInd w:val="0"/>
                    <w:jc w:val="center"/>
                    <w:rPr>
                      <w:color w:val="auto"/>
                      <w:szCs w:val="21"/>
                    </w:rPr>
                  </w:pPr>
                  <w:r>
                    <w:rPr>
                      <w:rFonts w:hint="eastAsia" w:ascii="Times New Roman" w:hAnsi="Times New Roman" w:eastAsia="宋体" w:cs="Times New Roman"/>
                      <w:color w:val="auto"/>
                      <w:szCs w:val="21"/>
                      <w:lang w:val="en-US" w:eastAsia="zh-CN"/>
                    </w:rPr>
                    <w:t>十二烷基硫酸钙</w:t>
                  </w:r>
                </w:p>
              </w:tc>
              <w:tc>
                <w:tcPr>
                  <w:tcW w:w="1993" w:type="dxa"/>
                  <w:vAlign w:val="center"/>
                </w:tcPr>
                <w:p w14:paraId="0FA245DB">
                  <w:pPr>
                    <w:adjustRightInd w:val="0"/>
                    <w:jc w:val="center"/>
                    <w:rPr>
                      <w:color w:val="auto"/>
                      <w:szCs w:val="21"/>
                    </w:rPr>
                  </w:pPr>
                  <w:r>
                    <w:rPr>
                      <w:rFonts w:hint="eastAsia" w:ascii="Times New Roman" w:hAnsi="Times New Roman" w:eastAsia="宋体" w:cs="Times New Roman"/>
                      <w:color w:val="auto"/>
                      <w:szCs w:val="21"/>
                      <w:lang w:val="en-US" w:eastAsia="zh-CN"/>
                    </w:rPr>
                    <w:t>130</w:t>
                  </w:r>
                  <w:r>
                    <w:rPr>
                      <w:rFonts w:hint="eastAsia" w:cs="Times New Roman"/>
                      <w:color w:val="auto"/>
                      <w:szCs w:val="21"/>
                      <w:lang w:val="en-US" w:eastAsia="zh-CN"/>
                    </w:rPr>
                    <w:t>.1</w:t>
                  </w:r>
                </w:p>
              </w:tc>
              <w:tc>
                <w:tcPr>
                  <w:tcW w:w="2242" w:type="dxa"/>
                  <w:vAlign w:val="center"/>
                </w:tcPr>
                <w:p w14:paraId="0307E6B5">
                  <w:pPr>
                    <w:jc w:val="center"/>
                    <w:rPr>
                      <w:color w:val="auto"/>
                      <w:szCs w:val="21"/>
                    </w:rPr>
                  </w:pPr>
                  <w:r>
                    <w:rPr>
                      <w:rFonts w:hint="eastAsia"/>
                      <w:color w:val="auto"/>
                      <w:szCs w:val="21"/>
                    </w:rPr>
                    <w:t>废气</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tc>
              <w:tc>
                <w:tcPr>
                  <w:tcW w:w="1743" w:type="dxa"/>
                  <w:vAlign w:val="center"/>
                </w:tcPr>
                <w:p w14:paraId="5F43D2B1">
                  <w:pPr>
                    <w:jc w:val="center"/>
                    <w:rPr>
                      <w:rFonts w:hint="default" w:eastAsia="宋体"/>
                      <w:color w:val="auto"/>
                      <w:szCs w:val="21"/>
                      <w:lang w:val="en-US" w:eastAsia="zh-CN"/>
                    </w:rPr>
                  </w:pPr>
                  <w:r>
                    <w:rPr>
                      <w:rFonts w:hint="eastAsia"/>
                      <w:color w:val="auto"/>
                      <w:szCs w:val="21"/>
                      <w:lang w:val="en-US" w:eastAsia="zh-CN"/>
                    </w:rPr>
                    <w:t>0.0012</w:t>
                  </w:r>
                </w:p>
              </w:tc>
            </w:tr>
            <w:tr w14:paraId="5B43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471756EE">
                  <w:pPr>
                    <w:adjustRightInd w:val="0"/>
                    <w:jc w:val="center"/>
                    <w:rPr>
                      <w:color w:val="auto"/>
                      <w:szCs w:val="21"/>
                    </w:rPr>
                  </w:pPr>
                  <w:r>
                    <w:rPr>
                      <w:rFonts w:hint="eastAsia" w:ascii="Times New Roman" w:hAnsi="Times New Roman" w:eastAsia="宋体" w:cs="Times New Roman"/>
                      <w:color w:val="auto"/>
                      <w:szCs w:val="21"/>
                      <w:lang w:val="en-US" w:eastAsia="zh-CN"/>
                    </w:rPr>
                    <w:t>纯水</w:t>
                  </w:r>
                </w:p>
              </w:tc>
              <w:tc>
                <w:tcPr>
                  <w:tcW w:w="1993" w:type="dxa"/>
                  <w:vAlign w:val="center"/>
                </w:tcPr>
                <w:p w14:paraId="1ABE4871">
                  <w:pPr>
                    <w:adjustRightInd w:val="0"/>
                    <w:jc w:val="center"/>
                    <w:rPr>
                      <w:color w:val="auto"/>
                      <w:szCs w:val="21"/>
                    </w:rPr>
                  </w:pPr>
                  <w:r>
                    <w:rPr>
                      <w:rFonts w:hint="eastAsia" w:ascii="Times New Roman" w:hAnsi="Times New Roman" w:eastAsia="宋体" w:cs="Times New Roman"/>
                      <w:color w:val="auto"/>
                      <w:szCs w:val="21"/>
                      <w:lang w:val="en-US" w:eastAsia="zh-CN"/>
                    </w:rPr>
                    <w:t>1166</w:t>
                  </w:r>
                </w:p>
              </w:tc>
              <w:tc>
                <w:tcPr>
                  <w:tcW w:w="2242" w:type="dxa"/>
                  <w:vAlign w:val="center"/>
                </w:tcPr>
                <w:p w14:paraId="7961977D">
                  <w:pPr>
                    <w:jc w:val="center"/>
                    <w:rPr>
                      <w:color w:val="auto"/>
                      <w:szCs w:val="21"/>
                    </w:rPr>
                  </w:pPr>
                </w:p>
              </w:tc>
              <w:tc>
                <w:tcPr>
                  <w:tcW w:w="1743" w:type="dxa"/>
                  <w:vAlign w:val="center"/>
                </w:tcPr>
                <w:p w14:paraId="40A1637A">
                  <w:pPr>
                    <w:jc w:val="center"/>
                    <w:rPr>
                      <w:color w:val="auto"/>
                      <w:szCs w:val="21"/>
                    </w:rPr>
                  </w:pPr>
                </w:p>
              </w:tc>
            </w:tr>
            <w:tr w14:paraId="2BB9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00A1EC07">
                  <w:pPr>
                    <w:jc w:val="center"/>
                    <w:rPr>
                      <w:color w:val="auto"/>
                      <w:szCs w:val="21"/>
                    </w:rPr>
                  </w:pPr>
                  <w:r>
                    <w:rPr>
                      <w:rFonts w:hint="eastAsia"/>
                      <w:color w:val="auto"/>
                      <w:szCs w:val="21"/>
                    </w:rPr>
                    <w:t>合计</w:t>
                  </w:r>
                </w:p>
              </w:tc>
              <w:tc>
                <w:tcPr>
                  <w:tcW w:w="1993" w:type="dxa"/>
                  <w:vAlign w:val="center"/>
                </w:tcPr>
                <w:p w14:paraId="2EDC81D8">
                  <w:pPr>
                    <w:jc w:val="center"/>
                    <w:rPr>
                      <w:rFonts w:hint="default" w:eastAsia="宋体"/>
                      <w:color w:val="auto"/>
                      <w:szCs w:val="21"/>
                      <w:lang w:val="en-US" w:eastAsia="zh-CN"/>
                    </w:rPr>
                  </w:pPr>
                  <w:r>
                    <w:rPr>
                      <w:rFonts w:hint="eastAsia"/>
                      <w:color w:val="auto"/>
                      <w:szCs w:val="21"/>
                      <w:lang w:val="en-US" w:eastAsia="zh-CN"/>
                    </w:rPr>
                    <w:t>1300</w:t>
                  </w:r>
                </w:p>
              </w:tc>
              <w:tc>
                <w:tcPr>
                  <w:tcW w:w="2242" w:type="dxa"/>
                  <w:vAlign w:val="center"/>
                </w:tcPr>
                <w:p w14:paraId="69ADEE9B">
                  <w:pPr>
                    <w:jc w:val="center"/>
                    <w:rPr>
                      <w:color w:val="auto"/>
                      <w:szCs w:val="21"/>
                    </w:rPr>
                  </w:pPr>
                  <w:r>
                    <w:rPr>
                      <w:rFonts w:hint="eastAsia"/>
                      <w:color w:val="auto"/>
                      <w:szCs w:val="21"/>
                    </w:rPr>
                    <w:t>合计</w:t>
                  </w:r>
                </w:p>
              </w:tc>
              <w:tc>
                <w:tcPr>
                  <w:tcW w:w="1743" w:type="dxa"/>
                  <w:vAlign w:val="center"/>
                </w:tcPr>
                <w:p w14:paraId="108F744D">
                  <w:pPr>
                    <w:jc w:val="center"/>
                    <w:rPr>
                      <w:rFonts w:hint="default" w:eastAsia="宋体"/>
                      <w:color w:val="auto"/>
                      <w:szCs w:val="21"/>
                      <w:lang w:val="en-US" w:eastAsia="zh-CN"/>
                    </w:rPr>
                  </w:pPr>
                  <w:r>
                    <w:rPr>
                      <w:rFonts w:hint="eastAsia"/>
                      <w:color w:val="auto"/>
                      <w:szCs w:val="21"/>
                      <w:lang w:val="en-US" w:eastAsia="zh-CN"/>
                    </w:rPr>
                    <w:t>1300</w:t>
                  </w:r>
                </w:p>
              </w:tc>
            </w:tr>
          </w:tbl>
          <w:p w14:paraId="5AB615BF">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表2-15 啶虫脒可湿性粉剂物料平衡表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993"/>
              <w:gridCol w:w="2242"/>
              <w:gridCol w:w="1743"/>
            </w:tblGrid>
            <w:tr w14:paraId="717B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84" w:type="dxa"/>
                  <w:gridSpan w:val="2"/>
                  <w:vAlign w:val="center"/>
                </w:tcPr>
                <w:p w14:paraId="7E330043">
                  <w:pPr>
                    <w:jc w:val="center"/>
                    <w:rPr>
                      <w:color w:val="auto"/>
                      <w:szCs w:val="21"/>
                    </w:rPr>
                  </w:pPr>
                  <w:r>
                    <w:rPr>
                      <w:rFonts w:hint="eastAsia"/>
                      <w:color w:val="auto"/>
                      <w:szCs w:val="21"/>
                    </w:rPr>
                    <w:t>输入</w:t>
                  </w:r>
                </w:p>
              </w:tc>
              <w:tc>
                <w:tcPr>
                  <w:tcW w:w="3985" w:type="dxa"/>
                  <w:gridSpan w:val="2"/>
                  <w:vAlign w:val="center"/>
                </w:tcPr>
                <w:p w14:paraId="5F67E98B">
                  <w:pPr>
                    <w:jc w:val="center"/>
                    <w:rPr>
                      <w:color w:val="auto"/>
                      <w:szCs w:val="21"/>
                    </w:rPr>
                  </w:pPr>
                  <w:r>
                    <w:rPr>
                      <w:rFonts w:hint="eastAsia"/>
                      <w:color w:val="auto"/>
                      <w:szCs w:val="21"/>
                    </w:rPr>
                    <w:t>输出</w:t>
                  </w:r>
                </w:p>
              </w:tc>
            </w:tr>
            <w:tr w14:paraId="12CA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23B3128D">
                  <w:pPr>
                    <w:jc w:val="center"/>
                    <w:rPr>
                      <w:color w:val="auto"/>
                      <w:szCs w:val="21"/>
                    </w:rPr>
                  </w:pPr>
                  <w:r>
                    <w:rPr>
                      <w:rFonts w:hint="eastAsia"/>
                      <w:color w:val="auto"/>
                      <w:szCs w:val="21"/>
                    </w:rPr>
                    <w:t>项目</w:t>
                  </w:r>
                </w:p>
              </w:tc>
              <w:tc>
                <w:tcPr>
                  <w:tcW w:w="1993" w:type="dxa"/>
                  <w:vAlign w:val="center"/>
                </w:tcPr>
                <w:p w14:paraId="6E10ABD1">
                  <w:pPr>
                    <w:jc w:val="center"/>
                    <w:rPr>
                      <w:color w:val="auto"/>
                      <w:szCs w:val="21"/>
                    </w:rPr>
                  </w:pPr>
                  <w:r>
                    <w:rPr>
                      <w:rFonts w:hint="eastAsia"/>
                      <w:color w:val="auto"/>
                      <w:szCs w:val="21"/>
                    </w:rPr>
                    <w:t>输入量</w:t>
                  </w:r>
                </w:p>
              </w:tc>
              <w:tc>
                <w:tcPr>
                  <w:tcW w:w="2242" w:type="dxa"/>
                  <w:vAlign w:val="center"/>
                </w:tcPr>
                <w:p w14:paraId="4D3C4069">
                  <w:pPr>
                    <w:jc w:val="center"/>
                    <w:rPr>
                      <w:color w:val="auto"/>
                      <w:szCs w:val="21"/>
                    </w:rPr>
                  </w:pPr>
                  <w:r>
                    <w:rPr>
                      <w:rFonts w:hint="eastAsia"/>
                      <w:color w:val="auto"/>
                      <w:szCs w:val="21"/>
                    </w:rPr>
                    <w:t>项目</w:t>
                  </w:r>
                </w:p>
              </w:tc>
              <w:tc>
                <w:tcPr>
                  <w:tcW w:w="1743" w:type="dxa"/>
                  <w:vAlign w:val="center"/>
                </w:tcPr>
                <w:p w14:paraId="57BB7F47">
                  <w:pPr>
                    <w:jc w:val="center"/>
                    <w:rPr>
                      <w:color w:val="auto"/>
                      <w:szCs w:val="21"/>
                    </w:rPr>
                  </w:pPr>
                  <w:r>
                    <w:rPr>
                      <w:rFonts w:hint="eastAsia"/>
                      <w:color w:val="auto"/>
                      <w:szCs w:val="21"/>
                    </w:rPr>
                    <w:t>输出量</w:t>
                  </w:r>
                </w:p>
              </w:tc>
            </w:tr>
            <w:tr w14:paraId="76D3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56CACA4">
                  <w:pPr>
                    <w:adjustRightInd w:val="0"/>
                    <w:jc w:val="center"/>
                    <w:rPr>
                      <w:color w:val="auto"/>
                      <w:szCs w:val="21"/>
                    </w:rPr>
                  </w:pPr>
                  <w:r>
                    <w:rPr>
                      <w:rFonts w:hint="eastAsia" w:ascii="Times New Roman" w:hAnsi="Times New Roman" w:eastAsia="宋体" w:cs="Times New Roman"/>
                      <w:color w:val="auto"/>
                      <w:szCs w:val="21"/>
                      <w:lang w:val="en-US" w:eastAsia="zh-CN"/>
                    </w:rPr>
                    <w:t>啶虫脒</w:t>
                  </w:r>
                </w:p>
              </w:tc>
              <w:tc>
                <w:tcPr>
                  <w:tcW w:w="1993" w:type="dxa"/>
                  <w:vAlign w:val="center"/>
                </w:tcPr>
                <w:p w14:paraId="47A191AF">
                  <w:pPr>
                    <w:adjustRightInd w:val="0"/>
                    <w:jc w:val="center"/>
                    <w:rPr>
                      <w:color w:val="auto"/>
                      <w:szCs w:val="21"/>
                    </w:rPr>
                  </w:pPr>
                  <w:r>
                    <w:rPr>
                      <w:rFonts w:hint="eastAsia" w:ascii="Times New Roman" w:hAnsi="Times New Roman" w:eastAsia="宋体" w:cs="Times New Roman"/>
                      <w:color w:val="auto"/>
                      <w:szCs w:val="21"/>
                      <w:lang w:val="en-US" w:eastAsia="zh-CN"/>
                    </w:rPr>
                    <w:t>40</w:t>
                  </w:r>
                </w:p>
              </w:tc>
              <w:tc>
                <w:tcPr>
                  <w:tcW w:w="2242" w:type="dxa"/>
                  <w:vAlign w:val="center"/>
                </w:tcPr>
                <w:p w14:paraId="2AE76C61">
                  <w:pPr>
                    <w:jc w:val="center"/>
                    <w:rPr>
                      <w:color w:val="auto"/>
                      <w:szCs w:val="21"/>
                    </w:rPr>
                  </w:pPr>
                  <w:r>
                    <w:rPr>
                      <w:rFonts w:hint="eastAsia"/>
                      <w:color w:val="auto"/>
                      <w:szCs w:val="21"/>
                      <w:lang w:val="en-US" w:eastAsia="zh-CN"/>
                    </w:rPr>
                    <w:t>产品</w:t>
                  </w:r>
                </w:p>
              </w:tc>
              <w:tc>
                <w:tcPr>
                  <w:tcW w:w="1743" w:type="dxa"/>
                  <w:vAlign w:val="center"/>
                </w:tcPr>
                <w:p w14:paraId="1A062937">
                  <w:pPr>
                    <w:jc w:val="center"/>
                    <w:rPr>
                      <w:rFonts w:hint="default" w:eastAsia="宋体"/>
                      <w:color w:val="auto"/>
                      <w:szCs w:val="21"/>
                      <w:lang w:val="en-US" w:eastAsia="zh-CN"/>
                    </w:rPr>
                  </w:pPr>
                  <w:r>
                    <w:rPr>
                      <w:rFonts w:hint="eastAsia"/>
                      <w:color w:val="auto"/>
                      <w:szCs w:val="21"/>
                      <w:lang w:val="en-US" w:eastAsia="zh-CN"/>
                    </w:rPr>
                    <w:t>199.474</w:t>
                  </w:r>
                </w:p>
              </w:tc>
            </w:tr>
            <w:tr w14:paraId="34B3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C757549">
                  <w:pPr>
                    <w:adjustRightInd w:val="0"/>
                    <w:jc w:val="center"/>
                    <w:rPr>
                      <w:color w:val="auto"/>
                      <w:szCs w:val="21"/>
                    </w:rPr>
                  </w:pPr>
                  <w:r>
                    <w:rPr>
                      <w:rFonts w:hint="eastAsia" w:ascii="Times New Roman" w:hAnsi="Times New Roman" w:eastAsia="宋体" w:cs="Times New Roman"/>
                      <w:color w:val="auto"/>
                      <w:szCs w:val="21"/>
                      <w:lang w:val="en-US" w:eastAsia="zh-CN"/>
                    </w:rPr>
                    <w:t>十二烷基苯磺酸钠</w:t>
                  </w:r>
                </w:p>
              </w:tc>
              <w:tc>
                <w:tcPr>
                  <w:tcW w:w="1993" w:type="dxa"/>
                  <w:vAlign w:val="center"/>
                </w:tcPr>
                <w:p w14:paraId="107E3DF5">
                  <w:pPr>
                    <w:adjustRightInd w:val="0"/>
                    <w:jc w:val="center"/>
                    <w:rPr>
                      <w:color w:val="auto"/>
                      <w:szCs w:val="21"/>
                    </w:rPr>
                  </w:pPr>
                  <w:r>
                    <w:rPr>
                      <w:rFonts w:hint="eastAsia" w:ascii="Times New Roman" w:hAnsi="Times New Roman" w:eastAsia="宋体" w:cs="Times New Roman"/>
                      <w:color w:val="auto"/>
                      <w:szCs w:val="21"/>
                      <w:lang w:val="en-US" w:eastAsia="zh-CN"/>
                    </w:rPr>
                    <w:t>20</w:t>
                  </w:r>
                </w:p>
              </w:tc>
              <w:tc>
                <w:tcPr>
                  <w:tcW w:w="2242" w:type="dxa"/>
                  <w:vAlign w:val="center"/>
                </w:tcPr>
                <w:p w14:paraId="7E83474E">
                  <w:pPr>
                    <w:jc w:val="center"/>
                    <w:rPr>
                      <w:color w:val="auto"/>
                      <w:szCs w:val="21"/>
                    </w:rPr>
                  </w:pPr>
                  <w:r>
                    <w:rPr>
                      <w:rFonts w:hint="eastAsia"/>
                      <w:color w:val="auto"/>
                      <w:szCs w:val="21"/>
                    </w:rPr>
                    <w:t>废气</w:t>
                  </w:r>
                  <w:r>
                    <w:rPr>
                      <w:rFonts w:hint="eastAsia"/>
                      <w:color w:val="auto"/>
                      <w:szCs w:val="21"/>
                      <w:lang w:eastAsia="zh-CN"/>
                    </w:rPr>
                    <w:t>（</w:t>
                  </w:r>
                  <w:r>
                    <w:rPr>
                      <w:rFonts w:hint="eastAsia"/>
                      <w:color w:val="auto"/>
                      <w:szCs w:val="21"/>
                      <w:lang w:val="en-US" w:eastAsia="zh-CN"/>
                    </w:rPr>
                    <w:t>颗粒物</w:t>
                  </w:r>
                  <w:r>
                    <w:rPr>
                      <w:rFonts w:hint="eastAsia"/>
                      <w:color w:val="auto"/>
                      <w:szCs w:val="21"/>
                      <w:lang w:eastAsia="zh-CN"/>
                    </w:rPr>
                    <w:t>）</w:t>
                  </w:r>
                </w:p>
              </w:tc>
              <w:tc>
                <w:tcPr>
                  <w:tcW w:w="1743" w:type="dxa"/>
                  <w:vAlign w:val="center"/>
                </w:tcPr>
                <w:p w14:paraId="0D35B8F2">
                  <w:pPr>
                    <w:jc w:val="center"/>
                    <w:rPr>
                      <w:rFonts w:hint="default" w:eastAsia="宋体"/>
                      <w:color w:val="auto"/>
                      <w:szCs w:val="21"/>
                      <w:lang w:val="en-US" w:eastAsia="zh-CN"/>
                    </w:rPr>
                  </w:pPr>
                  <w:r>
                    <w:rPr>
                      <w:rFonts w:hint="eastAsia"/>
                      <w:color w:val="auto"/>
                      <w:szCs w:val="21"/>
                      <w:lang w:val="en-US" w:eastAsia="zh-CN"/>
                    </w:rPr>
                    <w:t>0.526</w:t>
                  </w:r>
                </w:p>
              </w:tc>
            </w:tr>
            <w:tr w14:paraId="0BD8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4A7034CE">
                  <w:pPr>
                    <w:adjustRightInd w:val="0"/>
                    <w:jc w:val="center"/>
                    <w:rPr>
                      <w:color w:val="auto"/>
                      <w:szCs w:val="21"/>
                    </w:rPr>
                  </w:pPr>
                  <w:r>
                    <w:rPr>
                      <w:rFonts w:hint="eastAsia" w:ascii="Times New Roman" w:hAnsi="Times New Roman" w:eastAsia="宋体" w:cs="Times New Roman"/>
                      <w:color w:val="auto"/>
                      <w:szCs w:val="21"/>
                      <w:lang w:val="en-US" w:eastAsia="zh-CN"/>
                    </w:rPr>
                    <w:t>轻钙</w:t>
                  </w:r>
                </w:p>
              </w:tc>
              <w:tc>
                <w:tcPr>
                  <w:tcW w:w="1993" w:type="dxa"/>
                  <w:vAlign w:val="center"/>
                </w:tcPr>
                <w:p w14:paraId="699FC5FF">
                  <w:pPr>
                    <w:adjustRightInd w:val="0"/>
                    <w:jc w:val="center"/>
                    <w:rPr>
                      <w:color w:val="auto"/>
                      <w:szCs w:val="21"/>
                    </w:rPr>
                  </w:pPr>
                  <w:r>
                    <w:rPr>
                      <w:rFonts w:hint="eastAsia" w:ascii="Times New Roman" w:hAnsi="Times New Roman" w:eastAsia="宋体" w:cs="Times New Roman"/>
                      <w:color w:val="auto"/>
                      <w:szCs w:val="21"/>
                      <w:lang w:val="en-US" w:eastAsia="zh-CN"/>
                    </w:rPr>
                    <w:t>140</w:t>
                  </w:r>
                </w:p>
              </w:tc>
              <w:tc>
                <w:tcPr>
                  <w:tcW w:w="2242" w:type="dxa"/>
                  <w:vAlign w:val="center"/>
                </w:tcPr>
                <w:p w14:paraId="05CAFBFB">
                  <w:pPr>
                    <w:jc w:val="center"/>
                    <w:rPr>
                      <w:color w:val="auto"/>
                      <w:szCs w:val="21"/>
                    </w:rPr>
                  </w:pPr>
                </w:p>
              </w:tc>
              <w:tc>
                <w:tcPr>
                  <w:tcW w:w="1743" w:type="dxa"/>
                  <w:vAlign w:val="center"/>
                </w:tcPr>
                <w:p w14:paraId="4955230C">
                  <w:pPr>
                    <w:jc w:val="center"/>
                    <w:rPr>
                      <w:color w:val="auto"/>
                      <w:szCs w:val="21"/>
                    </w:rPr>
                  </w:pPr>
                </w:p>
              </w:tc>
            </w:tr>
            <w:tr w14:paraId="6B02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991" w:type="dxa"/>
                  <w:vAlign w:val="center"/>
                </w:tcPr>
                <w:p w14:paraId="714A2030">
                  <w:pPr>
                    <w:adjustRightIn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合计</w:t>
                  </w:r>
                </w:p>
              </w:tc>
              <w:tc>
                <w:tcPr>
                  <w:tcW w:w="1993" w:type="dxa"/>
                  <w:vAlign w:val="center"/>
                </w:tcPr>
                <w:p w14:paraId="62A4291E">
                  <w:pPr>
                    <w:jc w:val="center"/>
                    <w:rPr>
                      <w:rFonts w:hint="default"/>
                      <w:color w:val="auto"/>
                      <w:szCs w:val="21"/>
                      <w:lang w:val="en-US" w:eastAsia="zh-CN"/>
                    </w:rPr>
                  </w:pPr>
                  <w:r>
                    <w:rPr>
                      <w:rFonts w:hint="eastAsia"/>
                      <w:color w:val="auto"/>
                      <w:szCs w:val="21"/>
                      <w:lang w:val="en-US" w:eastAsia="zh-CN"/>
                    </w:rPr>
                    <w:t>200</w:t>
                  </w:r>
                </w:p>
              </w:tc>
              <w:tc>
                <w:tcPr>
                  <w:tcW w:w="2242" w:type="dxa"/>
                  <w:vAlign w:val="center"/>
                </w:tcPr>
                <w:p w14:paraId="7F28F796">
                  <w:pPr>
                    <w:jc w:val="center"/>
                    <w:rPr>
                      <w:rFonts w:hint="eastAsia"/>
                      <w:color w:val="auto"/>
                      <w:szCs w:val="21"/>
                    </w:rPr>
                  </w:pPr>
                  <w:r>
                    <w:rPr>
                      <w:rFonts w:hint="eastAsia" w:cs="Times New Roman"/>
                      <w:color w:val="auto"/>
                      <w:szCs w:val="21"/>
                      <w:lang w:val="en-US" w:eastAsia="zh-CN"/>
                    </w:rPr>
                    <w:t>合计</w:t>
                  </w:r>
                </w:p>
              </w:tc>
              <w:tc>
                <w:tcPr>
                  <w:tcW w:w="1743" w:type="dxa"/>
                  <w:vAlign w:val="center"/>
                </w:tcPr>
                <w:p w14:paraId="23C2253F">
                  <w:pPr>
                    <w:jc w:val="center"/>
                    <w:rPr>
                      <w:rFonts w:hint="default" w:eastAsia="宋体"/>
                      <w:color w:val="auto"/>
                      <w:szCs w:val="21"/>
                      <w:lang w:val="en-US" w:eastAsia="zh-CN"/>
                    </w:rPr>
                  </w:pPr>
                  <w:r>
                    <w:rPr>
                      <w:rFonts w:hint="eastAsia"/>
                      <w:color w:val="auto"/>
                      <w:lang w:val="en-US" w:eastAsia="zh-CN"/>
                    </w:rPr>
                    <w:t>200</w:t>
                  </w:r>
                </w:p>
              </w:tc>
            </w:tr>
          </w:tbl>
          <w:p w14:paraId="6F46E4AF">
            <w:pPr>
              <w:pStyle w:val="18"/>
              <w:ind w:firstLine="422"/>
              <w:rPr>
                <w:rFonts w:hint="default" w:eastAsia="宋体"/>
                <w:b/>
                <w:bCs/>
                <w:color w:val="auto"/>
                <w:lang w:val="en-US" w:eastAsia="zh-CN"/>
              </w:rPr>
            </w:pPr>
            <w:r>
              <w:rPr>
                <w:rFonts w:hint="eastAsia"/>
                <w:b/>
                <w:bCs/>
                <w:color w:val="auto"/>
                <w:lang w:val="en-US" w:eastAsia="zh-CN"/>
              </w:rPr>
              <w:t>注：本项目产能规模按设计核算，生产过程中存在消耗。</w:t>
            </w:r>
          </w:p>
          <w:p w14:paraId="0294E147">
            <w:pPr>
              <w:pStyle w:val="18"/>
              <w:ind w:firstLine="422"/>
              <w:rPr>
                <w:b/>
                <w:bCs/>
                <w:color w:val="auto"/>
              </w:rPr>
            </w:pPr>
            <w:r>
              <w:rPr>
                <w:b/>
                <w:bCs/>
                <w:color w:val="auto"/>
              </w:rPr>
              <w:t>11、平面布置合理性</w:t>
            </w:r>
          </w:p>
          <w:p w14:paraId="5F47B0F0">
            <w:pPr>
              <w:pStyle w:val="18"/>
              <w:rPr>
                <w:color w:val="auto"/>
              </w:rPr>
            </w:pPr>
            <w:r>
              <w:rPr>
                <w:color w:val="auto"/>
              </w:rPr>
              <w:t>本项目</w:t>
            </w:r>
            <w:r>
              <w:rPr>
                <w:rFonts w:hint="eastAsia"/>
                <w:color w:val="auto"/>
                <w:lang w:val="en-US" w:eastAsia="zh-CN"/>
              </w:rPr>
              <w:t>生产</w:t>
            </w:r>
            <w:r>
              <w:rPr>
                <w:color w:val="auto"/>
              </w:rPr>
              <w:t>厂房4座，</w:t>
            </w:r>
            <w:r>
              <w:rPr>
                <w:rFonts w:hint="eastAsia"/>
                <w:color w:val="auto"/>
                <w:lang w:val="en-US" w:eastAsia="zh-CN"/>
              </w:rPr>
              <w:t>分别作为4条生产线单独使用，生产线之间相互不影响</w:t>
            </w:r>
            <w:r>
              <w:rPr>
                <w:color w:val="auto"/>
              </w:rPr>
              <w:t>，</w:t>
            </w:r>
            <w:r>
              <w:rPr>
                <w:rFonts w:hint="eastAsia"/>
                <w:color w:val="auto"/>
                <w:lang w:val="en-US" w:eastAsia="zh-CN"/>
              </w:rPr>
              <w:t>并且统一设置原料及成品库房</w:t>
            </w:r>
            <w:r>
              <w:rPr>
                <w:color w:val="auto"/>
              </w:rPr>
              <w:t>，用地为规则的矩形，功能分区明确，布局紧凑。</w:t>
            </w:r>
          </w:p>
          <w:p w14:paraId="5EF7301D">
            <w:pPr>
              <w:pStyle w:val="18"/>
              <w:rPr>
                <w:color w:val="auto"/>
              </w:rPr>
            </w:pPr>
            <w:r>
              <w:rPr>
                <w:color w:val="auto"/>
              </w:rPr>
              <w:t>项目设置在主要生产车间均设置2个出入口，出入口实现了人物分流。整体上项目车间布置按照生产工艺流程顺序布置，建设项目根据生产工艺流程、运输、防火、环保等方面的需要进行厂区总体布置，合理划分管理区、工艺生产区及储运设施区。车间内设备按照工艺流程呈线性布置，形成流水线操作，工艺衔接流畅。整个生产过程从原料到产品物料输送顺畅便利，物流短捷，人流、物流互不交叉干扰，有利于减少物料输送的距离，节约能耗，有利于生产过程中的劳动保护和环境管理。本项目环保措施设备根据生产车间产污环节对应建设废气等环保设施，把高噪设备布置在厂房中心区域；有利于环境管理和厂界噪声达标排放，排气筒布置在厂区</w:t>
            </w:r>
            <w:r>
              <w:rPr>
                <w:rFonts w:hint="eastAsia"/>
                <w:color w:val="auto"/>
              </w:rPr>
              <w:t>西</w:t>
            </w:r>
            <w:r>
              <w:rPr>
                <w:color w:val="auto"/>
              </w:rPr>
              <w:t>侧。</w:t>
            </w:r>
          </w:p>
          <w:p w14:paraId="51D60960">
            <w:pPr>
              <w:pStyle w:val="18"/>
              <w:rPr>
                <w:color w:val="auto"/>
              </w:rPr>
            </w:pPr>
            <w:r>
              <w:rPr>
                <w:color w:val="auto"/>
              </w:rPr>
              <w:t>根据现场调查，本项目厂界50m范围内无居民集中居住点、学校、医院等声环境敏感目标存在。生产环节产噪设备经采取隔声、减震、密闭消声等措施后，再利用距离衰减作用，可实现厂界噪声达标排放，所在区域环境噪声现状不会发生明显的变化。同时，在厂区建筑物四周、道路两旁、厂区空地均规划适当的绿地，不仅美化了环境，还对消减生产车间粉尘及</w:t>
            </w:r>
            <w:r>
              <w:rPr>
                <w:rFonts w:hint="eastAsia"/>
                <w:color w:val="auto"/>
                <w:lang w:val="en-US" w:eastAsia="zh-CN"/>
              </w:rPr>
              <w:t>臭气</w:t>
            </w:r>
            <w:r>
              <w:rPr>
                <w:color w:val="auto"/>
              </w:rPr>
              <w:t>污染起到了一定积极作用。</w:t>
            </w:r>
          </w:p>
          <w:p w14:paraId="22781D63">
            <w:pPr>
              <w:pStyle w:val="18"/>
              <w:ind w:firstLine="422"/>
              <w:rPr>
                <w:color w:val="auto"/>
              </w:rPr>
            </w:pPr>
            <w:r>
              <w:rPr>
                <w:b/>
                <w:bCs/>
                <w:color w:val="auto"/>
              </w:rPr>
              <w:t>综上所述，本项目</w:t>
            </w:r>
            <w:r>
              <w:rPr>
                <w:rFonts w:hint="eastAsia"/>
                <w:b/>
                <w:bCs/>
                <w:color w:val="auto"/>
                <w:lang w:eastAsia="zh-CN"/>
              </w:rPr>
              <w:t>总体</w:t>
            </w:r>
            <w:r>
              <w:rPr>
                <w:b/>
                <w:bCs/>
                <w:color w:val="auto"/>
              </w:rPr>
              <w:t>布置符合厂区“分区合理、工艺流畅、物流</w:t>
            </w:r>
            <w:r>
              <w:rPr>
                <w:rFonts w:hint="eastAsia"/>
                <w:b/>
                <w:bCs/>
                <w:color w:val="auto"/>
                <w:lang w:eastAsia="zh-CN"/>
              </w:rPr>
              <w:t>便捷</w:t>
            </w:r>
            <w:r>
              <w:rPr>
                <w:b/>
                <w:bCs/>
                <w:color w:val="auto"/>
              </w:rPr>
              <w:t>；突出环保与安全”的原则。</w:t>
            </w:r>
            <w:r>
              <w:rPr>
                <w:color w:val="auto"/>
              </w:rPr>
              <w:t>项目在尽量满足运输、防火、卫生及安全要求的前提下，合理利用土地、功能分区明确、组织协作良好，方便生产联系和管理，避免人流、物流交叉干扰</w:t>
            </w:r>
            <w:r>
              <w:rPr>
                <w:rFonts w:hint="eastAsia"/>
                <w:color w:val="auto"/>
              </w:rPr>
              <w:t>。</w:t>
            </w:r>
          </w:p>
        </w:tc>
      </w:tr>
      <w:tr w14:paraId="23B4C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675" w:type="dxa"/>
            <w:vAlign w:val="center"/>
          </w:tcPr>
          <w:p w14:paraId="6613D92F">
            <w:pPr>
              <w:pStyle w:val="1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385" w:type="dxa"/>
          </w:tcPr>
          <w:p w14:paraId="0AE94B0D">
            <w:pPr>
              <w:pStyle w:val="18"/>
              <w:rPr>
                <w:b/>
                <w:bCs/>
                <w:color w:val="auto"/>
              </w:rPr>
            </w:pPr>
            <w:r>
              <w:rPr>
                <w:b/>
                <w:bCs/>
                <w:color w:val="auto"/>
              </w:rPr>
              <w:t>一、施工期工艺流程及产污分析</w:t>
            </w:r>
          </w:p>
          <w:p w14:paraId="041A183A">
            <w:pPr>
              <w:pStyle w:val="18"/>
              <w:ind w:firstLine="422"/>
              <w:rPr>
                <w:b/>
                <w:bCs/>
                <w:color w:val="auto"/>
              </w:rPr>
            </w:pPr>
            <w:r>
              <w:rPr>
                <w:b/>
                <w:bCs/>
                <w:color w:val="auto"/>
              </w:rPr>
              <w:t>1、工艺流程图示</w:t>
            </w:r>
          </w:p>
          <w:p w14:paraId="1299606F">
            <w:pPr>
              <w:pStyle w:val="18"/>
              <w:ind w:firstLine="422"/>
              <w:rPr>
                <w:color w:val="auto"/>
              </w:rPr>
            </w:pPr>
            <w:r>
              <w:rPr>
                <w:rFonts w:hint="eastAsia"/>
                <w:color w:val="auto"/>
              </w:rPr>
              <w:t>本项目在</w:t>
            </w:r>
            <w:r>
              <w:rPr>
                <w:rFonts w:hint="eastAsia"/>
                <w:color w:val="auto"/>
                <w:lang w:val="en-US" w:eastAsia="zh-CN"/>
              </w:rPr>
              <w:t>空地进行建设厂区（建设单位已于2022年取得建设用地规划许可证，建设单位2023年曾挖过120m</w:t>
            </w:r>
            <w:r>
              <w:rPr>
                <w:rFonts w:hint="eastAsia"/>
                <w:color w:val="auto"/>
                <w:vertAlign w:val="superscript"/>
                <w:lang w:val="en-US" w:eastAsia="zh-CN"/>
              </w:rPr>
              <w:t>3</w:t>
            </w:r>
            <w:r>
              <w:rPr>
                <w:rFonts w:hint="eastAsia"/>
                <w:color w:val="auto"/>
                <w:lang w:val="en-US" w:eastAsia="zh-CN"/>
              </w:rPr>
              <w:t>坑用于内部产品测试，后由于建设单位计划改变，未进行任何试验，现状仅保留小坑，本次基础工程将进行整平）</w:t>
            </w:r>
            <w:r>
              <w:rPr>
                <w:rFonts w:hint="eastAsia"/>
                <w:color w:val="auto"/>
              </w:rPr>
              <w:t>，</w:t>
            </w:r>
            <w:r>
              <w:rPr>
                <w:color w:val="auto"/>
              </w:rPr>
              <w:t>项目工程施工期间，基础工程、主体工程、装饰工程、设备安装、工程验收等工序将产生噪声、扬尘及废气、固体废弃物、污水等污染物，其排放量随工序和施工强度不同而变化，施工期具体的工艺流程及产污环节见图2-2。</w:t>
            </w:r>
          </w:p>
          <w:p w14:paraId="30A2278E">
            <w:pPr>
              <w:pStyle w:val="18"/>
              <w:rPr>
                <w:color w:val="auto"/>
              </w:rPr>
            </w:pPr>
            <w:r>
              <w:rPr>
                <w:color w:val="auto"/>
              </w:rPr>
              <w:drawing>
                <wp:inline distT="0" distB="0" distL="0" distR="0">
                  <wp:extent cx="4144010" cy="295275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151221" cy="2957535"/>
                          </a:xfrm>
                          <a:prstGeom prst="rect">
                            <a:avLst/>
                          </a:prstGeom>
                        </pic:spPr>
                      </pic:pic>
                    </a:graphicData>
                  </a:graphic>
                </wp:inline>
              </w:drawing>
            </w:r>
          </w:p>
          <w:p w14:paraId="2A11FF62">
            <w:pPr>
              <w:autoSpaceDE w:val="0"/>
              <w:autoSpaceDN w:val="0"/>
              <w:adjustRightInd w:val="0"/>
              <w:snapToGrid w:val="0"/>
              <w:jc w:val="center"/>
              <w:rPr>
                <w:b/>
                <w:bCs/>
                <w:color w:val="auto"/>
                <w:kern w:val="0"/>
                <w:szCs w:val="21"/>
              </w:rPr>
            </w:pPr>
            <w:r>
              <w:rPr>
                <w:b/>
                <w:bCs/>
                <w:color w:val="auto"/>
                <w:kern w:val="0"/>
                <w:szCs w:val="21"/>
              </w:rPr>
              <w:t>图2-2施工期工艺流程及产物节点图</w:t>
            </w:r>
          </w:p>
          <w:p w14:paraId="7FD543BE">
            <w:pPr>
              <w:pStyle w:val="18"/>
              <w:rPr>
                <w:rFonts w:hint="default" w:eastAsia="宋体"/>
                <w:color w:val="auto"/>
                <w:lang w:val="en-US" w:eastAsia="zh-CN"/>
              </w:rPr>
            </w:pPr>
            <w:r>
              <w:rPr>
                <w:color w:val="auto"/>
              </w:rPr>
              <w:t>1）</w:t>
            </w:r>
            <w:r>
              <w:rPr>
                <w:rFonts w:hint="eastAsia"/>
                <w:color w:val="auto"/>
                <w:lang w:val="en-US" w:eastAsia="zh-CN"/>
              </w:rPr>
              <w:t>基础工程施工</w:t>
            </w:r>
          </w:p>
          <w:p w14:paraId="2E531BFE">
            <w:pPr>
              <w:pStyle w:val="18"/>
              <w:rPr>
                <w:color w:val="auto"/>
              </w:rPr>
            </w:pPr>
            <w:r>
              <w:rPr>
                <w:color w:val="auto"/>
              </w:rPr>
              <w:t>在基础工程施工阶段（包括地基处理、基础施工等），产生的污染源主要有打桩机、挖掘机、打夯机、装载机等运行时产生的噪声，同时还有弃土和扬尘。</w:t>
            </w:r>
          </w:p>
          <w:p w14:paraId="016B1DD7">
            <w:pPr>
              <w:pStyle w:val="18"/>
              <w:rPr>
                <w:color w:val="auto"/>
              </w:rPr>
            </w:pPr>
            <w:r>
              <w:rPr>
                <w:color w:val="auto"/>
              </w:rPr>
              <w:t>2）主体工程施工</w:t>
            </w:r>
          </w:p>
          <w:p w14:paraId="758106EE">
            <w:pPr>
              <w:pStyle w:val="18"/>
              <w:rPr>
                <w:color w:val="auto"/>
              </w:rPr>
            </w:pPr>
            <w:r>
              <w:rPr>
                <w:color w:val="auto"/>
              </w:rPr>
              <w:t>主体工程施工过程中将产生混凝土搅拌、混凝土振捣及模板拆除等施工工序的运行噪声；运输过程中的扬尘等环境问题。</w:t>
            </w:r>
          </w:p>
          <w:p w14:paraId="4BF5C096">
            <w:pPr>
              <w:pStyle w:val="18"/>
              <w:rPr>
                <w:color w:val="auto"/>
              </w:rPr>
            </w:pPr>
            <w:r>
              <w:rPr>
                <w:color w:val="auto"/>
              </w:rPr>
              <w:t>3）装修工程施工</w:t>
            </w:r>
          </w:p>
          <w:p w14:paraId="3CC74842">
            <w:pPr>
              <w:pStyle w:val="18"/>
              <w:rPr>
                <w:color w:val="auto"/>
              </w:rPr>
            </w:pPr>
            <w:r>
              <w:rPr>
                <w:color w:val="auto"/>
              </w:rPr>
              <w:t>在对建筑物的室内外进行装修时，钻机、电锤、切割机等产生噪声，油漆和喷涂产生废气，废弃物</w:t>
            </w:r>
            <w:r>
              <w:rPr>
                <w:rFonts w:hint="eastAsia"/>
                <w:color w:val="auto"/>
              </w:rPr>
              <w:t>及</w:t>
            </w:r>
            <w:r>
              <w:rPr>
                <w:color w:val="auto"/>
              </w:rPr>
              <w:t>污水。</w:t>
            </w:r>
          </w:p>
          <w:p w14:paraId="7067931B">
            <w:pPr>
              <w:pStyle w:val="18"/>
              <w:rPr>
                <w:color w:val="auto"/>
              </w:rPr>
            </w:pPr>
            <w:r>
              <w:rPr>
                <w:color w:val="auto"/>
              </w:rPr>
              <w:t>2、施工期主要污染工序</w:t>
            </w:r>
          </w:p>
          <w:p w14:paraId="277157D7">
            <w:pPr>
              <w:pStyle w:val="18"/>
              <w:rPr>
                <w:color w:val="auto"/>
              </w:rPr>
            </w:pPr>
            <w:r>
              <w:rPr>
                <w:color w:val="auto"/>
              </w:rPr>
              <w:t>项目施工期间不安排施工人员现场住宿，施工现场不建施工营地与食堂，厕所利用区域设施。施工期主要的污染工序包括：</w:t>
            </w:r>
          </w:p>
          <w:p w14:paraId="04E8FD2E">
            <w:pPr>
              <w:pStyle w:val="18"/>
              <w:rPr>
                <w:rFonts w:hint="eastAsia"/>
                <w:color w:val="auto"/>
              </w:rPr>
            </w:pPr>
            <w:r>
              <w:rPr>
                <w:rFonts w:hint="eastAsia"/>
                <w:color w:val="auto"/>
              </w:rPr>
              <w:t>噪声：主要为场地平整产生的机械设备噪声和设备安装时产生的噪声</w:t>
            </w:r>
            <w:r>
              <w:rPr>
                <w:rFonts w:hint="eastAsia"/>
                <w:color w:val="auto"/>
                <w:lang w:val="en-US" w:eastAsia="zh-CN"/>
              </w:rPr>
              <w:t>等</w:t>
            </w:r>
            <w:r>
              <w:rPr>
                <w:rFonts w:hint="eastAsia"/>
                <w:color w:val="auto"/>
              </w:rPr>
              <w:t>。</w:t>
            </w:r>
          </w:p>
          <w:p w14:paraId="1E855152">
            <w:pPr>
              <w:pStyle w:val="18"/>
              <w:rPr>
                <w:rFonts w:hint="eastAsia"/>
                <w:color w:val="auto"/>
              </w:rPr>
            </w:pPr>
            <w:r>
              <w:rPr>
                <w:rFonts w:hint="eastAsia"/>
                <w:color w:val="auto"/>
              </w:rPr>
              <w:t>固废：主要为生活垃圾、废包装材料、施工弃土</w:t>
            </w:r>
            <w:r>
              <w:rPr>
                <w:rFonts w:hint="eastAsia"/>
                <w:color w:val="auto"/>
                <w:lang w:val="en-US" w:eastAsia="zh-CN"/>
              </w:rPr>
              <w:t>等</w:t>
            </w:r>
            <w:r>
              <w:rPr>
                <w:rFonts w:hint="eastAsia"/>
                <w:color w:val="auto"/>
              </w:rPr>
              <w:t>。</w:t>
            </w:r>
          </w:p>
          <w:p w14:paraId="36EDE999">
            <w:pPr>
              <w:pStyle w:val="18"/>
              <w:rPr>
                <w:rFonts w:hint="eastAsia"/>
                <w:color w:val="auto"/>
              </w:rPr>
            </w:pPr>
            <w:r>
              <w:rPr>
                <w:rFonts w:hint="eastAsia"/>
                <w:color w:val="auto"/>
              </w:rPr>
              <w:t>废水：主要为工人生活污水、车辆清洗废水、混凝土搅拌废水</w:t>
            </w:r>
            <w:r>
              <w:rPr>
                <w:rFonts w:hint="eastAsia"/>
                <w:color w:val="auto"/>
                <w:lang w:val="en-US" w:eastAsia="zh-CN"/>
              </w:rPr>
              <w:t>等</w:t>
            </w:r>
            <w:r>
              <w:rPr>
                <w:rFonts w:hint="eastAsia"/>
                <w:color w:val="auto"/>
              </w:rPr>
              <w:t>。</w:t>
            </w:r>
          </w:p>
          <w:p w14:paraId="101F0768">
            <w:pPr>
              <w:pStyle w:val="18"/>
              <w:rPr>
                <w:rFonts w:hint="eastAsia"/>
                <w:color w:val="auto"/>
              </w:rPr>
            </w:pPr>
            <w:r>
              <w:rPr>
                <w:rFonts w:hint="eastAsia"/>
                <w:color w:val="auto"/>
              </w:rPr>
              <w:t>废气：主要为机械设备燃油废气以及扬尘</w:t>
            </w:r>
            <w:r>
              <w:rPr>
                <w:rFonts w:hint="eastAsia"/>
                <w:color w:val="auto"/>
                <w:lang w:val="en-US" w:eastAsia="zh-CN"/>
              </w:rPr>
              <w:t>等</w:t>
            </w:r>
            <w:r>
              <w:rPr>
                <w:rFonts w:hint="eastAsia"/>
                <w:color w:val="auto"/>
              </w:rPr>
              <w:t>。</w:t>
            </w:r>
          </w:p>
          <w:p w14:paraId="75DCDBDB">
            <w:pPr>
              <w:pStyle w:val="18"/>
              <w:rPr>
                <w:color w:val="auto"/>
              </w:rPr>
            </w:pPr>
            <w:r>
              <w:rPr>
                <w:color w:val="auto"/>
              </w:rPr>
              <w:t>生态影响</w:t>
            </w:r>
            <w:r>
              <w:rPr>
                <w:rFonts w:hint="eastAsia"/>
                <w:color w:val="auto"/>
                <w:lang w:eastAsia="zh-CN"/>
              </w:rPr>
              <w:t>：</w:t>
            </w:r>
            <w:r>
              <w:rPr>
                <w:color w:val="auto"/>
              </w:rPr>
              <w:t>项目工程施工期间将破坏少量植被，并造成一定水土流失。</w:t>
            </w:r>
          </w:p>
          <w:p w14:paraId="066EEFD5">
            <w:pPr>
              <w:pStyle w:val="18"/>
              <w:rPr>
                <w:b/>
                <w:bCs/>
                <w:color w:val="auto"/>
              </w:rPr>
            </w:pPr>
            <w:r>
              <w:rPr>
                <w:rFonts w:hint="eastAsia"/>
                <w:b/>
                <w:bCs/>
                <w:color w:val="auto"/>
              </w:rPr>
              <w:t>综上所述，施工期环境污染问题主要是：建筑扬尘、施工弃土、施工期噪声、生活污水和混凝土搅拌废水等。这些污染存在于整个施工过程，但不同污染因子在不同施工阶段污染强度不同。</w:t>
            </w:r>
          </w:p>
          <w:p w14:paraId="19BB46CA">
            <w:pPr>
              <w:pStyle w:val="18"/>
              <w:rPr>
                <w:color w:val="auto"/>
              </w:rPr>
            </w:pPr>
            <w:r>
              <w:rPr>
                <w:color w:val="auto"/>
              </w:rPr>
              <w:t>二、运营期工艺流程及产污分析</w:t>
            </w:r>
          </w:p>
          <w:p w14:paraId="66E0C6CE">
            <w:pPr>
              <w:pStyle w:val="18"/>
              <w:rPr>
                <w:color w:val="auto"/>
              </w:rPr>
            </w:pPr>
            <w:r>
              <w:rPr>
                <w:rFonts w:hint="eastAsia"/>
                <w:b/>
                <w:bCs/>
                <w:color w:val="auto"/>
              </w:rPr>
              <w:t>工艺简述：本项目将各农药原药、各类助剂等原辅料经投料、搅拌混合后进行分装，生产过程中无化学反应</w:t>
            </w:r>
            <w:r>
              <w:rPr>
                <w:rFonts w:hint="eastAsia"/>
                <w:color w:val="auto"/>
              </w:rPr>
              <w:t>。</w:t>
            </w:r>
          </w:p>
          <w:p w14:paraId="3187DB9C">
            <w:pPr>
              <w:pStyle w:val="18"/>
              <w:rPr>
                <w:rFonts w:hint="eastAsia"/>
                <w:b/>
                <w:bCs/>
                <w:color w:val="auto"/>
                <w:lang w:val="en-US" w:eastAsia="zh-CN"/>
              </w:rPr>
            </w:pPr>
            <w:r>
              <w:rPr>
                <w:rFonts w:hint="eastAsia"/>
                <w:b/>
                <w:bCs/>
                <w:color w:val="auto"/>
                <w:lang w:val="en-US" w:eastAsia="zh-CN"/>
              </w:rPr>
              <w:t>1、悬浮剂</w:t>
            </w:r>
          </w:p>
          <w:p w14:paraId="111C3208">
            <w:pPr>
              <w:pStyle w:val="18"/>
              <w:rPr>
                <w:rFonts w:hint="default"/>
                <w:color w:val="auto"/>
                <w:lang w:val="en-US" w:eastAsia="zh-CN"/>
              </w:rPr>
            </w:pPr>
            <w:r>
              <w:rPr>
                <w:rFonts w:hint="eastAsia"/>
                <w:color w:val="auto"/>
                <w:lang w:val="en-US" w:eastAsia="zh-CN"/>
              </w:rPr>
              <w:t>悬浮剂是农药有效成份以固体微粒分散在介质中形成稳定的悬浮制剂，使用前一般用水稀释。悬浮剂相比其他制剂一是安全环保，二是药效好。生产过程中不使用易燃易爆的有机溶剂，对生产者和使用者比较安全，贮存和运输比较方便，对环境安全。本项目采用纯水作为介质，更安全环保。</w:t>
            </w:r>
          </w:p>
          <w:p w14:paraId="6D6B2B64">
            <w:pPr>
              <w:pStyle w:val="18"/>
              <w:rPr>
                <w:rFonts w:hint="default"/>
                <w:color w:val="auto"/>
                <w:lang w:val="en-US" w:eastAsia="zh-CN"/>
              </w:rPr>
            </w:pPr>
            <w:r>
              <w:rPr>
                <w:rFonts w:hint="eastAsia"/>
                <w:color w:val="auto"/>
                <w:lang w:val="en-US" w:eastAsia="zh-CN"/>
              </w:rPr>
              <w:t>投料量按配方通过计量罐准确计量、准确投入。依次投入有效成分农药和主剂、溶剂进行混配，水和助剂在另外的配制罐中混合后再投入调配罐一起混合，混合后的物料经剪切、砂磨，</w:t>
            </w:r>
            <w:r>
              <w:rPr>
                <w:rFonts w:hint="eastAsia"/>
                <w:b/>
                <w:bCs/>
                <w:color w:val="auto"/>
                <w:lang w:val="en-US" w:eastAsia="zh-CN"/>
              </w:rPr>
              <w:t>然后取样检测，检测不合格的返回调配罐搅拌混合，检测合格的去包装，合格的产品入库</w:t>
            </w:r>
            <w:r>
              <w:rPr>
                <w:rFonts w:hint="eastAsia"/>
                <w:color w:val="auto"/>
                <w:lang w:val="en-US" w:eastAsia="zh-CN"/>
              </w:rPr>
              <w:t>。本项目采用纯水作为溶剂，且原辅料性质稳定，生产过程常温加工，因此生产过程中原辅料基本不分解或挥发。</w:t>
            </w:r>
          </w:p>
          <w:p w14:paraId="249263CF">
            <w:pPr>
              <w:pStyle w:val="18"/>
              <w:rPr>
                <w:rFonts w:hint="eastAsia"/>
                <w:b/>
                <w:bCs/>
                <w:color w:val="auto"/>
                <w:lang w:val="en-US" w:eastAsia="zh-CN"/>
              </w:rPr>
            </w:pPr>
            <w:r>
              <w:rPr>
                <w:rFonts w:hint="eastAsia"/>
                <w:b/>
                <w:bCs/>
                <w:color w:val="auto"/>
                <w:lang w:val="en-US" w:eastAsia="zh-CN"/>
              </w:rPr>
              <w:t>此工艺中主要为投料口废气、设备噪声、不合格品、检验固废。</w:t>
            </w:r>
          </w:p>
          <w:p w14:paraId="1A77B68B">
            <w:pPr>
              <w:rPr>
                <w:rFonts w:hint="eastAsia"/>
                <w:b/>
                <w:bCs/>
                <w:color w:val="auto"/>
                <w:lang w:val="en-US" w:eastAsia="zh-CN"/>
              </w:rPr>
            </w:pPr>
          </w:p>
          <w:p w14:paraId="63AE8B83">
            <w:pPr>
              <w:rPr>
                <w:rFonts w:hint="eastAsia"/>
                <w:b/>
                <w:bCs/>
                <w:color w:val="auto"/>
                <w:lang w:val="en-US" w:eastAsia="zh-CN"/>
              </w:rPr>
            </w:pPr>
          </w:p>
          <w:p w14:paraId="1C2F6A3A">
            <w:pPr>
              <w:rPr>
                <w:rFonts w:hint="eastAsia"/>
                <w:b/>
                <w:bCs/>
                <w:color w:val="auto"/>
                <w:lang w:val="en-US" w:eastAsia="zh-CN"/>
              </w:rPr>
            </w:pPr>
          </w:p>
          <w:p w14:paraId="0C8F0893">
            <w:pPr>
              <w:rPr>
                <w:rFonts w:hint="eastAsia"/>
                <w:b/>
                <w:bCs/>
                <w:color w:val="auto"/>
                <w:lang w:val="en-US" w:eastAsia="zh-CN"/>
              </w:rPr>
            </w:pPr>
          </w:p>
          <w:p w14:paraId="44FFF0AD">
            <w:pPr>
              <w:rPr>
                <w:rFonts w:hint="eastAsia"/>
                <w:b/>
                <w:bCs/>
                <w:color w:val="auto"/>
                <w:lang w:val="en-US" w:eastAsia="zh-CN"/>
              </w:rPr>
            </w:pPr>
          </w:p>
          <w:p w14:paraId="5FE419DC">
            <w:pPr>
              <w:rPr>
                <w:rFonts w:hint="eastAsia"/>
                <w:b/>
                <w:bCs/>
                <w:color w:val="auto"/>
                <w:lang w:val="en-US" w:eastAsia="zh-CN"/>
              </w:rPr>
            </w:pPr>
          </w:p>
          <w:p w14:paraId="54B117C1">
            <w:pPr>
              <w:rPr>
                <w:rFonts w:hint="eastAsia"/>
                <w:b/>
                <w:bCs/>
                <w:color w:val="auto"/>
                <w:lang w:val="en-US" w:eastAsia="zh-CN"/>
              </w:rPr>
            </w:pPr>
          </w:p>
          <w:p w14:paraId="4D77496F">
            <w:pPr>
              <w:rPr>
                <w:rFonts w:hint="eastAsia"/>
                <w:b/>
                <w:bCs/>
                <w:color w:val="auto"/>
                <w:lang w:val="en-US" w:eastAsia="zh-CN"/>
              </w:rPr>
            </w:pPr>
          </w:p>
          <w:p w14:paraId="1866AE98">
            <w:pPr>
              <w:rPr>
                <w:rFonts w:hint="eastAsia"/>
                <w:b/>
                <w:bCs/>
                <w:color w:val="auto"/>
                <w:lang w:val="en-US" w:eastAsia="zh-CN"/>
              </w:rPr>
            </w:pPr>
          </w:p>
          <w:p w14:paraId="0E02A36F">
            <w:pPr>
              <w:rPr>
                <w:rFonts w:hint="eastAsia"/>
                <w:b/>
                <w:bCs/>
                <w:color w:val="auto"/>
                <w:lang w:val="en-US" w:eastAsia="zh-CN"/>
              </w:rPr>
            </w:pPr>
          </w:p>
          <w:p w14:paraId="4DBC9F4A">
            <w:pPr>
              <w:rPr>
                <w:rFonts w:hint="eastAsia"/>
                <w:b/>
                <w:bCs/>
                <w:color w:val="auto"/>
                <w:lang w:val="en-US" w:eastAsia="zh-CN"/>
              </w:rPr>
            </w:pPr>
          </w:p>
          <w:p w14:paraId="3443745C">
            <w:pPr>
              <w:rPr>
                <w:rFonts w:hint="eastAsia"/>
                <w:b/>
                <w:bCs/>
                <w:color w:val="auto"/>
                <w:lang w:val="en-US" w:eastAsia="zh-CN"/>
              </w:rPr>
            </w:pPr>
          </w:p>
          <w:p w14:paraId="5CB9E133">
            <w:pPr>
              <w:rPr>
                <w:rFonts w:hint="eastAsia"/>
                <w:b/>
                <w:bCs/>
                <w:color w:val="auto"/>
                <w:lang w:val="en-US" w:eastAsia="zh-CN"/>
              </w:rPr>
            </w:pPr>
          </w:p>
          <w:p w14:paraId="5CFA0745">
            <w:pPr>
              <w:rPr>
                <w:rFonts w:hint="eastAsia"/>
                <w:b/>
                <w:bCs/>
                <w:color w:val="auto"/>
                <w:lang w:val="en-US" w:eastAsia="zh-CN"/>
              </w:rPr>
            </w:pPr>
          </w:p>
          <w:p w14:paraId="0D6289C9">
            <w:pPr>
              <w:rPr>
                <w:rFonts w:hint="eastAsia"/>
                <w:b/>
                <w:bCs/>
                <w:color w:val="auto"/>
                <w:lang w:val="en-US" w:eastAsia="zh-CN"/>
              </w:rPr>
            </w:pPr>
          </w:p>
          <w:p w14:paraId="05FB215E">
            <w:pPr>
              <w:rPr>
                <w:rFonts w:hint="eastAsia"/>
                <w:b/>
                <w:bCs/>
                <w:color w:val="auto"/>
                <w:lang w:val="en-US" w:eastAsia="zh-CN"/>
              </w:rPr>
            </w:pPr>
          </w:p>
          <w:p w14:paraId="1EC3223B">
            <w:pPr>
              <w:rPr>
                <w:rFonts w:hint="eastAsia"/>
                <w:b/>
                <w:bCs/>
                <w:color w:val="auto"/>
                <w:lang w:val="en-US" w:eastAsia="zh-CN"/>
              </w:rPr>
            </w:pPr>
          </w:p>
          <w:p w14:paraId="1884306E">
            <w:pPr>
              <w:rPr>
                <w:rFonts w:hint="eastAsia"/>
                <w:b/>
                <w:bCs/>
                <w:color w:val="auto"/>
                <w:lang w:val="en-US" w:eastAsia="zh-CN"/>
              </w:rPr>
            </w:pPr>
          </w:p>
          <w:p w14:paraId="3AC5A4B2">
            <w:pPr>
              <w:rPr>
                <w:rFonts w:hint="eastAsia"/>
                <w:b/>
                <w:bCs/>
                <w:color w:val="auto"/>
                <w:lang w:val="en-US" w:eastAsia="zh-CN"/>
              </w:rPr>
            </w:pPr>
          </w:p>
          <w:p w14:paraId="2EAD5B3E">
            <w:pPr>
              <w:rPr>
                <w:rFonts w:hint="eastAsia"/>
                <w:b/>
                <w:bCs/>
                <w:color w:val="auto"/>
                <w:lang w:val="en-US" w:eastAsia="zh-CN"/>
              </w:rPr>
            </w:pPr>
          </w:p>
          <w:p w14:paraId="77DA1C7E">
            <w:pPr>
              <w:rPr>
                <w:rFonts w:hint="eastAsia"/>
                <w:b/>
                <w:bCs/>
                <w:color w:val="auto"/>
                <w:lang w:val="en-US" w:eastAsia="zh-CN"/>
              </w:rPr>
            </w:pPr>
          </w:p>
          <w:p w14:paraId="33EFD17E">
            <w:pPr>
              <w:rPr>
                <w:rFonts w:hint="eastAsia"/>
                <w:b/>
                <w:bCs/>
                <w:color w:val="auto"/>
                <w:lang w:val="en-US" w:eastAsia="zh-CN"/>
              </w:rPr>
            </w:pPr>
          </w:p>
          <w:p w14:paraId="7B8F56B1">
            <w:pPr>
              <w:rPr>
                <w:rFonts w:hint="eastAsia"/>
                <w:b/>
                <w:bCs/>
                <w:color w:val="auto"/>
                <w:lang w:val="en-US" w:eastAsia="zh-CN"/>
              </w:rPr>
            </w:pPr>
          </w:p>
          <w:p w14:paraId="3770DC1F">
            <w:pPr>
              <w:rPr>
                <w:rFonts w:hint="eastAsia"/>
                <w:b/>
                <w:bCs/>
                <w:color w:val="auto"/>
                <w:lang w:val="en-US" w:eastAsia="zh-CN"/>
              </w:rPr>
            </w:pPr>
          </w:p>
          <w:p w14:paraId="697EB4C4">
            <w:pPr>
              <w:rPr>
                <w:rFonts w:hint="eastAsia"/>
                <w:b/>
                <w:bCs/>
                <w:color w:val="auto"/>
                <w:lang w:val="en-US" w:eastAsia="zh-CN"/>
              </w:rPr>
            </w:pPr>
          </w:p>
          <w:p w14:paraId="7CD57F96">
            <w:pPr>
              <w:rPr>
                <w:rFonts w:hint="eastAsia"/>
                <w:b/>
                <w:bCs/>
                <w:color w:val="auto"/>
                <w:lang w:val="en-US" w:eastAsia="zh-CN"/>
              </w:rPr>
            </w:pPr>
          </w:p>
          <w:p w14:paraId="0AC0E826">
            <w:pPr>
              <w:rPr>
                <w:rFonts w:hint="eastAsia"/>
                <w:b/>
                <w:bCs/>
                <w:color w:val="auto"/>
                <w:lang w:val="en-US" w:eastAsia="zh-CN"/>
              </w:rPr>
            </w:pPr>
          </w:p>
          <w:p w14:paraId="5B506CD8">
            <w:pPr>
              <w:rPr>
                <w:rFonts w:hint="eastAsia"/>
                <w:b/>
                <w:bCs/>
                <w:color w:val="auto"/>
                <w:lang w:val="en-US" w:eastAsia="zh-CN"/>
              </w:rPr>
            </w:pPr>
          </w:p>
          <w:p w14:paraId="17376254">
            <w:pPr>
              <w:rPr>
                <w:rFonts w:hint="eastAsia"/>
                <w:b/>
                <w:bCs/>
                <w:color w:val="auto"/>
                <w:lang w:val="en-US" w:eastAsia="zh-CN"/>
              </w:rPr>
            </w:pPr>
          </w:p>
          <w:p w14:paraId="713A75BA">
            <w:pPr>
              <w:rPr>
                <w:rFonts w:hint="eastAsia"/>
                <w:b/>
                <w:bCs/>
                <w:color w:val="auto"/>
                <w:lang w:val="en-US" w:eastAsia="zh-CN"/>
              </w:rPr>
            </w:pPr>
          </w:p>
          <w:p w14:paraId="7A7B9FD9">
            <w:pPr>
              <w:rPr>
                <w:rFonts w:hint="default"/>
                <w:b/>
                <w:bCs/>
                <w:color w:val="auto"/>
                <w:lang w:val="en-US" w:eastAsia="zh-CN"/>
              </w:rPr>
            </w:pPr>
          </w:p>
          <w:p w14:paraId="3E049998">
            <w:pPr>
              <w:pStyle w:val="18"/>
              <w:jc w:val="center"/>
              <w:rPr>
                <w:rFonts w:hint="eastAsia"/>
                <w:color w:val="auto"/>
                <w:lang w:val="en-US" w:eastAsia="zh-CN"/>
              </w:rPr>
            </w:pPr>
            <w:r>
              <w:rPr>
                <w:color w:val="auto"/>
              </w:rPr>
              <w:drawing>
                <wp:inline distT="0" distB="0" distL="114300" distR="114300">
                  <wp:extent cx="3641090" cy="5516245"/>
                  <wp:effectExtent l="0" t="0" r="16510"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a:stretch>
                            <a:fillRect/>
                          </a:stretch>
                        </pic:blipFill>
                        <pic:spPr>
                          <a:xfrm>
                            <a:off x="0" y="0"/>
                            <a:ext cx="3641090" cy="5516245"/>
                          </a:xfrm>
                          <a:prstGeom prst="rect">
                            <a:avLst/>
                          </a:prstGeom>
                          <a:noFill/>
                          <a:ln>
                            <a:noFill/>
                          </a:ln>
                        </pic:spPr>
                      </pic:pic>
                    </a:graphicData>
                  </a:graphic>
                </wp:inline>
              </w:drawing>
            </w:r>
          </w:p>
          <w:p w14:paraId="4D6CFA9B">
            <w:pPr>
              <w:autoSpaceDE w:val="0"/>
              <w:autoSpaceDN w:val="0"/>
              <w:adjustRightInd w:val="0"/>
              <w:snapToGrid w:val="0"/>
              <w:jc w:val="center"/>
              <w:rPr>
                <w:b/>
                <w:bCs/>
                <w:color w:val="auto"/>
                <w:kern w:val="0"/>
                <w:szCs w:val="21"/>
              </w:rPr>
            </w:pPr>
            <w:r>
              <w:rPr>
                <w:b/>
                <w:bCs/>
                <w:color w:val="auto"/>
                <w:kern w:val="0"/>
                <w:szCs w:val="21"/>
              </w:rPr>
              <w:t>图2-3运营期</w:t>
            </w:r>
            <w:r>
              <w:rPr>
                <w:rFonts w:hint="eastAsia"/>
                <w:b/>
                <w:bCs/>
                <w:color w:val="auto"/>
                <w:kern w:val="0"/>
                <w:szCs w:val="21"/>
              </w:rPr>
              <w:t>悬浮剂</w:t>
            </w:r>
            <w:r>
              <w:rPr>
                <w:b/>
                <w:bCs/>
                <w:color w:val="auto"/>
                <w:kern w:val="0"/>
                <w:szCs w:val="21"/>
              </w:rPr>
              <w:t>生产工艺流程及产污位置图</w:t>
            </w:r>
          </w:p>
          <w:p w14:paraId="0A5E13E3">
            <w:pPr>
              <w:pStyle w:val="18"/>
              <w:ind w:firstLine="422"/>
              <w:rPr>
                <w:rFonts w:hint="default" w:eastAsia="宋体"/>
                <w:b/>
                <w:bCs/>
                <w:color w:val="auto"/>
                <w:lang w:val="en-US" w:eastAsia="zh-CN"/>
              </w:rPr>
            </w:pPr>
            <w:r>
              <w:rPr>
                <w:rFonts w:hint="eastAsia"/>
                <w:b/>
                <w:bCs/>
                <w:color w:val="auto"/>
                <w:lang w:val="en-US" w:eastAsia="zh-CN"/>
              </w:rPr>
              <w:t>2、水剂</w:t>
            </w:r>
          </w:p>
          <w:p w14:paraId="72948323">
            <w:pPr>
              <w:pStyle w:val="18"/>
              <w:rPr>
                <w:rFonts w:hint="eastAsia"/>
                <w:color w:val="auto"/>
                <w:lang w:val="en-US" w:eastAsia="zh-CN"/>
              </w:rPr>
            </w:pPr>
            <w:r>
              <w:rPr>
                <w:rFonts w:hint="eastAsia"/>
                <w:color w:val="auto"/>
                <w:lang w:val="en-US" w:eastAsia="zh-CN"/>
              </w:rPr>
              <w:t>水剂：凡能溶于水、在水中又不分解的农药，均可配制成水剂。</w:t>
            </w:r>
          </w:p>
          <w:p w14:paraId="3DE37D75">
            <w:pPr>
              <w:pStyle w:val="18"/>
              <w:rPr>
                <w:rFonts w:hint="eastAsia"/>
                <w:color w:val="auto"/>
                <w:lang w:val="en-US" w:eastAsia="zh-CN"/>
              </w:rPr>
            </w:pPr>
            <w:r>
              <w:rPr>
                <w:rFonts w:hint="eastAsia"/>
                <w:color w:val="auto"/>
                <w:lang w:val="en-US" w:eastAsia="zh-CN"/>
              </w:rPr>
              <w:t>水剂是农药原药的水溶液，药剂以离子或分子状态均匀分散在水中，药剂的浓度取决于原药的水溶解度，一般情况是其最大溶解度，使用时再兑水稀释。</w:t>
            </w:r>
          </w:p>
          <w:p w14:paraId="4B79554D">
            <w:pPr>
              <w:pStyle w:val="18"/>
              <w:rPr>
                <w:rFonts w:hint="default"/>
                <w:color w:val="auto"/>
                <w:lang w:val="en-US" w:eastAsia="zh-CN"/>
              </w:rPr>
            </w:pPr>
            <w:r>
              <w:rPr>
                <w:rFonts w:hint="eastAsia"/>
                <w:color w:val="auto"/>
                <w:lang w:val="en-US" w:eastAsia="zh-CN"/>
              </w:rPr>
              <w:t>将原药、乳化剂和水比例放置于计量罐中，由管道通入密封的反应釜中，在反应釜中进行搅拌混合均匀30分钟以上，待各项指标检测合格后，进行分装，入库，得成品。本项目采用纯水作为溶剂，且原辅料性质稳定，生产过程常温加工，因此生产过程中原辅料基本不分解或挥发，混合后过程均为液体，搅拌不产生粉尘等废气。</w:t>
            </w:r>
          </w:p>
          <w:p w14:paraId="396960D2">
            <w:pPr>
              <w:pStyle w:val="18"/>
              <w:rPr>
                <w:rFonts w:hint="default"/>
                <w:b/>
                <w:bCs/>
                <w:color w:val="auto"/>
                <w:lang w:val="en-US" w:eastAsia="zh-CN"/>
              </w:rPr>
            </w:pPr>
            <w:r>
              <w:rPr>
                <w:rFonts w:hint="eastAsia"/>
                <w:b/>
                <w:bCs/>
                <w:color w:val="auto"/>
                <w:lang w:val="en-US" w:eastAsia="zh-CN"/>
              </w:rPr>
              <w:t>此工艺中主要为投料口废气、设备噪声、不合格品、检验固废。</w:t>
            </w:r>
          </w:p>
          <w:p w14:paraId="7863EBBC">
            <w:pPr>
              <w:autoSpaceDE w:val="0"/>
              <w:autoSpaceDN w:val="0"/>
              <w:adjustRightInd w:val="0"/>
              <w:snapToGrid w:val="0"/>
              <w:jc w:val="center"/>
              <w:rPr>
                <w:b/>
                <w:bCs/>
                <w:color w:val="auto"/>
                <w:kern w:val="0"/>
                <w:szCs w:val="21"/>
              </w:rPr>
            </w:pPr>
            <w:r>
              <w:rPr>
                <w:color w:val="auto"/>
              </w:rPr>
              <w:drawing>
                <wp:inline distT="0" distB="0" distL="114300" distR="114300">
                  <wp:extent cx="3574415" cy="4028440"/>
                  <wp:effectExtent l="0" t="0" r="698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0"/>
                          <a:stretch>
                            <a:fillRect/>
                          </a:stretch>
                        </pic:blipFill>
                        <pic:spPr>
                          <a:xfrm>
                            <a:off x="0" y="0"/>
                            <a:ext cx="3574415" cy="4028440"/>
                          </a:xfrm>
                          <a:prstGeom prst="rect">
                            <a:avLst/>
                          </a:prstGeom>
                          <a:noFill/>
                          <a:ln>
                            <a:noFill/>
                          </a:ln>
                        </pic:spPr>
                      </pic:pic>
                    </a:graphicData>
                  </a:graphic>
                </wp:inline>
              </w:drawing>
            </w:r>
          </w:p>
          <w:p w14:paraId="46D35259">
            <w:pPr>
              <w:autoSpaceDE w:val="0"/>
              <w:autoSpaceDN w:val="0"/>
              <w:adjustRightInd w:val="0"/>
              <w:snapToGrid w:val="0"/>
              <w:jc w:val="center"/>
              <w:rPr>
                <w:b/>
                <w:bCs/>
                <w:color w:val="auto"/>
                <w:kern w:val="0"/>
                <w:szCs w:val="21"/>
              </w:rPr>
            </w:pPr>
            <w:r>
              <w:rPr>
                <w:b/>
                <w:bCs/>
                <w:color w:val="auto"/>
                <w:kern w:val="0"/>
                <w:szCs w:val="21"/>
              </w:rPr>
              <w:t>图2-</w:t>
            </w:r>
            <w:r>
              <w:rPr>
                <w:rFonts w:hint="eastAsia"/>
                <w:b/>
                <w:bCs/>
                <w:color w:val="auto"/>
                <w:kern w:val="0"/>
                <w:szCs w:val="21"/>
                <w:lang w:val="en-US" w:eastAsia="zh-CN"/>
              </w:rPr>
              <w:t>4</w:t>
            </w:r>
            <w:r>
              <w:rPr>
                <w:b/>
                <w:bCs/>
                <w:color w:val="auto"/>
                <w:kern w:val="0"/>
                <w:szCs w:val="21"/>
              </w:rPr>
              <w:t>运营期</w:t>
            </w:r>
            <w:r>
              <w:rPr>
                <w:rFonts w:hint="eastAsia"/>
                <w:b/>
                <w:bCs/>
                <w:color w:val="auto"/>
                <w:kern w:val="0"/>
                <w:szCs w:val="21"/>
              </w:rPr>
              <w:t>水剂</w:t>
            </w:r>
            <w:r>
              <w:rPr>
                <w:b/>
                <w:bCs/>
                <w:color w:val="auto"/>
                <w:kern w:val="0"/>
                <w:szCs w:val="21"/>
              </w:rPr>
              <w:t>生产工艺流程及产污位置图</w:t>
            </w:r>
          </w:p>
          <w:p w14:paraId="1C091951">
            <w:pPr>
              <w:pStyle w:val="18"/>
              <w:ind w:firstLine="422"/>
              <w:rPr>
                <w:rFonts w:hint="eastAsia"/>
                <w:b/>
                <w:bCs/>
                <w:color w:val="auto"/>
                <w:lang w:val="en-US" w:eastAsia="zh-CN"/>
              </w:rPr>
            </w:pPr>
          </w:p>
          <w:p w14:paraId="2F3E3766">
            <w:pPr>
              <w:pStyle w:val="18"/>
              <w:ind w:firstLine="422"/>
              <w:rPr>
                <w:rFonts w:hint="eastAsia"/>
                <w:b/>
                <w:bCs/>
                <w:color w:val="auto"/>
                <w:lang w:val="en-US" w:eastAsia="zh-CN"/>
              </w:rPr>
            </w:pPr>
            <w:r>
              <w:rPr>
                <w:rFonts w:hint="eastAsia"/>
                <w:b/>
                <w:bCs/>
                <w:color w:val="auto"/>
                <w:lang w:val="en-US" w:eastAsia="zh-CN"/>
              </w:rPr>
              <w:t>3、水乳剂</w:t>
            </w:r>
          </w:p>
          <w:p w14:paraId="47D46F84">
            <w:pPr>
              <w:pStyle w:val="18"/>
              <w:rPr>
                <w:rFonts w:hint="eastAsia"/>
                <w:color w:val="auto"/>
                <w:lang w:val="en-US" w:eastAsia="zh-CN"/>
              </w:rPr>
            </w:pPr>
            <w:r>
              <w:rPr>
                <w:rFonts w:hint="eastAsia"/>
                <w:color w:val="auto"/>
                <w:lang w:val="en-US" w:eastAsia="zh-CN"/>
              </w:rPr>
              <w:t>水乳剂：是将液体或与溶剂混合制得的液体农药原药以0.5-1.5 微米的小液滴分散于水中的制剂，外观为乳白色牛奶状液体。水乳剂不易燃易爆，生产、贮存和使用安全。不用或少用有机溶剂，环境污染少，毒性低。乳状液粒子比乳油小，渗透性好，防冶效果好。</w:t>
            </w:r>
          </w:p>
          <w:p w14:paraId="78622BF9">
            <w:pPr>
              <w:pStyle w:val="18"/>
              <w:rPr>
                <w:rFonts w:hint="eastAsia"/>
                <w:color w:val="auto"/>
                <w:lang w:val="en-US" w:eastAsia="zh-CN"/>
              </w:rPr>
            </w:pPr>
            <w:r>
              <w:rPr>
                <w:rFonts w:hint="eastAsia"/>
                <w:color w:val="auto"/>
                <w:lang w:val="en-US" w:eastAsia="zh-CN"/>
              </w:rPr>
              <w:t>首先将原药和乳化剂按一定比例投放入反应釜内，</w:t>
            </w:r>
            <w:r>
              <w:rPr>
                <w:rFonts w:hint="eastAsia"/>
                <w:b/>
                <w:bCs/>
                <w:color w:val="auto"/>
                <w:lang w:val="en-US" w:eastAsia="zh-CN"/>
              </w:rPr>
              <w:t>再将置于计量罐内的溶剂（</w:t>
            </w:r>
            <w:r>
              <w:rPr>
                <w:rFonts w:hint="eastAsia" w:ascii="Times New Roman" w:hAnsi="Times New Roman" w:eastAsia="宋体" w:cs="Times New Roman"/>
                <w:b/>
                <w:bCs/>
                <w:color w:val="auto"/>
                <w:szCs w:val="21"/>
                <w:lang w:val="en-US" w:eastAsia="zh-CN"/>
              </w:rPr>
              <w:t>溶剂油270#</w:t>
            </w:r>
            <w:r>
              <w:rPr>
                <w:rFonts w:hint="eastAsia"/>
                <w:b/>
                <w:bCs/>
                <w:color w:val="auto"/>
                <w:lang w:val="en-US" w:eastAsia="zh-CN"/>
              </w:rPr>
              <w:t>）通过管道输送至密封的反应釜内</w:t>
            </w:r>
            <w:r>
              <w:rPr>
                <w:rFonts w:hint="eastAsia"/>
                <w:color w:val="auto"/>
                <w:lang w:val="en-US" w:eastAsia="zh-CN"/>
              </w:rPr>
              <w:t>，混合均匀30分钟以上，制成半成品静置4小时以上，待各项指标检测合格后，进行分装，入库，得成品。</w:t>
            </w:r>
          </w:p>
          <w:p w14:paraId="33F221E7">
            <w:pPr>
              <w:pStyle w:val="18"/>
              <w:rPr>
                <w:rFonts w:hint="default"/>
                <w:color w:val="auto"/>
                <w:lang w:val="en-US" w:eastAsia="zh-CN"/>
              </w:rPr>
            </w:pPr>
            <w:r>
              <w:rPr>
                <w:rFonts w:hint="eastAsia"/>
                <w:color w:val="auto"/>
                <w:lang w:val="en-US" w:eastAsia="zh-CN"/>
              </w:rPr>
              <w:t>水乳剂原辅料性质稳定，生产过程常温加工，混合后过程均为液体，搅拌不产生粉尘等废气。</w:t>
            </w:r>
          </w:p>
          <w:p w14:paraId="664D8D7E">
            <w:pPr>
              <w:pStyle w:val="18"/>
              <w:rPr>
                <w:rFonts w:hint="eastAsia"/>
                <w:b/>
                <w:bCs/>
                <w:color w:val="auto"/>
                <w:lang w:val="en-US" w:eastAsia="zh-CN"/>
              </w:rPr>
            </w:pPr>
            <w:r>
              <w:rPr>
                <w:rFonts w:hint="eastAsia"/>
                <w:b/>
                <w:bCs/>
                <w:color w:val="auto"/>
                <w:lang w:val="en-US" w:eastAsia="zh-CN"/>
              </w:rPr>
              <w:t>此工艺中主要为投料口废气、混合的非甲烷总烃，设备噪声、不合格品以及检验固废等。</w:t>
            </w:r>
          </w:p>
          <w:p w14:paraId="726C16BF">
            <w:pPr>
              <w:rPr>
                <w:rFonts w:hint="eastAsia"/>
                <w:b/>
                <w:bCs/>
                <w:color w:val="auto"/>
                <w:lang w:val="en-US" w:eastAsia="zh-CN"/>
              </w:rPr>
            </w:pPr>
          </w:p>
          <w:p w14:paraId="6276A36B">
            <w:pPr>
              <w:rPr>
                <w:rFonts w:hint="eastAsia"/>
                <w:b/>
                <w:bCs/>
                <w:color w:val="auto"/>
                <w:lang w:val="en-US" w:eastAsia="zh-CN"/>
              </w:rPr>
            </w:pPr>
          </w:p>
          <w:p w14:paraId="5D9CB1E6">
            <w:pPr>
              <w:rPr>
                <w:rFonts w:hint="eastAsia"/>
                <w:b/>
                <w:bCs/>
                <w:color w:val="auto"/>
                <w:lang w:val="en-US" w:eastAsia="zh-CN"/>
              </w:rPr>
            </w:pPr>
          </w:p>
          <w:p w14:paraId="1AF2B366">
            <w:pPr>
              <w:rPr>
                <w:rFonts w:hint="eastAsia"/>
                <w:b/>
                <w:bCs/>
                <w:color w:val="auto"/>
                <w:lang w:val="en-US" w:eastAsia="zh-CN"/>
              </w:rPr>
            </w:pPr>
          </w:p>
          <w:p w14:paraId="1880F51F">
            <w:pPr>
              <w:rPr>
                <w:rFonts w:hint="eastAsia"/>
                <w:b/>
                <w:bCs/>
                <w:color w:val="auto"/>
                <w:lang w:val="en-US" w:eastAsia="zh-CN"/>
              </w:rPr>
            </w:pPr>
          </w:p>
          <w:p w14:paraId="0FF3F665">
            <w:pPr>
              <w:pStyle w:val="18"/>
              <w:ind w:firstLine="422"/>
              <w:jc w:val="center"/>
              <w:rPr>
                <w:rFonts w:hint="eastAsia"/>
                <w:b/>
                <w:bCs/>
                <w:color w:val="auto"/>
                <w:spacing w:val="0"/>
                <w:position w:val="0"/>
                <w:lang w:val="en-US" w:eastAsia="zh-CN"/>
              </w:rPr>
            </w:pPr>
            <w:r>
              <w:rPr>
                <w:color w:val="auto"/>
              </w:rPr>
              <w:drawing>
                <wp:inline distT="0" distB="0" distL="114300" distR="114300">
                  <wp:extent cx="3307715" cy="3728085"/>
                  <wp:effectExtent l="0" t="0" r="6985" b="57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a:stretch>
                            <a:fillRect/>
                          </a:stretch>
                        </pic:blipFill>
                        <pic:spPr>
                          <a:xfrm>
                            <a:off x="0" y="0"/>
                            <a:ext cx="3307715" cy="3728085"/>
                          </a:xfrm>
                          <a:prstGeom prst="rect">
                            <a:avLst/>
                          </a:prstGeom>
                          <a:noFill/>
                          <a:ln>
                            <a:noFill/>
                          </a:ln>
                        </pic:spPr>
                      </pic:pic>
                    </a:graphicData>
                  </a:graphic>
                </wp:inline>
              </w:drawing>
            </w:r>
          </w:p>
          <w:p w14:paraId="0CCFE9DC">
            <w:pPr>
              <w:autoSpaceDE w:val="0"/>
              <w:autoSpaceDN w:val="0"/>
              <w:adjustRightInd w:val="0"/>
              <w:snapToGrid w:val="0"/>
              <w:jc w:val="center"/>
              <w:rPr>
                <w:b/>
                <w:bCs/>
                <w:color w:val="auto"/>
                <w:kern w:val="0"/>
                <w:szCs w:val="21"/>
              </w:rPr>
            </w:pPr>
            <w:r>
              <w:rPr>
                <w:b/>
                <w:bCs/>
                <w:color w:val="auto"/>
                <w:kern w:val="0"/>
                <w:szCs w:val="21"/>
              </w:rPr>
              <w:t>图2-</w:t>
            </w:r>
            <w:r>
              <w:rPr>
                <w:rFonts w:hint="eastAsia"/>
                <w:color w:val="auto"/>
                <w:lang w:val="en-US" w:eastAsia="zh-CN"/>
              </w:rPr>
              <w:t xml:space="preserve">5 </w:t>
            </w:r>
            <w:r>
              <w:rPr>
                <w:b/>
                <w:bCs/>
                <w:color w:val="auto"/>
                <w:kern w:val="0"/>
                <w:szCs w:val="21"/>
              </w:rPr>
              <w:t>运营期</w:t>
            </w:r>
            <w:r>
              <w:rPr>
                <w:rFonts w:hint="eastAsia"/>
                <w:b/>
                <w:bCs/>
                <w:color w:val="auto"/>
                <w:kern w:val="0"/>
                <w:szCs w:val="21"/>
              </w:rPr>
              <w:t>水</w:t>
            </w:r>
            <w:r>
              <w:rPr>
                <w:rFonts w:hint="eastAsia"/>
                <w:b/>
                <w:bCs/>
                <w:color w:val="auto"/>
                <w:kern w:val="0"/>
                <w:szCs w:val="21"/>
                <w:lang w:val="en-US" w:eastAsia="zh-CN"/>
              </w:rPr>
              <w:t>乳</w:t>
            </w:r>
            <w:r>
              <w:rPr>
                <w:rFonts w:hint="eastAsia"/>
                <w:b/>
                <w:bCs/>
                <w:color w:val="auto"/>
                <w:kern w:val="0"/>
                <w:szCs w:val="21"/>
              </w:rPr>
              <w:t>剂</w:t>
            </w:r>
            <w:r>
              <w:rPr>
                <w:b/>
                <w:bCs/>
                <w:color w:val="auto"/>
                <w:kern w:val="0"/>
                <w:szCs w:val="21"/>
              </w:rPr>
              <w:t>生产工艺流程及产污位置图</w:t>
            </w:r>
          </w:p>
          <w:p w14:paraId="084959B8">
            <w:pPr>
              <w:pStyle w:val="18"/>
              <w:rPr>
                <w:rFonts w:hint="default"/>
                <w:color w:val="auto"/>
                <w:lang w:val="en-US" w:eastAsia="zh-CN"/>
              </w:rPr>
            </w:pPr>
            <w:r>
              <w:rPr>
                <w:rFonts w:hint="eastAsia"/>
                <w:color w:val="auto"/>
                <w:lang w:val="en-US" w:eastAsia="zh-CN"/>
              </w:rPr>
              <w:t>4、可湿性粉剂</w:t>
            </w:r>
          </w:p>
          <w:p w14:paraId="0F035BBC">
            <w:pPr>
              <w:pStyle w:val="18"/>
              <w:rPr>
                <w:rFonts w:hint="eastAsia"/>
                <w:color w:val="auto"/>
                <w:lang w:val="en-US" w:eastAsia="zh-CN"/>
              </w:rPr>
            </w:pPr>
            <w:r>
              <w:rPr>
                <w:rFonts w:hint="eastAsia"/>
                <w:color w:val="auto"/>
                <w:lang w:val="en-US" w:eastAsia="zh-CN"/>
              </w:rPr>
              <w:t>可湿性粉剂(WP)是用农药原药、惰性填料和一定量的助剂，按比例经充分混合粉碎后，达到一定粉粒细度的剂型，可分散于水中形成稳定悬浮液的粉状制剂。</w:t>
            </w:r>
          </w:p>
          <w:p w14:paraId="321EA1F7">
            <w:pPr>
              <w:pStyle w:val="18"/>
              <w:rPr>
                <w:rFonts w:hint="eastAsia"/>
                <w:color w:val="auto"/>
                <w:lang w:val="en-US" w:eastAsia="zh-CN"/>
              </w:rPr>
            </w:pPr>
            <w:r>
              <w:rPr>
                <w:rFonts w:hint="eastAsia"/>
                <w:color w:val="auto"/>
                <w:lang w:val="en-US" w:eastAsia="zh-CN"/>
              </w:rPr>
              <w:t>从形状上看，与粉剂无区别，但是由于加入了湿润剂、分散剂等助剂，加到水中后能被水湿润、分散、形成悬浮液，可喷洒施用。</w:t>
            </w:r>
          </w:p>
          <w:p w14:paraId="39D07684">
            <w:pPr>
              <w:pStyle w:val="18"/>
              <w:rPr>
                <w:rFonts w:hint="eastAsia"/>
                <w:color w:val="auto"/>
                <w:lang w:val="en-US" w:eastAsia="zh-CN"/>
              </w:rPr>
            </w:pPr>
            <w:r>
              <w:rPr>
                <w:rFonts w:hint="eastAsia"/>
                <w:color w:val="auto"/>
                <w:lang w:val="en-US" w:eastAsia="zh-CN"/>
              </w:rPr>
              <w:t>投料量按配方准确计量、准确投入，依次投入有效成分农药、填料和助剂进行搅拌混合，然后送至气流粉碎机进行加工，粉碎后的物料取样检测，检测不合格的返回搅拌混合，检测合格的去包装，包装后的产品进行抽检，包装不合格的返回重新包装，产品不合格的返回反应釜搅拌混合，合格的产品入库。</w:t>
            </w:r>
          </w:p>
          <w:p w14:paraId="07D16FAD">
            <w:pPr>
              <w:pStyle w:val="18"/>
              <w:rPr>
                <w:rFonts w:hint="eastAsia"/>
                <w:b/>
                <w:bCs/>
                <w:color w:val="auto"/>
                <w:lang w:val="en-US" w:eastAsia="zh-CN"/>
              </w:rPr>
            </w:pPr>
            <w:r>
              <w:rPr>
                <w:rFonts w:hint="eastAsia"/>
                <w:b/>
                <w:bCs/>
                <w:color w:val="auto"/>
                <w:lang w:val="en-US" w:eastAsia="zh-CN"/>
              </w:rPr>
              <w:t>此工艺中主要为投料、粉碎、包装废气、设备噪声、不合格品以及检验固废等。</w:t>
            </w:r>
          </w:p>
          <w:p w14:paraId="70DD1ACF">
            <w:pPr>
              <w:rPr>
                <w:rFonts w:hint="eastAsia"/>
                <w:b/>
                <w:bCs/>
                <w:color w:val="auto"/>
                <w:lang w:val="en-US" w:eastAsia="zh-CN"/>
              </w:rPr>
            </w:pPr>
          </w:p>
          <w:p w14:paraId="015159E4">
            <w:pPr>
              <w:rPr>
                <w:rFonts w:hint="eastAsia"/>
                <w:b/>
                <w:bCs/>
                <w:color w:val="auto"/>
                <w:lang w:val="en-US" w:eastAsia="zh-CN"/>
              </w:rPr>
            </w:pPr>
          </w:p>
          <w:p w14:paraId="67D6D191">
            <w:pPr>
              <w:rPr>
                <w:rFonts w:hint="eastAsia"/>
                <w:b/>
                <w:bCs/>
                <w:color w:val="auto"/>
                <w:lang w:val="en-US" w:eastAsia="zh-CN"/>
              </w:rPr>
            </w:pPr>
          </w:p>
          <w:p w14:paraId="5522D36E">
            <w:pPr>
              <w:rPr>
                <w:rFonts w:hint="eastAsia"/>
                <w:b/>
                <w:bCs/>
                <w:color w:val="auto"/>
                <w:lang w:val="en-US" w:eastAsia="zh-CN"/>
              </w:rPr>
            </w:pPr>
          </w:p>
          <w:p w14:paraId="76911232">
            <w:pPr>
              <w:rPr>
                <w:rFonts w:hint="eastAsia"/>
                <w:b/>
                <w:bCs/>
                <w:color w:val="auto"/>
                <w:lang w:val="en-US" w:eastAsia="zh-CN"/>
              </w:rPr>
            </w:pPr>
          </w:p>
          <w:p w14:paraId="027D37EA">
            <w:pPr>
              <w:rPr>
                <w:rFonts w:hint="eastAsia"/>
                <w:b/>
                <w:bCs/>
                <w:color w:val="auto"/>
                <w:lang w:val="en-US" w:eastAsia="zh-CN"/>
              </w:rPr>
            </w:pPr>
          </w:p>
          <w:p w14:paraId="094D7DF2">
            <w:pPr>
              <w:rPr>
                <w:rFonts w:hint="eastAsia"/>
                <w:b/>
                <w:bCs/>
                <w:color w:val="auto"/>
                <w:lang w:val="en-US" w:eastAsia="zh-CN"/>
              </w:rPr>
            </w:pPr>
          </w:p>
          <w:p w14:paraId="70A4EEB0">
            <w:pPr>
              <w:rPr>
                <w:rFonts w:hint="eastAsia"/>
                <w:b/>
                <w:bCs/>
                <w:color w:val="auto"/>
                <w:lang w:val="en-US" w:eastAsia="zh-CN"/>
              </w:rPr>
            </w:pPr>
          </w:p>
          <w:p w14:paraId="3A8983B3">
            <w:pPr>
              <w:rPr>
                <w:rFonts w:hint="eastAsia"/>
                <w:b/>
                <w:bCs/>
                <w:color w:val="auto"/>
                <w:lang w:val="en-US" w:eastAsia="zh-CN"/>
              </w:rPr>
            </w:pPr>
          </w:p>
          <w:p w14:paraId="70285A4E">
            <w:pPr>
              <w:rPr>
                <w:rFonts w:hint="eastAsia"/>
                <w:b/>
                <w:bCs/>
                <w:color w:val="auto"/>
                <w:lang w:val="en-US" w:eastAsia="zh-CN"/>
              </w:rPr>
            </w:pPr>
          </w:p>
          <w:p w14:paraId="46D68DC6">
            <w:pPr>
              <w:rPr>
                <w:rFonts w:hint="eastAsia"/>
                <w:b/>
                <w:bCs/>
                <w:color w:val="auto"/>
                <w:lang w:val="en-US" w:eastAsia="zh-CN"/>
              </w:rPr>
            </w:pPr>
          </w:p>
          <w:p w14:paraId="522C940C">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pacing w:val="0"/>
                <w:position w:val="0"/>
                <w:lang w:val="en-US" w:eastAsia="zh-CN"/>
              </w:rPr>
            </w:pPr>
            <w:r>
              <w:rPr>
                <w:color w:val="auto"/>
              </w:rPr>
              <w:drawing>
                <wp:inline distT="0" distB="0" distL="114300" distR="114300">
                  <wp:extent cx="3803650" cy="4286885"/>
                  <wp:effectExtent l="0" t="0" r="6350" b="1841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2"/>
                          <a:stretch>
                            <a:fillRect/>
                          </a:stretch>
                        </pic:blipFill>
                        <pic:spPr>
                          <a:xfrm>
                            <a:off x="0" y="0"/>
                            <a:ext cx="3803650" cy="4286885"/>
                          </a:xfrm>
                          <a:prstGeom prst="rect">
                            <a:avLst/>
                          </a:prstGeom>
                          <a:noFill/>
                          <a:ln>
                            <a:noFill/>
                          </a:ln>
                        </pic:spPr>
                      </pic:pic>
                    </a:graphicData>
                  </a:graphic>
                </wp:inline>
              </w:drawing>
            </w:r>
          </w:p>
          <w:p w14:paraId="27E08BB6">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图2-6可湿性粉剂生产工艺流程及产污环节</w:t>
            </w:r>
          </w:p>
          <w:p w14:paraId="642341DF">
            <w:pPr>
              <w:pStyle w:val="18"/>
              <w:rPr>
                <w:rFonts w:hint="default"/>
                <w:b/>
                <w:bCs/>
                <w:color w:val="auto"/>
                <w:lang w:val="en-US" w:eastAsia="zh-CN"/>
              </w:rPr>
            </w:pPr>
            <w:r>
              <w:rPr>
                <w:rFonts w:hint="eastAsia"/>
                <w:b/>
                <w:bCs/>
                <w:color w:val="auto"/>
                <w:lang w:val="en-US" w:eastAsia="zh-CN"/>
              </w:rPr>
              <w:t>5、配套设施</w:t>
            </w:r>
          </w:p>
          <w:p w14:paraId="3D659C92">
            <w:pPr>
              <w:pStyle w:val="18"/>
              <w:rPr>
                <w:rFonts w:hint="default"/>
                <w:b/>
                <w:bCs/>
                <w:color w:val="auto"/>
                <w:lang w:val="en-US" w:eastAsia="zh-CN"/>
              </w:rPr>
            </w:pPr>
            <w:r>
              <w:rPr>
                <w:rFonts w:hint="eastAsia"/>
                <w:b/>
                <w:bCs/>
                <w:color w:val="auto"/>
                <w:lang w:val="en-US" w:eastAsia="zh-CN"/>
              </w:rPr>
              <w:t>（1）纯水制备</w:t>
            </w:r>
          </w:p>
          <w:p w14:paraId="7AEB4305">
            <w:pPr>
              <w:pStyle w:val="18"/>
              <w:rPr>
                <w:rFonts w:hint="eastAsia"/>
                <w:color w:val="auto"/>
                <w:lang w:val="en-US" w:eastAsia="zh-CN"/>
              </w:rPr>
            </w:pPr>
            <w:r>
              <w:rPr>
                <w:rFonts w:hint="eastAsia"/>
                <w:color w:val="auto"/>
                <w:lang w:val="en-US" w:eastAsia="zh-CN"/>
              </w:rPr>
              <w:t>项目配备1台2m</w:t>
            </w:r>
            <w:r>
              <w:rPr>
                <w:rFonts w:hint="eastAsia"/>
                <w:color w:val="auto"/>
                <w:vertAlign w:val="superscript"/>
                <w:lang w:val="en-US" w:eastAsia="zh-CN"/>
              </w:rPr>
              <w:t>3</w:t>
            </w:r>
            <w:r>
              <w:rPr>
                <w:rFonts w:hint="eastAsia"/>
                <w:color w:val="auto"/>
                <w:lang w:val="en-US" w:eastAsia="zh-CN"/>
              </w:rPr>
              <w:t>/h纯水设备，纯水作为溶剂使用，本项目纯水的制备采用RO反渗透进行制取，反渗透过程会有浓盐水产生。</w:t>
            </w:r>
          </w:p>
          <w:p w14:paraId="129BEE37">
            <w:pPr>
              <w:pStyle w:val="18"/>
              <w:rPr>
                <w:rFonts w:hint="eastAsia"/>
                <w:b/>
                <w:bCs/>
                <w:color w:val="auto"/>
                <w:lang w:val="en-US" w:eastAsia="zh-CN"/>
              </w:rPr>
            </w:pPr>
            <w:r>
              <w:rPr>
                <w:rFonts w:hint="eastAsia"/>
                <w:b/>
                <w:bCs/>
                <w:color w:val="auto"/>
                <w:lang w:val="en-US" w:eastAsia="zh-CN"/>
              </w:rPr>
              <w:t>（2）检验室</w:t>
            </w:r>
          </w:p>
          <w:p w14:paraId="546FB9DB">
            <w:pPr>
              <w:pStyle w:val="18"/>
              <w:rPr>
                <w:rFonts w:hint="eastAsia"/>
                <w:b/>
                <w:bCs/>
                <w:color w:val="auto"/>
                <w:lang w:val="en-US" w:eastAsia="zh-CN"/>
              </w:rPr>
            </w:pPr>
            <w:r>
              <w:rPr>
                <w:rFonts w:hint="eastAsia"/>
                <w:color w:val="auto"/>
                <w:lang w:val="en-US" w:eastAsia="zh-CN"/>
              </w:rPr>
              <w:t>项目检验主要是针对</w:t>
            </w:r>
            <w:r>
              <w:rPr>
                <w:rFonts w:hint="eastAsia"/>
                <w:b/>
                <w:bCs/>
                <w:color w:val="auto"/>
                <w:lang w:val="en-US" w:eastAsia="zh-CN"/>
              </w:rPr>
              <w:t>成品水分、pH、干燥度以及纯度进行检验</w:t>
            </w:r>
            <w:r>
              <w:rPr>
                <w:rFonts w:hint="eastAsia"/>
                <w:color w:val="auto"/>
                <w:lang w:val="en-US" w:eastAsia="zh-CN"/>
              </w:rPr>
              <w:t>，不</w:t>
            </w:r>
            <w:r>
              <w:rPr>
                <w:rFonts w:hint="eastAsia"/>
                <w:b/>
                <w:bCs/>
                <w:color w:val="auto"/>
                <w:lang w:val="en-US" w:eastAsia="zh-CN"/>
              </w:rPr>
              <w:t>涉及生物等培养试验，不涉及毒性试验</w:t>
            </w:r>
            <w:r>
              <w:rPr>
                <w:rFonts w:hint="eastAsia"/>
                <w:color w:val="auto"/>
                <w:lang w:val="en-US" w:eastAsia="zh-CN"/>
              </w:rPr>
              <w:t>。检测完成后的废弃样品重新进入生产线，年检验量为50kg，检验产生极少废气（主要是产品加热过程中产生的有机废气和臭气），</w:t>
            </w:r>
            <w:r>
              <w:rPr>
                <w:rFonts w:hint="eastAsia"/>
                <w:b/>
                <w:bCs/>
                <w:color w:val="auto"/>
                <w:lang w:val="en-US" w:eastAsia="zh-CN"/>
              </w:rPr>
              <w:t>酸碱、色谱试剂实际用量很少，因此不做量化，设置通风橱，有机废气经收集后由管道通入活性炭吸附装置处理后排放。</w:t>
            </w:r>
          </w:p>
          <w:p w14:paraId="62448833">
            <w:pPr>
              <w:pStyle w:val="18"/>
              <w:ind w:firstLine="422"/>
              <w:rPr>
                <w:b/>
                <w:bCs/>
                <w:color w:val="auto"/>
              </w:rPr>
            </w:pPr>
            <w:r>
              <w:rPr>
                <w:b/>
                <w:bCs/>
                <w:color w:val="auto"/>
              </w:rPr>
              <w:t>三、项目主要污染工序及污染物</w:t>
            </w:r>
          </w:p>
          <w:p w14:paraId="3237C3F7">
            <w:pPr>
              <w:pStyle w:val="18"/>
              <w:rPr>
                <w:color w:val="auto"/>
              </w:rPr>
            </w:pPr>
            <w:r>
              <w:rPr>
                <w:color w:val="auto"/>
              </w:rPr>
              <w:t>项目主要污染工序及污染物见表2-12。</w:t>
            </w:r>
          </w:p>
          <w:p w14:paraId="5EC9108C">
            <w:pPr>
              <w:autoSpaceDE w:val="0"/>
              <w:autoSpaceDN w:val="0"/>
              <w:adjustRightInd w:val="0"/>
              <w:snapToGrid w:val="0"/>
              <w:jc w:val="center"/>
              <w:rPr>
                <w:b/>
                <w:bCs/>
                <w:color w:val="auto"/>
                <w:kern w:val="0"/>
                <w:szCs w:val="21"/>
              </w:rPr>
            </w:pPr>
            <w:r>
              <w:rPr>
                <w:b/>
                <w:bCs/>
                <w:color w:val="auto"/>
                <w:kern w:val="0"/>
                <w:szCs w:val="21"/>
              </w:rPr>
              <w:t>表2-12项目主要污染工序及污染物一览表</w:t>
            </w:r>
          </w:p>
          <w:tbl>
            <w:tblPr>
              <w:tblStyle w:val="19"/>
              <w:tblW w:w="816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09"/>
              <w:gridCol w:w="2078"/>
              <w:gridCol w:w="990"/>
              <w:gridCol w:w="3769"/>
            </w:tblGrid>
            <w:tr w14:paraId="72B6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tcBorders>
                    <w:tl2br w:val="nil"/>
                    <w:tr2bl w:val="nil"/>
                  </w:tcBorders>
                  <w:vAlign w:val="center"/>
                </w:tcPr>
                <w:p w14:paraId="46CAD44F">
                  <w:pPr>
                    <w:pStyle w:val="42"/>
                    <w:rPr>
                      <w:color w:val="auto"/>
                      <w:sz w:val="21"/>
                      <w:szCs w:val="21"/>
                    </w:rPr>
                  </w:pPr>
                  <w:r>
                    <w:rPr>
                      <w:color w:val="auto"/>
                      <w:sz w:val="21"/>
                      <w:szCs w:val="21"/>
                    </w:rPr>
                    <w:t>车间</w:t>
                  </w:r>
                </w:p>
              </w:tc>
              <w:tc>
                <w:tcPr>
                  <w:tcW w:w="709" w:type="dxa"/>
                  <w:tcBorders>
                    <w:tl2br w:val="nil"/>
                    <w:tr2bl w:val="nil"/>
                  </w:tcBorders>
                  <w:vAlign w:val="center"/>
                </w:tcPr>
                <w:p w14:paraId="6E3FA7A6">
                  <w:pPr>
                    <w:pStyle w:val="42"/>
                    <w:rPr>
                      <w:color w:val="auto"/>
                      <w:sz w:val="21"/>
                      <w:szCs w:val="21"/>
                    </w:rPr>
                  </w:pPr>
                  <w:r>
                    <w:rPr>
                      <w:color w:val="auto"/>
                      <w:sz w:val="21"/>
                      <w:szCs w:val="21"/>
                    </w:rPr>
                    <w:t>种类</w:t>
                  </w:r>
                </w:p>
              </w:tc>
              <w:tc>
                <w:tcPr>
                  <w:tcW w:w="2078" w:type="dxa"/>
                  <w:tcBorders>
                    <w:tl2br w:val="nil"/>
                    <w:tr2bl w:val="nil"/>
                  </w:tcBorders>
                  <w:vAlign w:val="center"/>
                </w:tcPr>
                <w:p w14:paraId="1B0F7A0D">
                  <w:pPr>
                    <w:pStyle w:val="42"/>
                    <w:rPr>
                      <w:color w:val="auto"/>
                      <w:sz w:val="21"/>
                      <w:szCs w:val="21"/>
                    </w:rPr>
                  </w:pPr>
                  <w:r>
                    <w:rPr>
                      <w:color w:val="auto"/>
                      <w:sz w:val="21"/>
                      <w:szCs w:val="21"/>
                    </w:rPr>
                    <w:t>污染工序</w:t>
                  </w:r>
                </w:p>
              </w:tc>
              <w:tc>
                <w:tcPr>
                  <w:tcW w:w="990" w:type="dxa"/>
                  <w:tcBorders>
                    <w:tl2br w:val="nil"/>
                    <w:tr2bl w:val="nil"/>
                  </w:tcBorders>
                  <w:vAlign w:val="center"/>
                </w:tcPr>
                <w:p w14:paraId="3BCA0A2F">
                  <w:pPr>
                    <w:pStyle w:val="42"/>
                    <w:rPr>
                      <w:color w:val="auto"/>
                      <w:sz w:val="21"/>
                      <w:szCs w:val="21"/>
                    </w:rPr>
                  </w:pPr>
                  <w:r>
                    <w:rPr>
                      <w:color w:val="auto"/>
                      <w:sz w:val="21"/>
                      <w:szCs w:val="21"/>
                    </w:rPr>
                    <w:t>污染物</w:t>
                  </w:r>
                </w:p>
              </w:tc>
              <w:tc>
                <w:tcPr>
                  <w:tcW w:w="3769" w:type="dxa"/>
                  <w:tcBorders>
                    <w:tl2br w:val="nil"/>
                    <w:tr2bl w:val="nil"/>
                  </w:tcBorders>
                  <w:vAlign w:val="center"/>
                </w:tcPr>
                <w:p w14:paraId="50F56F29">
                  <w:pPr>
                    <w:pStyle w:val="42"/>
                    <w:rPr>
                      <w:color w:val="auto"/>
                      <w:sz w:val="21"/>
                      <w:szCs w:val="21"/>
                    </w:rPr>
                  </w:pPr>
                  <w:r>
                    <w:rPr>
                      <w:color w:val="auto"/>
                      <w:sz w:val="21"/>
                      <w:szCs w:val="21"/>
                    </w:rPr>
                    <w:t>处理排放情况</w:t>
                  </w:r>
                </w:p>
              </w:tc>
            </w:tr>
            <w:tr w14:paraId="3F4D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23" w:type="dxa"/>
                  <w:vMerge w:val="restart"/>
                  <w:tcBorders>
                    <w:tl2br w:val="nil"/>
                    <w:tr2bl w:val="nil"/>
                  </w:tcBorders>
                  <w:vAlign w:val="center"/>
                </w:tcPr>
                <w:p w14:paraId="589B1D42">
                  <w:pPr>
                    <w:pStyle w:val="42"/>
                    <w:rPr>
                      <w:rFonts w:hint="eastAsia" w:eastAsia="宋体"/>
                      <w:color w:val="auto"/>
                      <w:sz w:val="21"/>
                      <w:szCs w:val="21"/>
                      <w:lang w:eastAsia="zh-CN"/>
                    </w:rPr>
                  </w:pPr>
                  <w:r>
                    <w:rPr>
                      <w:rFonts w:hint="eastAsia"/>
                      <w:color w:val="auto"/>
                      <w:sz w:val="21"/>
                      <w:szCs w:val="21"/>
                      <w:lang w:val="en-US" w:eastAsia="zh-CN"/>
                    </w:rPr>
                    <w:t>厂区</w:t>
                  </w:r>
                </w:p>
              </w:tc>
              <w:tc>
                <w:tcPr>
                  <w:tcW w:w="709" w:type="dxa"/>
                  <w:vMerge w:val="restart"/>
                  <w:tcBorders>
                    <w:tl2br w:val="nil"/>
                    <w:tr2bl w:val="nil"/>
                  </w:tcBorders>
                  <w:vAlign w:val="center"/>
                </w:tcPr>
                <w:p w14:paraId="51BE5DE5">
                  <w:pPr>
                    <w:pStyle w:val="42"/>
                    <w:rPr>
                      <w:rFonts w:hint="eastAsia"/>
                      <w:color w:val="auto"/>
                      <w:sz w:val="21"/>
                      <w:szCs w:val="21"/>
                      <w:lang w:val="en-US" w:eastAsia="zh-CN"/>
                    </w:rPr>
                  </w:pPr>
                  <w:r>
                    <w:rPr>
                      <w:rFonts w:hint="eastAsia"/>
                      <w:color w:val="auto"/>
                      <w:sz w:val="21"/>
                      <w:szCs w:val="21"/>
                      <w:lang w:val="en-US" w:eastAsia="zh-CN"/>
                    </w:rPr>
                    <w:t>废气</w:t>
                  </w:r>
                </w:p>
              </w:tc>
              <w:tc>
                <w:tcPr>
                  <w:tcW w:w="2078" w:type="dxa"/>
                  <w:tcBorders>
                    <w:tl2br w:val="nil"/>
                    <w:tr2bl w:val="nil"/>
                  </w:tcBorders>
                  <w:vAlign w:val="center"/>
                </w:tcPr>
                <w:p w14:paraId="0F24E9C5">
                  <w:pPr>
                    <w:pStyle w:val="42"/>
                    <w:rPr>
                      <w:rFonts w:hint="eastAsia"/>
                      <w:color w:val="auto"/>
                      <w:sz w:val="21"/>
                      <w:szCs w:val="21"/>
                      <w:lang w:val="en-US" w:eastAsia="zh-CN"/>
                    </w:rPr>
                  </w:pPr>
                  <w:r>
                    <w:rPr>
                      <w:rFonts w:hint="eastAsia"/>
                      <w:color w:val="auto"/>
                      <w:sz w:val="21"/>
                      <w:szCs w:val="21"/>
                      <w:lang w:val="en-US" w:eastAsia="zh-CN"/>
                    </w:rPr>
                    <w:t>悬浮剂生产线废气（2#车间）、水乳剂生产线废气（3#车间）、水剂生产线废气（4#车间）投料粉尘</w:t>
                  </w:r>
                </w:p>
              </w:tc>
              <w:tc>
                <w:tcPr>
                  <w:tcW w:w="990" w:type="dxa"/>
                  <w:tcBorders>
                    <w:tl2br w:val="nil"/>
                    <w:tr2bl w:val="nil"/>
                  </w:tcBorders>
                  <w:vAlign w:val="center"/>
                </w:tcPr>
                <w:p w14:paraId="1628DA4C">
                  <w:pPr>
                    <w:pStyle w:val="42"/>
                    <w:rPr>
                      <w:rFonts w:hint="eastAsia"/>
                      <w:color w:val="auto"/>
                      <w:sz w:val="21"/>
                      <w:szCs w:val="21"/>
                      <w:lang w:val="en-US" w:eastAsia="zh-CN"/>
                    </w:rPr>
                  </w:pPr>
                  <w:r>
                    <w:rPr>
                      <w:rFonts w:hint="eastAsia"/>
                      <w:color w:val="auto"/>
                      <w:sz w:val="21"/>
                      <w:szCs w:val="21"/>
                      <w:lang w:val="en-US" w:eastAsia="zh-CN"/>
                    </w:rPr>
                    <w:t>颗粒物</w:t>
                  </w:r>
                </w:p>
              </w:tc>
              <w:tc>
                <w:tcPr>
                  <w:tcW w:w="3769" w:type="dxa"/>
                  <w:tcBorders>
                    <w:tl2br w:val="nil"/>
                    <w:tr2bl w:val="nil"/>
                  </w:tcBorders>
                  <w:vAlign w:val="center"/>
                </w:tcPr>
                <w:p w14:paraId="384B6423">
                  <w:pPr>
                    <w:pStyle w:val="42"/>
                    <w:rPr>
                      <w:rFonts w:hint="eastAsia"/>
                      <w:color w:val="auto"/>
                      <w:sz w:val="21"/>
                      <w:szCs w:val="21"/>
                      <w:lang w:val="en-US" w:eastAsia="zh-CN"/>
                    </w:rPr>
                  </w:pPr>
                  <w:r>
                    <w:rPr>
                      <w:rFonts w:hint="eastAsia"/>
                      <w:color w:val="auto"/>
                      <w:sz w:val="21"/>
                      <w:szCs w:val="21"/>
                      <w:lang w:val="en-US" w:eastAsia="zh-CN"/>
                    </w:rPr>
                    <w:t>在投料口设置三面围挡，投料口减少落差等方式，减少无组织排放</w:t>
                  </w:r>
                </w:p>
              </w:tc>
            </w:tr>
            <w:tr w14:paraId="1DC8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3" w:type="dxa"/>
                  <w:vMerge w:val="continue"/>
                  <w:tcBorders>
                    <w:tl2br w:val="nil"/>
                    <w:tr2bl w:val="nil"/>
                  </w:tcBorders>
                  <w:vAlign w:val="center"/>
                </w:tcPr>
                <w:p w14:paraId="149B7FAE">
                  <w:pPr>
                    <w:pStyle w:val="42"/>
                    <w:rPr>
                      <w:color w:val="auto"/>
                      <w:sz w:val="21"/>
                      <w:szCs w:val="21"/>
                    </w:rPr>
                  </w:pPr>
                </w:p>
              </w:tc>
              <w:tc>
                <w:tcPr>
                  <w:tcW w:w="709" w:type="dxa"/>
                  <w:vMerge w:val="continue"/>
                  <w:tcBorders>
                    <w:tl2br w:val="nil"/>
                    <w:tr2bl w:val="nil"/>
                  </w:tcBorders>
                  <w:vAlign w:val="center"/>
                </w:tcPr>
                <w:p w14:paraId="2C7DF23B">
                  <w:pPr>
                    <w:pStyle w:val="42"/>
                    <w:rPr>
                      <w:rFonts w:hint="eastAsia"/>
                      <w:color w:val="auto"/>
                      <w:sz w:val="21"/>
                      <w:szCs w:val="21"/>
                      <w:lang w:val="en-US" w:eastAsia="zh-CN"/>
                    </w:rPr>
                  </w:pPr>
                </w:p>
              </w:tc>
              <w:tc>
                <w:tcPr>
                  <w:tcW w:w="2078" w:type="dxa"/>
                  <w:tcBorders>
                    <w:tl2br w:val="nil"/>
                    <w:tr2bl w:val="nil"/>
                  </w:tcBorders>
                  <w:vAlign w:val="center"/>
                </w:tcPr>
                <w:p w14:paraId="76C287DD">
                  <w:pPr>
                    <w:pStyle w:val="42"/>
                    <w:rPr>
                      <w:rFonts w:hint="eastAsia"/>
                      <w:color w:val="auto"/>
                      <w:sz w:val="21"/>
                      <w:szCs w:val="21"/>
                      <w:lang w:val="en-US" w:eastAsia="zh-CN"/>
                    </w:rPr>
                  </w:pPr>
                  <w:r>
                    <w:rPr>
                      <w:rFonts w:hint="eastAsia"/>
                      <w:color w:val="auto"/>
                      <w:sz w:val="21"/>
                      <w:szCs w:val="21"/>
                      <w:lang w:val="en-US" w:eastAsia="zh-CN"/>
                    </w:rPr>
                    <w:t>可湿性粉剂生产线废气（1#车间）投料、包装、粉碎粉尘</w:t>
                  </w:r>
                </w:p>
              </w:tc>
              <w:tc>
                <w:tcPr>
                  <w:tcW w:w="990" w:type="dxa"/>
                  <w:tcBorders>
                    <w:tl2br w:val="nil"/>
                    <w:tr2bl w:val="nil"/>
                  </w:tcBorders>
                  <w:vAlign w:val="center"/>
                </w:tcPr>
                <w:p w14:paraId="1FE31F99">
                  <w:pPr>
                    <w:pStyle w:val="42"/>
                    <w:rPr>
                      <w:rFonts w:hint="eastAsia"/>
                      <w:color w:val="auto"/>
                      <w:sz w:val="21"/>
                      <w:szCs w:val="21"/>
                      <w:lang w:val="en-US" w:eastAsia="zh-CN"/>
                    </w:rPr>
                  </w:pPr>
                  <w:r>
                    <w:rPr>
                      <w:rFonts w:hint="eastAsia"/>
                      <w:color w:val="auto"/>
                      <w:sz w:val="21"/>
                      <w:szCs w:val="21"/>
                      <w:lang w:val="en-US" w:eastAsia="zh-CN"/>
                    </w:rPr>
                    <w:t>颗粒物</w:t>
                  </w:r>
                </w:p>
              </w:tc>
              <w:tc>
                <w:tcPr>
                  <w:tcW w:w="3769" w:type="dxa"/>
                  <w:tcBorders>
                    <w:tl2br w:val="nil"/>
                    <w:tr2bl w:val="nil"/>
                  </w:tcBorders>
                  <w:vAlign w:val="center"/>
                </w:tcPr>
                <w:p w14:paraId="7E5ECBF6">
                  <w:pPr>
                    <w:pStyle w:val="42"/>
                    <w:rPr>
                      <w:rFonts w:hint="eastAsia"/>
                      <w:color w:val="auto"/>
                      <w:sz w:val="21"/>
                      <w:szCs w:val="21"/>
                      <w:lang w:val="en-US" w:eastAsia="zh-CN"/>
                    </w:rPr>
                  </w:pPr>
                  <w:r>
                    <w:rPr>
                      <w:rFonts w:hint="eastAsia"/>
                      <w:color w:val="auto"/>
                      <w:sz w:val="21"/>
                      <w:szCs w:val="21"/>
                      <w:lang w:val="en-US" w:eastAsia="zh-CN"/>
                    </w:rPr>
                    <w:t>由设备上方设置的集气罩收集后（粉尘收集率为30%）经生产线配备的布袋除尘器处理（3000m</w:t>
                  </w:r>
                  <w:r>
                    <w:rPr>
                      <w:rFonts w:hint="eastAsia"/>
                      <w:color w:val="auto"/>
                      <w:sz w:val="21"/>
                      <w:szCs w:val="21"/>
                      <w:vertAlign w:val="superscript"/>
                      <w:lang w:val="en-US" w:eastAsia="zh-CN"/>
                    </w:rPr>
                    <w:t>3</w:t>
                  </w:r>
                  <w:r>
                    <w:rPr>
                      <w:rFonts w:hint="eastAsia"/>
                      <w:color w:val="auto"/>
                      <w:sz w:val="21"/>
                      <w:szCs w:val="21"/>
                      <w:lang w:val="en-US" w:eastAsia="zh-CN"/>
                    </w:rPr>
                    <w:t>/h），处理效率99%，15m排气筒排放（DA001）</w:t>
                  </w:r>
                </w:p>
              </w:tc>
            </w:tr>
            <w:tr w14:paraId="5AE2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3" w:type="dxa"/>
                  <w:vMerge w:val="continue"/>
                  <w:tcBorders>
                    <w:tl2br w:val="nil"/>
                    <w:tr2bl w:val="nil"/>
                  </w:tcBorders>
                  <w:vAlign w:val="center"/>
                </w:tcPr>
                <w:p w14:paraId="427BC6C0">
                  <w:pPr>
                    <w:pStyle w:val="42"/>
                    <w:rPr>
                      <w:color w:val="auto"/>
                      <w:sz w:val="21"/>
                      <w:szCs w:val="21"/>
                    </w:rPr>
                  </w:pPr>
                </w:p>
              </w:tc>
              <w:tc>
                <w:tcPr>
                  <w:tcW w:w="709" w:type="dxa"/>
                  <w:vMerge w:val="continue"/>
                  <w:tcBorders>
                    <w:tl2br w:val="nil"/>
                    <w:tr2bl w:val="nil"/>
                  </w:tcBorders>
                  <w:vAlign w:val="center"/>
                </w:tcPr>
                <w:p w14:paraId="43192419">
                  <w:pPr>
                    <w:pStyle w:val="42"/>
                    <w:rPr>
                      <w:rFonts w:hint="eastAsia"/>
                      <w:color w:val="auto"/>
                      <w:sz w:val="21"/>
                      <w:szCs w:val="21"/>
                      <w:lang w:val="en-US" w:eastAsia="zh-CN"/>
                    </w:rPr>
                  </w:pPr>
                </w:p>
              </w:tc>
              <w:tc>
                <w:tcPr>
                  <w:tcW w:w="2078" w:type="dxa"/>
                  <w:tcBorders>
                    <w:tl2br w:val="nil"/>
                    <w:tr2bl w:val="nil"/>
                  </w:tcBorders>
                  <w:vAlign w:val="center"/>
                </w:tcPr>
                <w:p w14:paraId="15FFED3A">
                  <w:pPr>
                    <w:pStyle w:val="42"/>
                    <w:rPr>
                      <w:rFonts w:hint="eastAsia"/>
                      <w:color w:val="auto"/>
                      <w:sz w:val="21"/>
                      <w:szCs w:val="21"/>
                      <w:lang w:val="en-US" w:eastAsia="zh-CN"/>
                    </w:rPr>
                  </w:pPr>
                  <w:r>
                    <w:rPr>
                      <w:rFonts w:hint="eastAsia"/>
                      <w:color w:val="auto"/>
                      <w:sz w:val="21"/>
                      <w:szCs w:val="21"/>
                      <w:lang w:val="en-US" w:eastAsia="zh-CN"/>
                    </w:rPr>
                    <w:t>水乳剂生产线废气（3#车间）搅拌、配制有机废气</w:t>
                  </w:r>
                </w:p>
              </w:tc>
              <w:tc>
                <w:tcPr>
                  <w:tcW w:w="990" w:type="dxa"/>
                  <w:tcBorders>
                    <w:tl2br w:val="nil"/>
                    <w:tr2bl w:val="nil"/>
                  </w:tcBorders>
                  <w:vAlign w:val="center"/>
                </w:tcPr>
                <w:p w14:paraId="73187A90">
                  <w:pPr>
                    <w:pStyle w:val="42"/>
                    <w:rPr>
                      <w:rFonts w:hint="default"/>
                      <w:color w:val="auto"/>
                      <w:sz w:val="21"/>
                      <w:szCs w:val="21"/>
                      <w:lang w:val="en-US" w:eastAsia="zh-CN"/>
                    </w:rPr>
                  </w:pPr>
                  <w:r>
                    <w:rPr>
                      <w:rFonts w:hint="eastAsia"/>
                      <w:color w:val="auto"/>
                      <w:sz w:val="21"/>
                      <w:szCs w:val="21"/>
                      <w:lang w:val="en-US" w:eastAsia="zh-CN"/>
                    </w:rPr>
                    <w:t>非甲烷总烃</w:t>
                  </w:r>
                </w:p>
              </w:tc>
              <w:tc>
                <w:tcPr>
                  <w:tcW w:w="3769" w:type="dxa"/>
                  <w:tcBorders>
                    <w:tl2br w:val="nil"/>
                    <w:tr2bl w:val="nil"/>
                  </w:tcBorders>
                  <w:vAlign w:val="center"/>
                </w:tcPr>
                <w:p w14:paraId="3186CBF2">
                  <w:pPr>
                    <w:pStyle w:val="42"/>
                    <w:rPr>
                      <w:rFonts w:hint="eastAsia"/>
                      <w:color w:val="auto"/>
                      <w:sz w:val="21"/>
                      <w:szCs w:val="21"/>
                      <w:lang w:val="en-US" w:eastAsia="zh-CN"/>
                    </w:rPr>
                  </w:pPr>
                  <w:r>
                    <w:rPr>
                      <w:rFonts w:hint="eastAsia"/>
                      <w:color w:val="auto"/>
                      <w:sz w:val="21"/>
                      <w:szCs w:val="21"/>
                      <w:lang w:val="en-US" w:eastAsia="zh-CN"/>
                    </w:rPr>
                    <w:t>通过管道（收集效率95%）收集“二级活性炭”（5000m</w:t>
                  </w:r>
                  <w:r>
                    <w:rPr>
                      <w:rFonts w:hint="eastAsia"/>
                      <w:color w:val="auto"/>
                      <w:sz w:val="21"/>
                      <w:szCs w:val="21"/>
                      <w:vertAlign w:val="superscript"/>
                      <w:lang w:val="en-US" w:eastAsia="zh-CN"/>
                    </w:rPr>
                    <w:t>3</w:t>
                  </w:r>
                  <w:r>
                    <w:rPr>
                      <w:rFonts w:hint="eastAsia"/>
                      <w:color w:val="auto"/>
                      <w:sz w:val="21"/>
                      <w:szCs w:val="21"/>
                      <w:lang w:val="en-US" w:eastAsia="zh-CN"/>
                    </w:rPr>
                    <w:t>/h）处理后15m排放（DA002）</w:t>
                  </w:r>
                </w:p>
              </w:tc>
            </w:tr>
            <w:tr w14:paraId="11C9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3" w:type="dxa"/>
                  <w:vMerge w:val="continue"/>
                  <w:tcBorders>
                    <w:tl2br w:val="nil"/>
                    <w:tr2bl w:val="nil"/>
                  </w:tcBorders>
                  <w:vAlign w:val="center"/>
                </w:tcPr>
                <w:p w14:paraId="3CC107B9">
                  <w:pPr>
                    <w:pStyle w:val="42"/>
                    <w:rPr>
                      <w:color w:val="auto"/>
                      <w:sz w:val="21"/>
                      <w:szCs w:val="21"/>
                    </w:rPr>
                  </w:pPr>
                </w:p>
              </w:tc>
              <w:tc>
                <w:tcPr>
                  <w:tcW w:w="709" w:type="dxa"/>
                  <w:vMerge w:val="continue"/>
                  <w:tcBorders>
                    <w:tl2br w:val="nil"/>
                    <w:tr2bl w:val="nil"/>
                  </w:tcBorders>
                  <w:vAlign w:val="center"/>
                </w:tcPr>
                <w:p w14:paraId="20134AC6">
                  <w:pPr>
                    <w:pStyle w:val="42"/>
                    <w:rPr>
                      <w:rFonts w:hint="eastAsia"/>
                      <w:color w:val="auto"/>
                      <w:sz w:val="21"/>
                      <w:szCs w:val="21"/>
                      <w:lang w:val="en-US" w:eastAsia="zh-CN"/>
                    </w:rPr>
                  </w:pPr>
                </w:p>
              </w:tc>
              <w:tc>
                <w:tcPr>
                  <w:tcW w:w="2078" w:type="dxa"/>
                  <w:tcBorders>
                    <w:tl2br w:val="nil"/>
                    <w:tr2bl w:val="nil"/>
                  </w:tcBorders>
                  <w:vAlign w:val="center"/>
                </w:tcPr>
                <w:p w14:paraId="06C35F27">
                  <w:pPr>
                    <w:pStyle w:val="42"/>
                    <w:rPr>
                      <w:rFonts w:hint="eastAsia"/>
                      <w:color w:val="auto"/>
                      <w:sz w:val="21"/>
                      <w:szCs w:val="21"/>
                      <w:lang w:val="en-US" w:eastAsia="zh-CN"/>
                    </w:rPr>
                  </w:pPr>
                  <w:r>
                    <w:rPr>
                      <w:rFonts w:hint="default"/>
                      <w:color w:val="auto"/>
                      <w:sz w:val="21"/>
                      <w:szCs w:val="21"/>
                      <w:lang w:val="en-US" w:eastAsia="zh-CN"/>
                    </w:rPr>
                    <w:t>农药生产异味</w:t>
                  </w:r>
                </w:p>
              </w:tc>
              <w:tc>
                <w:tcPr>
                  <w:tcW w:w="990" w:type="dxa"/>
                  <w:tcBorders>
                    <w:tl2br w:val="nil"/>
                    <w:tr2bl w:val="nil"/>
                  </w:tcBorders>
                  <w:vAlign w:val="center"/>
                </w:tcPr>
                <w:p w14:paraId="0496CDED">
                  <w:pPr>
                    <w:pStyle w:val="42"/>
                    <w:rPr>
                      <w:rFonts w:hint="default"/>
                      <w:color w:val="auto"/>
                      <w:sz w:val="21"/>
                      <w:szCs w:val="21"/>
                      <w:lang w:val="en-US" w:eastAsia="zh-CN"/>
                    </w:rPr>
                  </w:pPr>
                  <w:r>
                    <w:rPr>
                      <w:rFonts w:hint="eastAsia"/>
                      <w:color w:val="auto"/>
                      <w:sz w:val="21"/>
                      <w:szCs w:val="21"/>
                      <w:lang w:val="en-US" w:eastAsia="zh-CN"/>
                    </w:rPr>
                    <w:t>臭气浓度</w:t>
                  </w:r>
                </w:p>
              </w:tc>
              <w:tc>
                <w:tcPr>
                  <w:tcW w:w="3769" w:type="dxa"/>
                  <w:tcBorders>
                    <w:tl2br w:val="nil"/>
                    <w:tr2bl w:val="nil"/>
                  </w:tcBorders>
                  <w:vAlign w:val="center"/>
                </w:tcPr>
                <w:p w14:paraId="0EDAFA95">
                  <w:pPr>
                    <w:pStyle w:val="42"/>
                    <w:rPr>
                      <w:rFonts w:hint="eastAsia"/>
                      <w:color w:val="auto"/>
                      <w:sz w:val="21"/>
                      <w:szCs w:val="21"/>
                      <w:lang w:val="en-US" w:eastAsia="zh-CN"/>
                    </w:rPr>
                  </w:pPr>
                  <w:r>
                    <w:rPr>
                      <w:rFonts w:hint="eastAsia"/>
                      <w:color w:val="auto"/>
                      <w:sz w:val="21"/>
                      <w:szCs w:val="21"/>
                      <w:lang w:val="en-US" w:eastAsia="zh-CN"/>
                    </w:rPr>
                    <w:t>水乳剂生产线（3#车间）异味气体两级活性炭吸附装置处理后引至排气筒高空排放（DA002），其余生产线无组织排放的异味经车间强制通风换气外排实验废气设置通风橱，有机废气经收集后由管道通入活性炭吸附装置处理后排放。</w:t>
                  </w:r>
                </w:p>
              </w:tc>
            </w:tr>
            <w:tr w14:paraId="50FE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3" w:type="dxa"/>
                  <w:vMerge w:val="continue"/>
                  <w:tcBorders>
                    <w:tl2br w:val="nil"/>
                    <w:tr2bl w:val="nil"/>
                  </w:tcBorders>
                  <w:vAlign w:val="center"/>
                </w:tcPr>
                <w:p w14:paraId="5744E7EE">
                  <w:pPr>
                    <w:pStyle w:val="42"/>
                    <w:rPr>
                      <w:color w:val="auto"/>
                      <w:sz w:val="21"/>
                      <w:szCs w:val="21"/>
                    </w:rPr>
                  </w:pPr>
                </w:p>
              </w:tc>
              <w:tc>
                <w:tcPr>
                  <w:tcW w:w="709" w:type="dxa"/>
                  <w:vMerge w:val="continue"/>
                  <w:tcBorders>
                    <w:tl2br w:val="nil"/>
                    <w:tr2bl w:val="nil"/>
                  </w:tcBorders>
                  <w:vAlign w:val="center"/>
                </w:tcPr>
                <w:p w14:paraId="306A5939">
                  <w:pPr>
                    <w:pStyle w:val="42"/>
                    <w:rPr>
                      <w:rFonts w:hint="eastAsia"/>
                      <w:color w:val="auto"/>
                      <w:sz w:val="21"/>
                      <w:szCs w:val="21"/>
                      <w:lang w:val="en-US" w:eastAsia="zh-CN"/>
                    </w:rPr>
                  </w:pPr>
                </w:p>
              </w:tc>
              <w:tc>
                <w:tcPr>
                  <w:tcW w:w="2078" w:type="dxa"/>
                  <w:tcBorders>
                    <w:tl2br w:val="nil"/>
                    <w:tr2bl w:val="nil"/>
                  </w:tcBorders>
                  <w:vAlign w:val="center"/>
                </w:tcPr>
                <w:p w14:paraId="00816BE2">
                  <w:pPr>
                    <w:pStyle w:val="42"/>
                    <w:rPr>
                      <w:rFonts w:hint="default"/>
                      <w:color w:val="auto"/>
                      <w:sz w:val="21"/>
                      <w:szCs w:val="21"/>
                      <w:lang w:val="en-US" w:eastAsia="zh-CN"/>
                    </w:rPr>
                  </w:pPr>
                  <w:r>
                    <w:rPr>
                      <w:rFonts w:hint="eastAsia"/>
                      <w:color w:val="auto"/>
                      <w:sz w:val="21"/>
                      <w:szCs w:val="21"/>
                      <w:lang w:val="en-US" w:eastAsia="zh-CN"/>
                    </w:rPr>
                    <w:t>实验废气</w:t>
                  </w:r>
                </w:p>
              </w:tc>
              <w:tc>
                <w:tcPr>
                  <w:tcW w:w="990" w:type="dxa"/>
                  <w:tcBorders>
                    <w:tl2br w:val="nil"/>
                    <w:tr2bl w:val="nil"/>
                  </w:tcBorders>
                  <w:vAlign w:val="center"/>
                </w:tcPr>
                <w:p w14:paraId="21611AF6">
                  <w:pPr>
                    <w:pStyle w:val="42"/>
                    <w:rPr>
                      <w:rFonts w:hint="default"/>
                      <w:color w:val="auto"/>
                      <w:sz w:val="21"/>
                      <w:szCs w:val="21"/>
                      <w:lang w:val="en-US" w:eastAsia="zh-CN"/>
                    </w:rPr>
                  </w:pPr>
                  <w:r>
                    <w:rPr>
                      <w:rFonts w:hint="eastAsia"/>
                      <w:color w:val="auto"/>
                      <w:sz w:val="21"/>
                      <w:szCs w:val="21"/>
                      <w:lang w:val="en-US" w:eastAsia="zh-CN"/>
                    </w:rPr>
                    <w:t>VOCs</w:t>
                  </w:r>
                </w:p>
              </w:tc>
              <w:tc>
                <w:tcPr>
                  <w:tcW w:w="3769" w:type="dxa"/>
                  <w:tcBorders>
                    <w:tl2br w:val="nil"/>
                    <w:tr2bl w:val="nil"/>
                  </w:tcBorders>
                  <w:vAlign w:val="center"/>
                </w:tcPr>
                <w:p w14:paraId="67B108F8">
                  <w:pPr>
                    <w:pStyle w:val="42"/>
                    <w:rPr>
                      <w:rFonts w:hint="eastAsia"/>
                      <w:color w:val="auto"/>
                      <w:sz w:val="21"/>
                      <w:szCs w:val="21"/>
                      <w:lang w:val="en-US" w:eastAsia="zh-CN"/>
                    </w:rPr>
                  </w:pPr>
                  <w:r>
                    <w:rPr>
                      <w:rFonts w:hint="eastAsia"/>
                      <w:color w:val="auto"/>
                      <w:sz w:val="21"/>
                      <w:szCs w:val="21"/>
                      <w:lang w:val="en-US" w:eastAsia="zh-CN"/>
                    </w:rPr>
                    <w:t>设置通风橱，有机废气经收集后由管道通入二级活性炭吸附装置处理后排放。</w:t>
                  </w:r>
                </w:p>
              </w:tc>
            </w:tr>
            <w:tr w14:paraId="146F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3" w:type="dxa"/>
                  <w:vMerge w:val="continue"/>
                  <w:tcBorders>
                    <w:tl2br w:val="nil"/>
                    <w:tr2bl w:val="nil"/>
                  </w:tcBorders>
                  <w:vAlign w:val="center"/>
                </w:tcPr>
                <w:p w14:paraId="1BABD249">
                  <w:pPr>
                    <w:pStyle w:val="42"/>
                    <w:rPr>
                      <w:color w:val="auto"/>
                      <w:sz w:val="21"/>
                      <w:szCs w:val="21"/>
                    </w:rPr>
                  </w:pPr>
                </w:p>
              </w:tc>
              <w:tc>
                <w:tcPr>
                  <w:tcW w:w="709" w:type="dxa"/>
                  <w:vMerge w:val="continue"/>
                  <w:tcBorders>
                    <w:tl2br w:val="nil"/>
                    <w:tr2bl w:val="nil"/>
                  </w:tcBorders>
                  <w:vAlign w:val="center"/>
                </w:tcPr>
                <w:p w14:paraId="6F09688A">
                  <w:pPr>
                    <w:pStyle w:val="42"/>
                    <w:rPr>
                      <w:rFonts w:hint="eastAsia"/>
                      <w:color w:val="auto"/>
                      <w:sz w:val="21"/>
                      <w:szCs w:val="21"/>
                      <w:lang w:val="en-US" w:eastAsia="zh-CN"/>
                    </w:rPr>
                  </w:pPr>
                </w:p>
              </w:tc>
              <w:tc>
                <w:tcPr>
                  <w:tcW w:w="2078" w:type="dxa"/>
                  <w:tcBorders>
                    <w:tl2br w:val="nil"/>
                    <w:tr2bl w:val="nil"/>
                  </w:tcBorders>
                  <w:vAlign w:val="center"/>
                </w:tcPr>
                <w:p w14:paraId="231AF058">
                  <w:pPr>
                    <w:pStyle w:val="42"/>
                    <w:rPr>
                      <w:rFonts w:hint="default"/>
                      <w:color w:val="auto"/>
                      <w:sz w:val="21"/>
                      <w:szCs w:val="21"/>
                      <w:lang w:val="en-US" w:eastAsia="zh-CN"/>
                    </w:rPr>
                  </w:pPr>
                  <w:r>
                    <w:rPr>
                      <w:rFonts w:hint="eastAsia"/>
                      <w:color w:val="auto"/>
                      <w:sz w:val="21"/>
                      <w:szCs w:val="21"/>
                      <w:lang w:val="en-US" w:eastAsia="zh-CN"/>
                    </w:rPr>
                    <w:t>食堂油烟</w:t>
                  </w:r>
                </w:p>
              </w:tc>
              <w:tc>
                <w:tcPr>
                  <w:tcW w:w="990" w:type="dxa"/>
                  <w:tcBorders>
                    <w:tl2br w:val="nil"/>
                    <w:tr2bl w:val="nil"/>
                  </w:tcBorders>
                  <w:vAlign w:val="center"/>
                </w:tcPr>
                <w:p w14:paraId="72C3924B">
                  <w:pPr>
                    <w:pStyle w:val="42"/>
                    <w:rPr>
                      <w:rFonts w:hint="default"/>
                      <w:color w:val="auto"/>
                      <w:sz w:val="21"/>
                      <w:szCs w:val="21"/>
                      <w:lang w:val="en-US" w:eastAsia="zh-CN"/>
                    </w:rPr>
                  </w:pPr>
                  <w:r>
                    <w:rPr>
                      <w:rFonts w:hint="eastAsia"/>
                      <w:color w:val="auto"/>
                      <w:sz w:val="21"/>
                      <w:szCs w:val="21"/>
                      <w:lang w:val="en-US" w:eastAsia="zh-CN"/>
                    </w:rPr>
                    <w:t>油烟</w:t>
                  </w:r>
                </w:p>
              </w:tc>
              <w:tc>
                <w:tcPr>
                  <w:tcW w:w="3769" w:type="dxa"/>
                  <w:tcBorders>
                    <w:tl2br w:val="nil"/>
                    <w:tr2bl w:val="nil"/>
                  </w:tcBorders>
                  <w:vAlign w:val="center"/>
                </w:tcPr>
                <w:p w14:paraId="05DE2F72">
                  <w:pPr>
                    <w:pStyle w:val="42"/>
                    <w:rPr>
                      <w:rFonts w:hint="eastAsia"/>
                      <w:color w:val="auto"/>
                      <w:sz w:val="21"/>
                      <w:szCs w:val="21"/>
                      <w:lang w:val="en-US" w:eastAsia="zh-CN"/>
                    </w:rPr>
                  </w:pPr>
                  <w:r>
                    <w:rPr>
                      <w:rFonts w:hint="eastAsia"/>
                      <w:color w:val="auto"/>
                      <w:sz w:val="21"/>
                      <w:szCs w:val="21"/>
                      <w:lang w:val="en-US" w:eastAsia="zh-CN"/>
                    </w:rPr>
                    <w:t>油烟净化装置处理油烟，油烟机排风量为2000m</w:t>
                  </w:r>
                  <w:r>
                    <w:rPr>
                      <w:rFonts w:hint="eastAsia"/>
                      <w:color w:val="auto"/>
                      <w:sz w:val="21"/>
                      <w:szCs w:val="21"/>
                      <w:vertAlign w:val="superscript"/>
                      <w:lang w:val="en-US" w:eastAsia="zh-CN"/>
                    </w:rPr>
                    <w:t>3</w:t>
                  </w:r>
                  <w:r>
                    <w:rPr>
                      <w:rFonts w:hint="eastAsia"/>
                      <w:color w:val="auto"/>
                      <w:sz w:val="21"/>
                      <w:szCs w:val="21"/>
                      <w:lang w:val="en-US" w:eastAsia="zh-CN"/>
                    </w:rPr>
                    <w:t>/h，处理后的油烟统一进入专用排烟管于楼顶</w:t>
                  </w:r>
                </w:p>
              </w:tc>
            </w:tr>
            <w:tr w14:paraId="7187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3" w:type="dxa"/>
                  <w:vMerge w:val="continue"/>
                  <w:tcBorders>
                    <w:tl2br w:val="nil"/>
                    <w:tr2bl w:val="nil"/>
                  </w:tcBorders>
                  <w:vAlign w:val="center"/>
                </w:tcPr>
                <w:p w14:paraId="44E32DE3">
                  <w:pPr>
                    <w:pStyle w:val="42"/>
                    <w:rPr>
                      <w:color w:val="auto"/>
                      <w:sz w:val="21"/>
                      <w:szCs w:val="21"/>
                    </w:rPr>
                  </w:pPr>
                </w:p>
              </w:tc>
              <w:tc>
                <w:tcPr>
                  <w:tcW w:w="709" w:type="dxa"/>
                  <w:vMerge w:val="restart"/>
                  <w:tcBorders>
                    <w:tl2br w:val="nil"/>
                    <w:tr2bl w:val="nil"/>
                  </w:tcBorders>
                  <w:vAlign w:val="center"/>
                </w:tcPr>
                <w:p w14:paraId="4CF7BC3E">
                  <w:pPr>
                    <w:pStyle w:val="42"/>
                    <w:rPr>
                      <w:rFonts w:hint="eastAsia"/>
                      <w:color w:val="auto"/>
                      <w:sz w:val="21"/>
                      <w:szCs w:val="21"/>
                      <w:lang w:val="en-US" w:eastAsia="zh-CN"/>
                    </w:rPr>
                  </w:pPr>
                  <w:r>
                    <w:rPr>
                      <w:rFonts w:hint="eastAsia"/>
                      <w:color w:val="auto"/>
                      <w:sz w:val="21"/>
                      <w:szCs w:val="21"/>
                      <w:lang w:val="en-US" w:eastAsia="zh-CN"/>
                    </w:rPr>
                    <w:t>废水</w:t>
                  </w:r>
                </w:p>
              </w:tc>
              <w:tc>
                <w:tcPr>
                  <w:tcW w:w="2078" w:type="dxa"/>
                  <w:tcBorders>
                    <w:tl2br w:val="nil"/>
                    <w:tr2bl w:val="nil"/>
                  </w:tcBorders>
                  <w:vAlign w:val="center"/>
                </w:tcPr>
                <w:p w14:paraId="56FD8172">
                  <w:pPr>
                    <w:pStyle w:val="42"/>
                    <w:rPr>
                      <w:rFonts w:hint="default"/>
                      <w:color w:val="auto"/>
                      <w:sz w:val="21"/>
                      <w:szCs w:val="21"/>
                      <w:lang w:val="en-US" w:eastAsia="zh-CN"/>
                    </w:rPr>
                  </w:pPr>
                  <w:r>
                    <w:rPr>
                      <w:rFonts w:hint="eastAsia"/>
                      <w:color w:val="auto"/>
                      <w:sz w:val="21"/>
                      <w:szCs w:val="21"/>
                      <w:lang w:val="en-US" w:eastAsia="zh-CN"/>
                    </w:rPr>
                    <w:t>设备清洗废水</w:t>
                  </w:r>
                </w:p>
              </w:tc>
              <w:tc>
                <w:tcPr>
                  <w:tcW w:w="990" w:type="dxa"/>
                  <w:tcBorders>
                    <w:tl2br w:val="nil"/>
                    <w:tr2bl w:val="nil"/>
                  </w:tcBorders>
                  <w:vAlign w:val="center"/>
                </w:tcPr>
                <w:p w14:paraId="565BD3F8">
                  <w:pPr>
                    <w:pStyle w:val="42"/>
                    <w:rPr>
                      <w:rFonts w:hint="eastAsia"/>
                      <w:color w:val="auto"/>
                      <w:sz w:val="21"/>
                      <w:szCs w:val="21"/>
                      <w:lang w:val="en-US" w:eastAsia="zh-CN"/>
                    </w:rPr>
                  </w:pPr>
                  <w:r>
                    <w:rPr>
                      <w:rFonts w:hint="eastAsia"/>
                      <w:color w:val="auto"/>
                      <w:sz w:val="21"/>
                      <w:szCs w:val="21"/>
                      <w:lang w:val="en-US" w:eastAsia="zh-CN"/>
                    </w:rPr>
                    <w:t>SS</w:t>
                  </w:r>
                </w:p>
              </w:tc>
              <w:tc>
                <w:tcPr>
                  <w:tcW w:w="3769" w:type="dxa"/>
                  <w:tcBorders>
                    <w:tl2br w:val="nil"/>
                    <w:tr2bl w:val="nil"/>
                  </w:tcBorders>
                  <w:vAlign w:val="center"/>
                </w:tcPr>
                <w:p w14:paraId="3ED7E025">
                  <w:pPr>
                    <w:pStyle w:val="42"/>
                    <w:rPr>
                      <w:rFonts w:hint="eastAsia"/>
                      <w:color w:val="auto"/>
                      <w:sz w:val="21"/>
                      <w:szCs w:val="21"/>
                      <w:lang w:val="en-US" w:eastAsia="zh-CN"/>
                    </w:rPr>
                  </w:pPr>
                  <w:r>
                    <w:rPr>
                      <w:rFonts w:hint="default"/>
                      <w:color w:val="auto"/>
                      <w:sz w:val="21"/>
                      <w:szCs w:val="21"/>
                      <w:lang w:val="en-US" w:eastAsia="zh-CN"/>
                    </w:rPr>
                    <w:t>设备清洗废水收集于清洗罐中，贴上标签，用于下一轮相同产品的生产，不外排</w:t>
                  </w:r>
                  <w:r>
                    <w:rPr>
                      <w:rFonts w:hint="eastAsia"/>
                      <w:color w:val="auto"/>
                      <w:sz w:val="21"/>
                      <w:szCs w:val="21"/>
                      <w:lang w:val="en-US" w:eastAsia="zh-CN"/>
                    </w:rPr>
                    <w:t>。</w:t>
                  </w:r>
                </w:p>
              </w:tc>
            </w:tr>
            <w:tr w14:paraId="594A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76D245C0">
                  <w:pPr>
                    <w:pStyle w:val="42"/>
                    <w:rPr>
                      <w:color w:val="auto"/>
                      <w:sz w:val="21"/>
                      <w:szCs w:val="21"/>
                    </w:rPr>
                  </w:pPr>
                </w:p>
              </w:tc>
              <w:tc>
                <w:tcPr>
                  <w:tcW w:w="709" w:type="dxa"/>
                  <w:vMerge w:val="continue"/>
                  <w:tcBorders>
                    <w:tl2br w:val="nil"/>
                    <w:tr2bl w:val="nil"/>
                  </w:tcBorders>
                  <w:vAlign w:val="center"/>
                </w:tcPr>
                <w:p w14:paraId="7BCADDD8">
                  <w:pPr>
                    <w:pStyle w:val="42"/>
                    <w:rPr>
                      <w:rFonts w:hint="eastAsia"/>
                      <w:color w:val="auto"/>
                      <w:sz w:val="21"/>
                      <w:szCs w:val="21"/>
                      <w:lang w:val="en-US" w:eastAsia="zh-CN"/>
                    </w:rPr>
                  </w:pPr>
                </w:p>
              </w:tc>
              <w:tc>
                <w:tcPr>
                  <w:tcW w:w="2078" w:type="dxa"/>
                  <w:tcBorders>
                    <w:tl2br w:val="nil"/>
                    <w:tr2bl w:val="nil"/>
                  </w:tcBorders>
                  <w:vAlign w:val="center"/>
                </w:tcPr>
                <w:p w14:paraId="30AD947E">
                  <w:pPr>
                    <w:pStyle w:val="42"/>
                    <w:rPr>
                      <w:rFonts w:hint="default"/>
                      <w:color w:val="auto"/>
                      <w:sz w:val="21"/>
                      <w:szCs w:val="21"/>
                      <w:lang w:val="en-US" w:eastAsia="zh-CN"/>
                    </w:rPr>
                  </w:pPr>
                  <w:r>
                    <w:rPr>
                      <w:rFonts w:hint="eastAsia"/>
                      <w:color w:val="auto"/>
                      <w:sz w:val="21"/>
                      <w:szCs w:val="21"/>
                      <w:lang w:val="en-US" w:eastAsia="zh-CN"/>
                    </w:rPr>
                    <w:t>纯水制备废水</w:t>
                  </w:r>
                </w:p>
              </w:tc>
              <w:tc>
                <w:tcPr>
                  <w:tcW w:w="990" w:type="dxa"/>
                  <w:tcBorders>
                    <w:tl2br w:val="nil"/>
                    <w:tr2bl w:val="nil"/>
                  </w:tcBorders>
                  <w:vAlign w:val="center"/>
                </w:tcPr>
                <w:p w14:paraId="0E266458">
                  <w:pPr>
                    <w:pStyle w:val="42"/>
                    <w:rPr>
                      <w:rFonts w:hint="default"/>
                      <w:color w:val="auto"/>
                      <w:sz w:val="21"/>
                      <w:szCs w:val="21"/>
                      <w:lang w:val="en-US" w:eastAsia="zh-CN"/>
                    </w:rPr>
                  </w:pPr>
                  <w:r>
                    <w:rPr>
                      <w:rFonts w:hint="eastAsia"/>
                      <w:color w:val="auto"/>
                      <w:sz w:val="21"/>
                      <w:szCs w:val="21"/>
                      <w:lang w:val="en-US" w:eastAsia="zh-CN"/>
                    </w:rPr>
                    <w:t>SS、COD</w:t>
                  </w:r>
                </w:p>
              </w:tc>
              <w:tc>
                <w:tcPr>
                  <w:tcW w:w="3769" w:type="dxa"/>
                  <w:tcBorders>
                    <w:tl2br w:val="nil"/>
                    <w:tr2bl w:val="nil"/>
                  </w:tcBorders>
                  <w:vAlign w:val="center"/>
                </w:tcPr>
                <w:p w14:paraId="71E42AC7">
                  <w:pPr>
                    <w:pStyle w:val="42"/>
                    <w:rPr>
                      <w:rFonts w:hint="eastAsia"/>
                      <w:color w:val="auto"/>
                      <w:sz w:val="21"/>
                      <w:szCs w:val="21"/>
                      <w:lang w:val="en-US" w:eastAsia="zh-CN"/>
                    </w:rPr>
                  </w:pPr>
                  <w:r>
                    <w:rPr>
                      <w:rFonts w:hint="eastAsia"/>
                      <w:color w:val="auto"/>
                      <w:sz w:val="21"/>
                      <w:szCs w:val="21"/>
                      <w:lang w:val="en-US" w:eastAsia="zh-CN"/>
                    </w:rPr>
                    <w:t>进入预处理池（容积6m</w:t>
                  </w:r>
                  <w:r>
                    <w:rPr>
                      <w:rFonts w:hint="eastAsia"/>
                      <w:color w:val="auto"/>
                      <w:sz w:val="21"/>
                      <w:szCs w:val="21"/>
                      <w:vertAlign w:val="superscript"/>
                      <w:lang w:val="en-US" w:eastAsia="zh-CN"/>
                    </w:rPr>
                    <w:t>3</w:t>
                  </w:r>
                  <w:r>
                    <w:rPr>
                      <w:rFonts w:hint="eastAsia"/>
                      <w:color w:val="auto"/>
                      <w:sz w:val="21"/>
                      <w:szCs w:val="21"/>
                      <w:lang w:val="en-US" w:eastAsia="zh-CN"/>
                    </w:rPr>
                    <w:t>），最终进入市政管网</w:t>
                  </w:r>
                </w:p>
              </w:tc>
            </w:tr>
            <w:tr w14:paraId="54D2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0A8557F0">
                  <w:pPr>
                    <w:pStyle w:val="42"/>
                    <w:rPr>
                      <w:color w:val="auto"/>
                      <w:sz w:val="21"/>
                      <w:szCs w:val="21"/>
                    </w:rPr>
                  </w:pPr>
                </w:p>
              </w:tc>
              <w:tc>
                <w:tcPr>
                  <w:tcW w:w="709" w:type="dxa"/>
                  <w:vMerge w:val="continue"/>
                  <w:tcBorders>
                    <w:tl2br w:val="nil"/>
                    <w:tr2bl w:val="nil"/>
                  </w:tcBorders>
                  <w:vAlign w:val="center"/>
                </w:tcPr>
                <w:p w14:paraId="388B4E6E">
                  <w:pPr>
                    <w:pStyle w:val="42"/>
                    <w:rPr>
                      <w:rFonts w:hint="eastAsia"/>
                      <w:color w:val="auto"/>
                      <w:sz w:val="21"/>
                      <w:szCs w:val="21"/>
                      <w:lang w:val="en-US" w:eastAsia="zh-CN"/>
                    </w:rPr>
                  </w:pPr>
                </w:p>
              </w:tc>
              <w:tc>
                <w:tcPr>
                  <w:tcW w:w="2078" w:type="dxa"/>
                  <w:tcBorders>
                    <w:tl2br w:val="nil"/>
                    <w:tr2bl w:val="nil"/>
                  </w:tcBorders>
                  <w:vAlign w:val="center"/>
                </w:tcPr>
                <w:p w14:paraId="534CAD4C">
                  <w:pPr>
                    <w:pStyle w:val="42"/>
                    <w:rPr>
                      <w:rFonts w:hint="eastAsia"/>
                      <w:color w:val="auto"/>
                      <w:sz w:val="21"/>
                      <w:szCs w:val="21"/>
                      <w:lang w:val="en-US" w:eastAsia="zh-CN"/>
                    </w:rPr>
                  </w:pPr>
                  <w:r>
                    <w:rPr>
                      <w:rFonts w:hint="eastAsia"/>
                      <w:color w:val="auto"/>
                      <w:sz w:val="21"/>
                      <w:szCs w:val="21"/>
                      <w:lang w:val="en-US" w:eastAsia="zh-CN"/>
                    </w:rPr>
                    <w:t>生活污水、食堂废水</w:t>
                  </w:r>
                </w:p>
              </w:tc>
              <w:tc>
                <w:tcPr>
                  <w:tcW w:w="990" w:type="dxa"/>
                  <w:tcBorders>
                    <w:tl2br w:val="nil"/>
                    <w:tr2bl w:val="nil"/>
                  </w:tcBorders>
                  <w:vAlign w:val="center"/>
                </w:tcPr>
                <w:p w14:paraId="3FA1268F">
                  <w:pPr>
                    <w:pStyle w:val="42"/>
                    <w:rPr>
                      <w:rFonts w:hint="eastAsia"/>
                      <w:color w:val="auto"/>
                      <w:sz w:val="21"/>
                      <w:szCs w:val="21"/>
                      <w:lang w:val="en-US" w:eastAsia="zh-CN"/>
                    </w:rPr>
                  </w:pPr>
                  <w:r>
                    <w:rPr>
                      <w:rFonts w:hint="eastAsia"/>
                      <w:color w:val="auto"/>
                      <w:sz w:val="21"/>
                      <w:szCs w:val="21"/>
                      <w:lang w:val="en-US" w:eastAsia="zh-CN"/>
                    </w:rPr>
                    <w:t>COD、BOD、SS、氨氮</w:t>
                  </w:r>
                </w:p>
              </w:tc>
              <w:tc>
                <w:tcPr>
                  <w:tcW w:w="3769" w:type="dxa"/>
                  <w:tcBorders>
                    <w:tl2br w:val="nil"/>
                    <w:tr2bl w:val="nil"/>
                  </w:tcBorders>
                  <w:vAlign w:val="center"/>
                </w:tcPr>
                <w:p w14:paraId="24510FA5">
                  <w:pPr>
                    <w:pStyle w:val="42"/>
                    <w:rPr>
                      <w:rFonts w:hint="eastAsia"/>
                      <w:color w:val="auto"/>
                      <w:sz w:val="21"/>
                      <w:szCs w:val="21"/>
                      <w:lang w:val="en-US" w:eastAsia="zh-CN"/>
                    </w:rPr>
                  </w:pPr>
                  <w:r>
                    <w:rPr>
                      <w:rFonts w:hint="eastAsia"/>
                      <w:color w:val="auto"/>
                      <w:sz w:val="21"/>
                      <w:szCs w:val="21"/>
                      <w:lang w:val="en-US" w:eastAsia="zh-CN"/>
                    </w:rPr>
                    <w:t>食堂废水通过隔油池（容积1m</w:t>
                  </w:r>
                  <w:r>
                    <w:rPr>
                      <w:rFonts w:hint="eastAsia"/>
                      <w:color w:val="auto"/>
                      <w:sz w:val="21"/>
                      <w:szCs w:val="21"/>
                      <w:vertAlign w:val="superscript"/>
                      <w:lang w:val="en-US" w:eastAsia="zh-CN"/>
                    </w:rPr>
                    <w:t>3</w:t>
                  </w:r>
                  <w:r>
                    <w:rPr>
                      <w:rFonts w:hint="eastAsia"/>
                      <w:color w:val="auto"/>
                      <w:sz w:val="21"/>
                      <w:szCs w:val="21"/>
                      <w:lang w:val="en-US" w:eastAsia="zh-CN"/>
                    </w:rPr>
                    <w:t>）处理后与办公生活污水进入预处理池（容积6m</w:t>
                  </w:r>
                  <w:r>
                    <w:rPr>
                      <w:rFonts w:hint="eastAsia"/>
                      <w:color w:val="auto"/>
                      <w:sz w:val="21"/>
                      <w:szCs w:val="21"/>
                      <w:vertAlign w:val="superscript"/>
                      <w:lang w:val="en-US" w:eastAsia="zh-CN"/>
                    </w:rPr>
                    <w:t>3</w:t>
                  </w:r>
                  <w:r>
                    <w:rPr>
                      <w:rFonts w:hint="eastAsia"/>
                      <w:color w:val="auto"/>
                      <w:sz w:val="21"/>
                      <w:szCs w:val="21"/>
                      <w:lang w:val="en-US" w:eastAsia="zh-CN"/>
                    </w:rPr>
                    <w:t>），最终进入市政管网</w:t>
                  </w:r>
                </w:p>
              </w:tc>
            </w:tr>
            <w:tr w14:paraId="0E4A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17BCDF72">
                  <w:pPr>
                    <w:pStyle w:val="42"/>
                    <w:rPr>
                      <w:color w:val="auto"/>
                      <w:sz w:val="21"/>
                      <w:szCs w:val="21"/>
                    </w:rPr>
                  </w:pPr>
                </w:p>
              </w:tc>
              <w:tc>
                <w:tcPr>
                  <w:tcW w:w="709" w:type="dxa"/>
                  <w:tcBorders>
                    <w:tl2br w:val="nil"/>
                    <w:tr2bl w:val="nil"/>
                  </w:tcBorders>
                  <w:vAlign w:val="center"/>
                </w:tcPr>
                <w:p w14:paraId="43D4C7EB">
                  <w:pPr>
                    <w:pStyle w:val="42"/>
                    <w:rPr>
                      <w:color w:val="auto"/>
                      <w:sz w:val="21"/>
                      <w:szCs w:val="21"/>
                    </w:rPr>
                  </w:pPr>
                  <w:r>
                    <w:rPr>
                      <w:color w:val="auto"/>
                      <w:sz w:val="21"/>
                      <w:szCs w:val="21"/>
                    </w:rPr>
                    <w:t>噪声</w:t>
                  </w:r>
                </w:p>
              </w:tc>
              <w:tc>
                <w:tcPr>
                  <w:tcW w:w="2078" w:type="dxa"/>
                  <w:tcBorders>
                    <w:tl2br w:val="nil"/>
                    <w:tr2bl w:val="nil"/>
                  </w:tcBorders>
                  <w:vAlign w:val="center"/>
                </w:tcPr>
                <w:p w14:paraId="5506625A">
                  <w:pPr>
                    <w:pStyle w:val="42"/>
                    <w:rPr>
                      <w:color w:val="auto"/>
                      <w:sz w:val="21"/>
                      <w:szCs w:val="21"/>
                    </w:rPr>
                  </w:pPr>
                  <w:r>
                    <w:rPr>
                      <w:color w:val="auto"/>
                      <w:sz w:val="21"/>
                      <w:szCs w:val="21"/>
                    </w:rPr>
                    <w:t>生产机械设备</w:t>
                  </w:r>
                </w:p>
              </w:tc>
              <w:tc>
                <w:tcPr>
                  <w:tcW w:w="990" w:type="dxa"/>
                  <w:tcBorders>
                    <w:tl2br w:val="nil"/>
                    <w:tr2bl w:val="nil"/>
                  </w:tcBorders>
                  <w:vAlign w:val="center"/>
                </w:tcPr>
                <w:p w14:paraId="70F80AAF">
                  <w:pPr>
                    <w:pStyle w:val="42"/>
                    <w:rPr>
                      <w:color w:val="auto"/>
                      <w:sz w:val="21"/>
                      <w:szCs w:val="21"/>
                    </w:rPr>
                  </w:pPr>
                  <w:r>
                    <w:rPr>
                      <w:color w:val="auto"/>
                      <w:sz w:val="21"/>
                      <w:szCs w:val="21"/>
                    </w:rPr>
                    <w:t>等效A声级</w:t>
                  </w:r>
                </w:p>
              </w:tc>
              <w:tc>
                <w:tcPr>
                  <w:tcW w:w="3769" w:type="dxa"/>
                  <w:tcBorders>
                    <w:tl2br w:val="nil"/>
                    <w:tr2bl w:val="nil"/>
                  </w:tcBorders>
                  <w:vAlign w:val="center"/>
                </w:tcPr>
                <w:p w14:paraId="76BEBC4E">
                  <w:pPr>
                    <w:pStyle w:val="42"/>
                    <w:rPr>
                      <w:color w:val="auto"/>
                      <w:sz w:val="21"/>
                      <w:szCs w:val="21"/>
                    </w:rPr>
                  </w:pPr>
                  <w:r>
                    <w:rPr>
                      <w:color w:val="auto"/>
                      <w:sz w:val="21"/>
                      <w:szCs w:val="21"/>
                    </w:rPr>
                    <w:t>采用低噪声设备、基础减震、厂房隔声</w:t>
                  </w:r>
                </w:p>
              </w:tc>
            </w:tr>
            <w:tr w14:paraId="644C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23" w:type="dxa"/>
                  <w:vMerge w:val="continue"/>
                  <w:tcBorders>
                    <w:tl2br w:val="nil"/>
                    <w:tr2bl w:val="nil"/>
                  </w:tcBorders>
                  <w:vAlign w:val="center"/>
                </w:tcPr>
                <w:p w14:paraId="6AE72CFC">
                  <w:pPr>
                    <w:pStyle w:val="42"/>
                    <w:rPr>
                      <w:color w:val="auto"/>
                      <w:sz w:val="21"/>
                      <w:szCs w:val="21"/>
                    </w:rPr>
                  </w:pPr>
                </w:p>
              </w:tc>
              <w:tc>
                <w:tcPr>
                  <w:tcW w:w="709" w:type="dxa"/>
                  <w:vMerge w:val="restart"/>
                  <w:tcBorders>
                    <w:tl2br w:val="nil"/>
                    <w:tr2bl w:val="nil"/>
                  </w:tcBorders>
                  <w:vAlign w:val="center"/>
                </w:tcPr>
                <w:p w14:paraId="41B5B316">
                  <w:pPr>
                    <w:pStyle w:val="42"/>
                    <w:rPr>
                      <w:color w:val="auto"/>
                      <w:sz w:val="21"/>
                      <w:szCs w:val="21"/>
                    </w:rPr>
                  </w:pPr>
                  <w:r>
                    <w:rPr>
                      <w:color w:val="auto"/>
                      <w:sz w:val="21"/>
                      <w:szCs w:val="21"/>
                    </w:rPr>
                    <w:t>固废</w:t>
                  </w:r>
                </w:p>
              </w:tc>
              <w:tc>
                <w:tcPr>
                  <w:tcW w:w="2078" w:type="dxa"/>
                  <w:tcBorders>
                    <w:tl2br w:val="nil"/>
                    <w:tr2bl w:val="nil"/>
                  </w:tcBorders>
                  <w:vAlign w:val="center"/>
                </w:tcPr>
                <w:p w14:paraId="72A4306D">
                  <w:pPr>
                    <w:pStyle w:val="42"/>
                    <w:rPr>
                      <w:color w:val="auto"/>
                      <w:sz w:val="21"/>
                      <w:szCs w:val="21"/>
                    </w:rPr>
                  </w:pPr>
                  <w:r>
                    <w:rPr>
                      <w:rFonts w:hint="eastAsia"/>
                      <w:color w:val="auto"/>
                      <w:sz w:val="21"/>
                      <w:szCs w:val="21"/>
                    </w:rPr>
                    <w:t>布袋除尘粉尘</w:t>
                  </w:r>
                </w:p>
              </w:tc>
              <w:tc>
                <w:tcPr>
                  <w:tcW w:w="990" w:type="dxa"/>
                  <w:vMerge w:val="restart"/>
                  <w:tcBorders>
                    <w:tl2br w:val="nil"/>
                    <w:tr2bl w:val="nil"/>
                  </w:tcBorders>
                  <w:vAlign w:val="center"/>
                </w:tcPr>
                <w:p w14:paraId="1FE2B2D8">
                  <w:pPr>
                    <w:jc w:val="center"/>
                    <w:rPr>
                      <w:color w:val="auto"/>
                      <w:szCs w:val="21"/>
                    </w:rPr>
                  </w:pPr>
                  <w:r>
                    <w:rPr>
                      <w:color w:val="auto"/>
                      <w:szCs w:val="21"/>
                    </w:rPr>
                    <w:t>一般固废</w:t>
                  </w:r>
                </w:p>
              </w:tc>
              <w:tc>
                <w:tcPr>
                  <w:tcW w:w="3769" w:type="dxa"/>
                  <w:tcBorders>
                    <w:tl2br w:val="nil"/>
                    <w:tr2bl w:val="nil"/>
                  </w:tcBorders>
                  <w:vAlign w:val="center"/>
                </w:tcPr>
                <w:p w14:paraId="56F3DC03">
                  <w:pPr>
                    <w:pStyle w:val="42"/>
                    <w:rPr>
                      <w:color w:val="auto"/>
                      <w:sz w:val="21"/>
                      <w:szCs w:val="21"/>
                    </w:rPr>
                  </w:pPr>
                  <w:r>
                    <w:rPr>
                      <w:rFonts w:hint="eastAsia"/>
                      <w:color w:val="auto"/>
                      <w:sz w:val="21"/>
                      <w:szCs w:val="21"/>
                    </w:rPr>
                    <w:t>收集后作为原料回用，不外排</w:t>
                  </w:r>
                </w:p>
              </w:tc>
            </w:tr>
            <w:tr w14:paraId="6C23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5E3BD115">
                  <w:pPr>
                    <w:pStyle w:val="42"/>
                    <w:rPr>
                      <w:color w:val="auto"/>
                      <w:sz w:val="21"/>
                      <w:szCs w:val="21"/>
                    </w:rPr>
                  </w:pPr>
                </w:p>
              </w:tc>
              <w:tc>
                <w:tcPr>
                  <w:tcW w:w="709" w:type="dxa"/>
                  <w:vMerge w:val="continue"/>
                  <w:tcBorders>
                    <w:tl2br w:val="nil"/>
                    <w:tr2bl w:val="nil"/>
                  </w:tcBorders>
                  <w:vAlign w:val="center"/>
                </w:tcPr>
                <w:p w14:paraId="37D10E1D">
                  <w:pPr>
                    <w:pStyle w:val="42"/>
                    <w:rPr>
                      <w:color w:val="auto"/>
                      <w:sz w:val="21"/>
                      <w:szCs w:val="21"/>
                    </w:rPr>
                  </w:pPr>
                </w:p>
              </w:tc>
              <w:tc>
                <w:tcPr>
                  <w:tcW w:w="2078" w:type="dxa"/>
                  <w:tcBorders>
                    <w:tl2br w:val="nil"/>
                    <w:tr2bl w:val="nil"/>
                  </w:tcBorders>
                  <w:vAlign w:val="center"/>
                </w:tcPr>
                <w:p w14:paraId="6A172F32">
                  <w:pPr>
                    <w:pStyle w:val="42"/>
                    <w:rPr>
                      <w:color w:val="auto"/>
                      <w:sz w:val="21"/>
                      <w:szCs w:val="21"/>
                    </w:rPr>
                  </w:pPr>
                  <w:r>
                    <w:rPr>
                      <w:rFonts w:hint="eastAsia"/>
                      <w:color w:val="auto"/>
                      <w:sz w:val="21"/>
                      <w:szCs w:val="21"/>
                    </w:rPr>
                    <w:t>预处理池污泥</w:t>
                  </w:r>
                </w:p>
              </w:tc>
              <w:tc>
                <w:tcPr>
                  <w:tcW w:w="990" w:type="dxa"/>
                  <w:vMerge w:val="continue"/>
                  <w:tcBorders>
                    <w:tl2br w:val="nil"/>
                    <w:tr2bl w:val="nil"/>
                  </w:tcBorders>
                  <w:vAlign w:val="center"/>
                </w:tcPr>
                <w:p w14:paraId="167A8801">
                  <w:pPr>
                    <w:jc w:val="center"/>
                    <w:rPr>
                      <w:color w:val="auto"/>
                    </w:rPr>
                  </w:pPr>
                </w:p>
              </w:tc>
              <w:tc>
                <w:tcPr>
                  <w:tcW w:w="3769" w:type="dxa"/>
                  <w:tcBorders>
                    <w:tl2br w:val="nil"/>
                    <w:tr2bl w:val="nil"/>
                  </w:tcBorders>
                  <w:vAlign w:val="center"/>
                </w:tcPr>
                <w:p w14:paraId="75C044FC">
                  <w:pPr>
                    <w:pStyle w:val="42"/>
                    <w:rPr>
                      <w:color w:val="auto"/>
                      <w:sz w:val="21"/>
                      <w:szCs w:val="21"/>
                    </w:rPr>
                  </w:pPr>
                  <w:r>
                    <w:rPr>
                      <w:rFonts w:hint="eastAsia"/>
                      <w:color w:val="auto"/>
                      <w:sz w:val="21"/>
                      <w:szCs w:val="21"/>
                    </w:rPr>
                    <w:t>专业单位清运</w:t>
                  </w:r>
                </w:p>
              </w:tc>
            </w:tr>
            <w:tr w14:paraId="08BA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245A5918">
                  <w:pPr>
                    <w:pStyle w:val="42"/>
                    <w:rPr>
                      <w:color w:val="auto"/>
                      <w:sz w:val="21"/>
                      <w:szCs w:val="21"/>
                    </w:rPr>
                  </w:pPr>
                </w:p>
              </w:tc>
              <w:tc>
                <w:tcPr>
                  <w:tcW w:w="709" w:type="dxa"/>
                  <w:vMerge w:val="continue"/>
                  <w:tcBorders>
                    <w:tl2br w:val="nil"/>
                    <w:tr2bl w:val="nil"/>
                  </w:tcBorders>
                  <w:vAlign w:val="center"/>
                </w:tcPr>
                <w:p w14:paraId="3918A564">
                  <w:pPr>
                    <w:pStyle w:val="42"/>
                    <w:rPr>
                      <w:color w:val="auto"/>
                      <w:sz w:val="21"/>
                      <w:szCs w:val="21"/>
                    </w:rPr>
                  </w:pPr>
                </w:p>
              </w:tc>
              <w:tc>
                <w:tcPr>
                  <w:tcW w:w="2078" w:type="dxa"/>
                  <w:tcBorders>
                    <w:tl2br w:val="nil"/>
                    <w:tr2bl w:val="nil"/>
                  </w:tcBorders>
                  <w:vAlign w:val="center"/>
                </w:tcPr>
                <w:p w14:paraId="018DC599">
                  <w:pPr>
                    <w:pStyle w:val="42"/>
                    <w:rPr>
                      <w:color w:val="auto"/>
                      <w:sz w:val="21"/>
                      <w:szCs w:val="21"/>
                    </w:rPr>
                  </w:pPr>
                  <w:r>
                    <w:rPr>
                      <w:rFonts w:hint="eastAsia"/>
                      <w:color w:val="auto"/>
                      <w:sz w:val="21"/>
                      <w:szCs w:val="21"/>
                    </w:rPr>
                    <w:t>餐厨垃圾（含隔油池油脂）</w:t>
                  </w:r>
                </w:p>
              </w:tc>
              <w:tc>
                <w:tcPr>
                  <w:tcW w:w="990" w:type="dxa"/>
                  <w:vMerge w:val="continue"/>
                  <w:tcBorders>
                    <w:tl2br w:val="nil"/>
                    <w:tr2bl w:val="nil"/>
                  </w:tcBorders>
                  <w:vAlign w:val="center"/>
                </w:tcPr>
                <w:p w14:paraId="36E23102">
                  <w:pPr>
                    <w:jc w:val="center"/>
                    <w:rPr>
                      <w:color w:val="auto"/>
                      <w:sz w:val="21"/>
                      <w:szCs w:val="21"/>
                    </w:rPr>
                  </w:pPr>
                </w:p>
              </w:tc>
              <w:tc>
                <w:tcPr>
                  <w:tcW w:w="3769" w:type="dxa"/>
                  <w:tcBorders>
                    <w:tl2br w:val="nil"/>
                    <w:tr2bl w:val="nil"/>
                  </w:tcBorders>
                  <w:vAlign w:val="center"/>
                </w:tcPr>
                <w:p w14:paraId="1E7EFCEF">
                  <w:pPr>
                    <w:pStyle w:val="42"/>
                    <w:rPr>
                      <w:color w:val="auto"/>
                      <w:sz w:val="21"/>
                      <w:szCs w:val="21"/>
                    </w:rPr>
                  </w:pPr>
                  <w:r>
                    <w:rPr>
                      <w:rFonts w:hint="eastAsia"/>
                      <w:color w:val="auto"/>
                      <w:sz w:val="21"/>
                      <w:szCs w:val="21"/>
                    </w:rPr>
                    <w:t>每日交由餐厨垃圾处理单位收运处置，并签订书面收运协议</w:t>
                  </w:r>
                </w:p>
              </w:tc>
            </w:tr>
            <w:tr w14:paraId="3F12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699C5744">
                  <w:pPr>
                    <w:pStyle w:val="42"/>
                    <w:rPr>
                      <w:color w:val="auto"/>
                      <w:sz w:val="21"/>
                      <w:szCs w:val="21"/>
                    </w:rPr>
                  </w:pPr>
                </w:p>
              </w:tc>
              <w:tc>
                <w:tcPr>
                  <w:tcW w:w="709" w:type="dxa"/>
                  <w:vMerge w:val="continue"/>
                  <w:tcBorders>
                    <w:tl2br w:val="nil"/>
                    <w:tr2bl w:val="nil"/>
                  </w:tcBorders>
                  <w:vAlign w:val="center"/>
                </w:tcPr>
                <w:p w14:paraId="2DCCB80D">
                  <w:pPr>
                    <w:pStyle w:val="42"/>
                    <w:rPr>
                      <w:color w:val="auto"/>
                      <w:sz w:val="21"/>
                      <w:szCs w:val="21"/>
                    </w:rPr>
                  </w:pPr>
                </w:p>
              </w:tc>
              <w:tc>
                <w:tcPr>
                  <w:tcW w:w="2078" w:type="dxa"/>
                  <w:tcBorders>
                    <w:tl2br w:val="nil"/>
                    <w:tr2bl w:val="nil"/>
                  </w:tcBorders>
                  <w:vAlign w:val="center"/>
                </w:tcPr>
                <w:p w14:paraId="21BD973A">
                  <w:pPr>
                    <w:pStyle w:val="42"/>
                    <w:rPr>
                      <w:color w:val="auto"/>
                      <w:sz w:val="21"/>
                      <w:szCs w:val="21"/>
                    </w:rPr>
                  </w:pPr>
                  <w:r>
                    <w:rPr>
                      <w:rFonts w:hint="eastAsia"/>
                      <w:color w:val="auto"/>
                      <w:sz w:val="21"/>
                      <w:szCs w:val="21"/>
                    </w:rPr>
                    <w:t>废RO膜</w:t>
                  </w:r>
                </w:p>
              </w:tc>
              <w:tc>
                <w:tcPr>
                  <w:tcW w:w="990" w:type="dxa"/>
                  <w:vMerge w:val="continue"/>
                  <w:tcBorders>
                    <w:tl2br w:val="nil"/>
                    <w:tr2bl w:val="nil"/>
                  </w:tcBorders>
                  <w:vAlign w:val="center"/>
                </w:tcPr>
                <w:p w14:paraId="015F5102">
                  <w:pPr>
                    <w:jc w:val="center"/>
                    <w:rPr>
                      <w:color w:val="auto"/>
                      <w:sz w:val="21"/>
                      <w:szCs w:val="21"/>
                    </w:rPr>
                  </w:pPr>
                </w:p>
              </w:tc>
              <w:tc>
                <w:tcPr>
                  <w:tcW w:w="3769" w:type="dxa"/>
                  <w:tcBorders>
                    <w:tl2br w:val="nil"/>
                    <w:tr2bl w:val="nil"/>
                  </w:tcBorders>
                  <w:vAlign w:val="center"/>
                </w:tcPr>
                <w:p w14:paraId="40B37166">
                  <w:pPr>
                    <w:pStyle w:val="42"/>
                    <w:rPr>
                      <w:color w:val="auto"/>
                      <w:sz w:val="21"/>
                      <w:szCs w:val="21"/>
                    </w:rPr>
                  </w:pPr>
                  <w:r>
                    <w:rPr>
                      <w:rFonts w:hint="eastAsia"/>
                      <w:color w:val="auto"/>
                      <w:sz w:val="21"/>
                      <w:szCs w:val="21"/>
                      <w:lang w:val="en-US" w:eastAsia="zh-CN"/>
                    </w:rPr>
                    <w:t>供应商回收</w:t>
                  </w:r>
                </w:p>
              </w:tc>
            </w:tr>
            <w:tr w14:paraId="25E6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3787E40B">
                  <w:pPr>
                    <w:pStyle w:val="42"/>
                    <w:rPr>
                      <w:color w:val="auto"/>
                      <w:sz w:val="21"/>
                      <w:szCs w:val="21"/>
                    </w:rPr>
                  </w:pPr>
                </w:p>
              </w:tc>
              <w:tc>
                <w:tcPr>
                  <w:tcW w:w="709" w:type="dxa"/>
                  <w:vMerge w:val="continue"/>
                  <w:tcBorders>
                    <w:tl2br w:val="nil"/>
                    <w:tr2bl w:val="nil"/>
                  </w:tcBorders>
                  <w:vAlign w:val="center"/>
                </w:tcPr>
                <w:p w14:paraId="7344552E">
                  <w:pPr>
                    <w:pStyle w:val="42"/>
                    <w:rPr>
                      <w:color w:val="auto"/>
                      <w:sz w:val="21"/>
                      <w:szCs w:val="21"/>
                    </w:rPr>
                  </w:pPr>
                </w:p>
              </w:tc>
              <w:tc>
                <w:tcPr>
                  <w:tcW w:w="2078" w:type="dxa"/>
                  <w:tcBorders>
                    <w:tl2br w:val="nil"/>
                    <w:tr2bl w:val="nil"/>
                  </w:tcBorders>
                  <w:vAlign w:val="center"/>
                </w:tcPr>
                <w:p w14:paraId="1F84C817">
                  <w:pPr>
                    <w:pStyle w:val="42"/>
                    <w:rPr>
                      <w:color w:val="auto"/>
                      <w:sz w:val="21"/>
                      <w:szCs w:val="21"/>
                    </w:rPr>
                  </w:pPr>
                  <w:r>
                    <w:rPr>
                      <w:rFonts w:hint="eastAsia"/>
                      <w:color w:val="auto"/>
                      <w:sz w:val="21"/>
                      <w:szCs w:val="21"/>
                    </w:rPr>
                    <w:t>不合格品</w:t>
                  </w:r>
                </w:p>
              </w:tc>
              <w:tc>
                <w:tcPr>
                  <w:tcW w:w="990" w:type="dxa"/>
                  <w:vMerge w:val="continue"/>
                  <w:tcBorders>
                    <w:tl2br w:val="nil"/>
                    <w:tr2bl w:val="nil"/>
                  </w:tcBorders>
                  <w:vAlign w:val="center"/>
                </w:tcPr>
                <w:p w14:paraId="43FCCFEE">
                  <w:pPr>
                    <w:jc w:val="center"/>
                    <w:rPr>
                      <w:color w:val="auto"/>
                      <w:sz w:val="21"/>
                      <w:szCs w:val="21"/>
                    </w:rPr>
                  </w:pPr>
                </w:p>
              </w:tc>
              <w:tc>
                <w:tcPr>
                  <w:tcW w:w="3769" w:type="dxa"/>
                  <w:tcBorders>
                    <w:tl2br w:val="nil"/>
                    <w:tr2bl w:val="nil"/>
                  </w:tcBorders>
                  <w:vAlign w:val="center"/>
                </w:tcPr>
                <w:p w14:paraId="54C1B26E">
                  <w:pPr>
                    <w:pStyle w:val="42"/>
                    <w:rPr>
                      <w:color w:val="auto"/>
                      <w:sz w:val="21"/>
                      <w:szCs w:val="21"/>
                    </w:rPr>
                  </w:pPr>
                  <w:r>
                    <w:rPr>
                      <w:rFonts w:hint="eastAsia"/>
                      <w:color w:val="auto"/>
                      <w:sz w:val="21"/>
                      <w:szCs w:val="21"/>
                    </w:rPr>
                    <w:t>收集后作为原料回用，不外排</w:t>
                  </w:r>
                </w:p>
              </w:tc>
            </w:tr>
            <w:tr w14:paraId="01EA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29D36E70">
                  <w:pPr>
                    <w:pStyle w:val="42"/>
                    <w:rPr>
                      <w:color w:val="auto"/>
                      <w:sz w:val="21"/>
                      <w:szCs w:val="21"/>
                    </w:rPr>
                  </w:pPr>
                </w:p>
              </w:tc>
              <w:tc>
                <w:tcPr>
                  <w:tcW w:w="709" w:type="dxa"/>
                  <w:vMerge w:val="continue"/>
                  <w:tcBorders>
                    <w:tl2br w:val="nil"/>
                    <w:tr2bl w:val="nil"/>
                  </w:tcBorders>
                  <w:vAlign w:val="center"/>
                </w:tcPr>
                <w:p w14:paraId="2F409AED">
                  <w:pPr>
                    <w:pStyle w:val="42"/>
                    <w:rPr>
                      <w:color w:val="auto"/>
                      <w:sz w:val="21"/>
                      <w:szCs w:val="21"/>
                    </w:rPr>
                  </w:pPr>
                </w:p>
              </w:tc>
              <w:tc>
                <w:tcPr>
                  <w:tcW w:w="2078" w:type="dxa"/>
                  <w:tcBorders>
                    <w:tl2br w:val="nil"/>
                    <w:tr2bl w:val="nil"/>
                  </w:tcBorders>
                  <w:vAlign w:val="center"/>
                </w:tcPr>
                <w:p w14:paraId="5C844093">
                  <w:pPr>
                    <w:pStyle w:val="42"/>
                    <w:rPr>
                      <w:color w:val="auto"/>
                      <w:sz w:val="21"/>
                      <w:szCs w:val="21"/>
                    </w:rPr>
                  </w:pPr>
                  <w:r>
                    <w:rPr>
                      <w:color w:val="auto"/>
                      <w:sz w:val="21"/>
                      <w:szCs w:val="21"/>
                    </w:rPr>
                    <w:t>检修废物（含油废棉纱、抹布及其他含油污劳保产品）</w:t>
                  </w:r>
                </w:p>
              </w:tc>
              <w:tc>
                <w:tcPr>
                  <w:tcW w:w="990" w:type="dxa"/>
                  <w:vMerge w:val="restart"/>
                  <w:tcBorders>
                    <w:tl2br w:val="nil"/>
                    <w:tr2bl w:val="nil"/>
                  </w:tcBorders>
                  <w:vAlign w:val="center"/>
                </w:tcPr>
                <w:p w14:paraId="7CD257CC">
                  <w:pPr>
                    <w:pStyle w:val="42"/>
                    <w:rPr>
                      <w:color w:val="auto"/>
                      <w:sz w:val="21"/>
                      <w:szCs w:val="21"/>
                    </w:rPr>
                  </w:pPr>
                  <w:r>
                    <w:rPr>
                      <w:color w:val="auto"/>
                      <w:sz w:val="21"/>
                      <w:szCs w:val="21"/>
                    </w:rPr>
                    <w:t>危废</w:t>
                  </w:r>
                </w:p>
              </w:tc>
              <w:tc>
                <w:tcPr>
                  <w:tcW w:w="3769" w:type="dxa"/>
                  <w:vMerge w:val="restart"/>
                  <w:tcBorders>
                    <w:tl2br w:val="nil"/>
                    <w:tr2bl w:val="nil"/>
                  </w:tcBorders>
                  <w:vAlign w:val="center"/>
                </w:tcPr>
                <w:p w14:paraId="2E68B4BA">
                  <w:pPr>
                    <w:pStyle w:val="42"/>
                    <w:rPr>
                      <w:color w:val="auto"/>
                      <w:sz w:val="21"/>
                      <w:szCs w:val="21"/>
                    </w:rPr>
                  </w:pPr>
                  <w:r>
                    <w:rPr>
                      <w:color w:val="auto"/>
                      <w:sz w:val="21"/>
                      <w:szCs w:val="21"/>
                    </w:rPr>
                    <w:t>分类收集暂存于</w:t>
                  </w:r>
                  <w:r>
                    <w:rPr>
                      <w:rFonts w:hint="eastAsia"/>
                      <w:color w:val="auto"/>
                      <w:sz w:val="21"/>
                      <w:szCs w:val="21"/>
                      <w:lang w:eastAsia="zh-CN"/>
                    </w:rPr>
                    <w:t>危废贮存库</w:t>
                  </w:r>
                  <w:r>
                    <w:rPr>
                      <w:color w:val="auto"/>
                      <w:sz w:val="21"/>
                      <w:szCs w:val="21"/>
                    </w:rPr>
                    <w:t>，定期交由有资质单位处置</w:t>
                  </w:r>
                </w:p>
              </w:tc>
            </w:tr>
            <w:tr w14:paraId="6F86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0BB6AAFF">
                  <w:pPr>
                    <w:pStyle w:val="42"/>
                    <w:rPr>
                      <w:color w:val="auto"/>
                      <w:sz w:val="21"/>
                      <w:szCs w:val="21"/>
                    </w:rPr>
                  </w:pPr>
                </w:p>
              </w:tc>
              <w:tc>
                <w:tcPr>
                  <w:tcW w:w="709" w:type="dxa"/>
                  <w:vMerge w:val="continue"/>
                  <w:tcBorders>
                    <w:tl2br w:val="nil"/>
                    <w:tr2bl w:val="nil"/>
                  </w:tcBorders>
                  <w:vAlign w:val="center"/>
                </w:tcPr>
                <w:p w14:paraId="79CAA25F">
                  <w:pPr>
                    <w:pStyle w:val="42"/>
                    <w:rPr>
                      <w:color w:val="auto"/>
                      <w:sz w:val="21"/>
                      <w:szCs w:val="21"/>
                    </w:rPr>
                  </w:pPr>
                </w:p>
              </w:tc>
              <w:tc>
                <w:tcPr>
                  <w:tcW w:w="2078" w:type="dxa"/>
                  <w:tcBorders>
                    <w:tl2br w:val="nil"/>
                    <w:tr2bl w:val="nil"/>
                  </w:tcBorders>
                  <w:vAlign w:val="center"/>
                </w:tcPr>
                <w:p w14:paraId="6DC40E03">
                  <w:pPr>
                    <w:pStyle w:val="42"/>
                    <w:rPr>
                      <w:color w:val="auto"/>
                      <w:sz w:val="21"/>
                      <w:szCs w:val="21"/>
                    </w:rPr>
                  </w:pPr>
                  <w:r>
                    <w:rPr>
                      <w:rFonts w:hint="eastAsia"/>
                      <w:color w:val="auto"/>
                      <w:sz w:val="21"/>
                      <w:szCs w:val="21"/>
                    </w:rPr>
                    <w:t>废机油</w:t>
                  </w:r>
                </w:p>
              </w:tc>
              <w:tc>
                <w:tcPr>
                  <w:tcW w:w="990" w:type="dxa"/>
                  <w:vMerge w:val="continue"/>
                  <w:tcBorders>
                    <w:tl2br w:val="nil"/>
                    <w:tr2bl w:val="nil"/>
                  </w:tcBorders>
                  <w:vAlign w:val="center"/>
                </w:tcPr>
                <w:p w14:paraId="155A6F38">
                  <w:pPr>
                    <w:pStyle w:val="42"/>
                    <w:rPr>
                      <w:color w:val="auto"/>
                      <w:sz w:val="21"/>
                      <w:szCs w:val="21"/>
                    </w:rPr>
                  </w:pPr>
                </w:p>
              </w:tc>
              <w:tc>
                <w:tcPr>
                  <w:tcW w:w="3769" w:type="dxa"/>
                  <w:vMerge w:val="continue"/>
                  <w:tcBorders>
                    <w:tl2br w:val="nil"/>
                    <w:tr2bl w:val="nil"/>
                  </w:tcBorders>
                  <w:vAlign w:val="center"/>
                </w:tcPr>
                <w:p w14:paraId="496980FF">
                  <w:pPr>
                    <w:pStyle w:val="42"/>
                    <w:rPr>
                      <w:color w:val="auto"/>
                      <w:sz w:val="21"/>
                      <w:szCs w:val="21"/>
                    </w:rPr>
                  </w:pPr>
                </w:p>
              </w:tc>
            </w:tr>
            <w:tr w14:paraId="2F1D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5C749906">
                  <w:pPr>
                    <w:pStyle w:val="42"/>
                    <w:rPr>
                      <w:color w:val="auto"/>
                      <w:sz w:val="21"/>
                      <w:szCs w:val="21"/>
                    </w:rPr>
                  </w:pPr>
                </w:p>
              </w:tc>
              <w:tc>
                <w:tcPr>
                  <w:tcW w:w="709" w:type="dxa"/>
                  <w:vMerge w:val="continue"/>
                  <w:tcBorders>
                    <w:tl2br w:val="nil"/>
                    <w:tr2bl w:val="nil"/>
                  </w:tcBorders>
                  <w:vAlign w:val="center"/>
                </w:tcPr>
                <w:p w14:paraId="220510B1">
                  <w:pPr>
                    <w:pStyle w:val="42"/>
                    <w:rPr>
                      <w:color w:val="auto"/>
                      <w:sz w:val="21"/>
                      <w:szCs w:val="21"/>
                    </w:rPr>
                  </w:pPr>
                </w:p>
              </w:tc>
              <w:tc>
                <w:tcPr>
                  <w:tcW w:w="2078" w:type="dxa"/>
                  <w:tcBorders>
                    <w:tl2br w:val="nil"/>
                    <w:tr2bl w:val="nil"/>
                  </w:tcBorders>
                  <w:vAlign w:val="center"/>
                </w:tcPr>
                <w:p w14:paraId="37D1BE78">
                  <w:pPr>
                    <w:pStyle w:val="42"/>
                    <w:rPr>
                      <w:rFonts w:hint="eastAsia"/>
                      <w:color w:val="auto"/>
                      <w:sz w:val="21"/>
                      <w:szCs w:val="21"/>
                    </w:rPr>
                  </w:pPr>
                  <w:r>
                    <w:rPr>
                      <w:rFonts w:hint="eastAsia"/>
                      <w:color w:val="auto"/>
                      <w:sz w:val="21"/>
                      <w:szCs w:val="21"/>
                    </w:rPr>
                    <w:t>废包装</w:t>
                  </w:r>
                </w:p>
              </w:tc>
              <w:tc>
                <w:tcPr>
                  <w:tcW w:w="990" w:type="dxa"/>
                  <w:vMerge w:val="continue"/>
                  <w:tcBorders>
                    <w:tl2br w:val="nil"/>
                    <w:tr2bl w:val="nil"/>
                  </w:tcBorders>
                  <w:vAlign w:val="center"/>
                </w:tcPr>
                <w:p w14:paraId="7C2F5362">
                  <w:pPr>
                    <w:pStyle w:val="42"/>
                    <w:rPr>
                      <w:color w:val="auto"/>
                      <w:sz w:val="21"/>
                      <w:szCs w:val="21"/>
                    </w:rPr>
                  </w:pPr>
                </w:p>
              </w:tc>
              <w:tc>
                <w:tcPr>
                  <w:tcW w:w="3769" w:type="dxa"/>
                  <w:vMerge w:val="continue"/>
                  <w:tcBorders>
                    <w:tl2br w:val="nil"/>
                    <w:tr2bl w:val="nil"/>
                  </w:tcBorders>
                  <w:vAlign w:val="center"/>
                </w:tcPr>
                <w:p w14:paraId="2BA623F5">
                  <w:pPr>
                    <w:pStyle w:val="42"/>
                    <w:rPr>
                      <w:color w:val="auto"/>
                      <w:sz w:val="21"/>
                      <w:szCs w:val="21"/>
                    </w:rPr>
                  </w:pPr>
                </w:p>
              </w:tc>
            </w:tr>
            <w:tr w14:paraId="7A7B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39440E6D">
                  <w:pPr>
                    <w:pStyle w:val="42"/>
                    <w:rPr>
                      <w:color w:val="auto"/>
                      <w:sz w:val="21"/>
                      <w:szCs w:val="21"/>
                    </w:rPr>
                  </w:pPr>
                </w:p>
              </w:tc>
              <w:tc>
                <w:tcPr>
                  <w:tcW w:w="709" w:type="dxa"/>
                  <w:vMerge w:val="continue"/>
                  <w:tcBorders>
                    <w:tl2br w:val="nil"/>
                    <w:tr2bl w:val="nil"/>
                  </w:tcBorders>
                  <w:vAlign w:val="center"/>
                </w:tcPr>
                <w:p w14:paraId="6B970732">
                  <w:pPr>
                    <w:pStyle w:val="42"/>
                    <w:rPr>
                      <w:color w:val="auto"/>
                      <w:sz w:val="21"/>
                      <w:szCs w:val="21"/>
                    </w:rPr>
                  </w:pPr>
                </w:p>
              </w:tc>
              <w:tc>
                <w:tcPr>
                  <w:tcW w:w="2078" w:type="dxa"/>
                  <w:tcBorders>
                    <w:tl2br w:val="nil"/>
                    <w:tr2bl w:val="nil"/>
                  </w:tcBorders>
                  <w:vAlign w:val="center"/>
                </w:tcPr>
                <w:p w14:paraId="3A719213">
                  <w:pPr>
                    <w:pStyle w:val="42"/>
                    <w:rPr>
                      <w:rFonts w:hint="eastAsia"/>
                      <w:color w:val="auto"/>
                      <w:sz w:val="21"/>
                      <w:szCs w:val="21"/>
                    </w:rPr>
                  </w:pPr>
                  <w:r>
                    <w:rPr>
                      <w:rFonts w:hint="eastAsia"/>
                      <w:color w:val="auto"/>
                      <w:sz w:val="21"/>
                      <w:szCs w:val="21"/>
                    </w:rPr>
                    <w:t>废活性炭</w:t>
                  </w:r>
                </w:p>
              </w:tc>
              <w:tc>
                <w:tcPr>
                  <w:tcW w:w="990" w:type="dxa"/>
                  <w:vMerge w:val="continue"/>
                  <w:tcBorders>
                    <w:tl2br w:val="nil"/>
                    <w:tr2bl w:val="nil"/>
                  </w:tcBorders>
                  <w:vAlign w:val="center"/>
                </w:tcPr>
                <w:p w14:paraId="49EC10F0">
                  <w:pPr>
                    <w:pStyle w:val="42"/>
                    <w:rPr>
                      <w:color w:val="auto"/>
                      <w:sz w:val="21"/>
                      <w:szCs w:val="21"/>
                    </w:rPr>
                  </w:pPr>
                </w:p>
              </w:tc>
              <w:tc>
                <w:tcPr>
                  <w:tcW w:w="3769" w:type="dxa"/>
                  <w:vMerge w:val="continue"/>
                  <w:tcBorders>
                    <w:tl2br w:val="nil"/>
                    <w:tr2bl w:val="nil"/>
                  </w:tcBorders>
                  <w:vAlign w:val="center"/>
                </w:tcPr>
                <w:p w14:paraId="3BA4EEB2">
                  <w:pPr>
                    <w:pStyle w:val="42"/>
                    <w:rPr>
                      <w:color w:val="auto"/>
                      <w:sz w:val="21"/>
                      <w:szCs w:val="21"/>
                    </w:rPr>
                  </w:pPr>
                </w:p>
              </w:tc>
            </w:tr>
            <w:tr w14:paraId="78BD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4D9D942D">
                  <w:pPr>
                    <w:pStyle w:val="42"/>
                    <w:rPr>
                      <w:color w:val="auto"/>
                      <w:sz w:val="21"/>
                      <w:szCs w:val="21"/>
                    </w:rPr>
                  </w:pPr>
                </w:p>
              </w:tc>
              <w:tc>
                <w:tcPr>
                  <w:tcW w:w="709" w:type="dxa"/>
                  <w:vMerge w:val="continue"/>
                  <w:tcBorders>
                    <w:tl2br w:val="nil"/>
                    <w:tr2bl w:val="nil"/>
                  </w:tcBorders>
                  <w:vAlign w:val="center"/>
                </w:tcPr>
                <w:p w14:paraId="356D0035">
                  <w:pPr>
                    <w:pStyle w:val="42"/>
                    <w:rPr>
                      <w:color w:val="auto"/>
                      <w:sz w:val="21"/>
                      <w:szCs w:val="21"/>
                    </w:rPr>
                  </w:pPr>
                </w:p>
              </w:tc>
              <w:tc>
                <w:tcPr>
                  <w:tcW w:w="2078" w:type="dxa"/>
                  <w:tcBorders>
                    <w:tl2br w:val="nil"/>
                    <w:tr2bl w:val="nil"/>
                  </w:tcBorders>
                  <w:vAlign w:val="center"/>
                </w:tcPr>
                <w:p w14:paraId="5F9DA705">
                  <w:pPr>
                    <w:pStyle w:val="42"/>
                    <w:rPr>
                      <w:rFonts w:hint="eastAsia"/>
                      <w:color w:val="auto"/>
                      <w:sz w:val="21"/>
                      <w:szCs w:val="21"/>
                    </w:rPr>
                  </w:pPr>
                  <w:r>
                    <w:rPr>
                      <w:rFonts w:hint="eastAsia"/>
                      <w:color w:val="auto"/>
                      <w:sz w:val="21"/>
                      <w:szCs w:val="21"/>
                    </w:rPr>
                    <w:t>检验废物</w:t>
                  </w:r>
                </w:p>
              </w:tc>
              <w:tc>
                <w:tcPr>
                  <w:tcW w:w="990" w:type="dxa"/>
                  <w:vMerge w:val="continue"/>
                  <w:tcBorders>
                    <w:tl2br w:val="nil"/>
                    <w:tr2bl w:val="nil"/>
                  </w:tcBorders>
                  <w:vAlign w:val="center"/>
                </w:tcPr>
                <w:p w14:paraId="19DB70AA">
                  <w:pPr>
                    <w:pStyle w:val="42"/>
                    <w:rPr>
                      <w:color w:val="auto"/>
                      <w:sz w:val="21"/>
                      <w:szCs w:val="21"/>
                    </w:rPr>
                  </w:pPr>
                </w:p>
              </w:tc>
              <w:tc>
                <w:tcPr>
                  <w:tcW w:w="3769" w:type="dxa"/>
                  <w:vMerge w:val="continue"/>
                  <w:tcBorders>
                    <w:tl2br w:val="nil"/>
                    <w:tr2bl w:val="nil"/>
                  </w:tcBorders>
                  <w:vAlign w:val="center"/>
                </w:tcPr>
                <w:p w14:paraId="453E22D4">
                  <w:pPr>
                    <w:pStyle w:val="42"/>
                    <w:rPr>
                      <w:color w:val="auto"/>
                      <w:sz w:val="21"/>
                      <w:szCs w:val="21"/>
                    </w:rPr>
                  </w:pPr>
                </w:p>
              </w:tc>
            </w:tr>
            <w:tr w14:paraId="20FA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Merge w:val="continue"/>
                  <w:tcBorders>
                    <w:tl2br w:val="nil"/>
                    <w:tr2bl w:val="nil"/>
                  </w:tcBorders>
                  <w:vAlign w:val="center"/>
                </w:tcPr>
                <w:p w14:paraId="62375A35">
                  <w:pPr>
                    <w:pStyle w:val="42"/>
                    <w:rPr>
                      <w:color w:val="auto"/>
                      <w:sz w:val="21"/>
                      <w:szCs w:val="21"/>
                    </w:rPr>
                  </w:pPr>
                </w:p>
              </w:tc>
              <w:tc>
                <w:tcPr>
                  <w:tcW w:w="709" w:type="dxa"/>
                  <w:vMerge w:val="continue"/>
                  <w:tcBorders>
                    <w:tl2br w:val="nil"/>
                    <w:tr2bl w:val="nil"/>
                  </w:tcBorders>
                  <w:vAlign w:val="center"/>
                </w:tcPr>
                <w:p w14:paraId="791F3FAC">
                  <w:pPr>
                    <w:pStyle w:val="42"/>
                    <w:rPr>
                      <w:color w:val="auto"/>
                      <w:sz w:val="21"/>
                      <w:szCs w:val="21"/>
                    </w:rPr>
                  </w:pPr>
                </w:p>
              </w:tc>
              <w:tc>
                <w:tcPr>
                  <w:tcW w:w="2078" w:type="dxa"/>
                  <w:tcBorders>
                    <w:tl2br w:val="nil"/>
                    <w:tr2bl w:val="nil"/>
                  </w:tcBorders>
                  <w:vAlign w:val="center"/>
                </w:tcPr>
                <w:p w14:paraId="56FF783B">
                  <w:pPr>
                    <w:pStyle w:val="42"/>
                    <w:rPr>
                      <w:rFonts w:hint="eastAsia"/>
                      <w:color w:val="auto"/>
                      <w:sz w:val="21"/>
                      <w:szCs w:val="21"/>
                    </w:rPr>
                  </w:pPr>
                  <w:r>
                    <w:rPr>
                      <w:rFonts w:hint="eastAsia"/>
                      <w:color w:val="auto"/>
                      <w:sz w:val="21"/>
                      <w:szCs w:val="21"/>
                    </w:rPr>
                    <w:t>生活垃圾</w:t>
                  </w:r>
                </w:p>
              </w:tc>
              <w:tc>
                <w:tcPr>
                  <w:tcW w:w="990" w:type="dxa"/>
                  <w:tcBorders>
                    <w:tl2br w:val="nil"/>
                    <w:tr2bl w:val="nil"/>
                  </w:tcBorders>
                  <w:vAlign w:val="center"/>
                </w:tcPr>
                <w:p w14:paraId="234BB605">
                  <w:pPr>
                    <w:pStyle w:val="42"/>
                    <w:rPr>
                      <w:color w:val="auto"/>
                      <w:sz w:val="21"/>
                      <w:szCs w:val="21"/>
                    </w:rPr>
                  </w:pPr>
                </w:p>
              </w:tc>
              <w:tc>
                <w:tcPr>
                  <w:tcW w:w="3769" w:type="dxa"/>
                  <w:tcBorders>
                    <w:tl2br w:val="nil"/>
                    <w:tr2bl w:val="nil"/>
                  </w:tcBorders>
                  <w:vAlign w:val="center"/>
                </w:tcPr>
                <w:p w14:paraId="137ED059">
                  <w:pPr>
                    <w:pStyle w:val="42"/>
                    <w:rPr>
                      <w:color w:val="auto"/>
                      <w:sz w:val="21"/>
                      <w:szCs w:val="21"/>
                    </w:rPr>
                  </w:pPr>
                  <w:r>
                    <w:rPr>
                      <w:rFonts w:hint="eastAsia"/>
                      <w:color w:val="auto"/>
                      <w:sz w:val="21"/>
                      <w:szCs w:val="21"/>
                      <w:lang w:val="en-US" w:eastAsia="zh-CN"/>
                    </w:rPr>
                    <w:t>环卫清运</w:t>
                  </w:r>
                </w:p>
              </w:tc>
            </w:tr>
          </w:tbl>
          <w:p w14:paraId="58131306">
            <w:pPr>
              <w:pStyle w:val="18"/>
              <w:rPr>
                <w:color w:val="auto"/>
              </w:rPr>
            </w:pPr>
          </w:p>
        </w:tc>
      </w:tr>
      <w:tr w14:paraId="4FAF8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59" w:hRule="atLeast"/>
          <w:jc w:val="center"/>
        </w:trPr>
        <w:tc>
          <w:tcPr>
            <w:tcW w:w="675" w:type="dxa"/>
            <w:vAlign w:val="center"/>
          </w:tcPr>
          <w:p w14:paraId="6AF10705">
            <w:pPr>
              <w:pStyle w:val="1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385" w:type="dxa"/>
          </w:tcPr>
          <w:p w14:paraId="5810AE19">
            <w:pPr>
              <w:adjustRightInd w:val="0"/>
              <w:snapToGrid w:val="0"/>
              <w:spacing w:line="360" w:lineRule="auto"/>
              <w:ind w:firstLine="420" w:firstLineChars="200"/>
              <w:rPr>
                <w:color w:val="auto"/>
              </w:rPr>
            </w:pPr>
            <w:r>
              <w:rPr>
                <w:bCs/>
                <w:color w:val="auto"/>
                <w:szCs w:val="21"/>
              </w:rPr>
              <w:t>根据现场踏勘，</w:t>
            </w:r>
            <w:r>
              <w:rPr>
                <w:rFonts w:hint="eastAsia"/>
                <w:color w:val="auto"/>
                <w:lang w:val="en-US" w:eastAsia="zh-CN"/>
              </w:rPr>
              <w:t>拟建厂址为空地，园区规划以来，未建设任何项目及厂区（建设单位已于2022年取得建设用地规划许可证，建设单位2023年曾挖过120m</w:t>
            </w:r>
            <w:r>
              <w:rPr>
                <w:rFonts w:hint="eastAsia"/>
                <w:color w:val="auto"/>
                <w:vertAlign w:val="superscript"/>
                <w:lang w:val="en-US" w:eastAsia="zh-CN"/>
              </w:rPr>
              <w:t>3</w:t>
            </w:r>
            <w:r>
              <w:rPr>
                <w:rFonts w:hint="eastAsia"/>
                <w:color w:val="auto"/>
                <w:lang w:val="en-US" w:eastAsia="zh-CN"/>
              </w:rPr>
              <w:t>坑用于内部产品测试，后由于建设单位计划改变，未进行任何试验，现状仅保留小坑，本次基础工程将进行整平）。</w:t>
            </w:r>
            <w:r>
              <w:rPr>
                <w:rFonts w:hint="eastAsia"/>
                <w:b/>
                <w:color w:val="auto"/>
                <w:szCs w:val="21"/>
              </w:rPr>
              <w:t>综上所述，本项目区域不存在遗留</w:t>
            </w:r>
            <w:r>
              <w:rPr>
                <w:rFonts w:hint="eastAsia"/>
                <w:b/>
                <w:color w:val="auto"/>
                <w:szCs w:val="21"/>
                <w:lang w:val="en-US" w:eastAsia="zh-CN"/>
              </w:rPr>
              <w:t>环境</w:t>
            </w:r>
            <w:r>
              <w:rPr>
                <w:rFonts w:hint="eastAsia"/>
                <w:b/>
                <w:color w:val="auto"/>
                <w:szCs w:val="21"/>
              </w:rPr>
              <w:t>问题，</w:t>
            </w:r>
            <w:r>
              <w:rPr>
                <w:b/>
                <w:color w:val="auto"/>
                <w:szCs w:val="21"/>
              </w:rPr>
              <w:t>未发现与本项目有关的原有环境污染问题。</w:t>
            </w:r>
          </w:p>
        </w:tc>
      </w:tr>
    </w:tbl>
    <w:p w14:paraId="1048D8BE">
      <w:pPr>
        <w:rPr>
          <w:vanish/>
        </w:rPr>
      </w:pPr>
    </w:p>
    <w:p w14:paraId="5525A999">
      <w:pPr>
        <w:pStyle w:val="15"/>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14:paraId="562CB261">
      <w:pPr>
        <w:pStyle w:val="15"/>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00"/>
      </w:tblGrid>
      <w:tr w14:paraId="6A842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14:paraId="76D44743">
            <w:pPr>
              <w:adjustRightInd w:val="0"/>
              <w:snapToGrid w:val="0"/>
              <w:jc w:val="center"/>
              <w:rPr>
                <w:color w:val="auto"/>
                <w:kern w:val="0"/>
                <w:szCs w:val="21"/>
              </w:rPr>
            </w:pPr>
            <w:r>
              <w:rPr>
                <w:color w:val="auto"/>
                <w:kern w:val="0"/>
                <w:szCs w:val="21"/>
              </w:rPr>
              <w:t>区域</w:t>
            </w:r>
          </w:p>
          <w:p w14:paraId="5EBACB00">
            <w:pPr>
              <w:adjustRightInd w:val="0"/>
              <w:snapToGrid w:val="0"/>
              <w:jc w:val="center"/>
              <w:rPr>
                <w:color w:val="auto"/>
                <w:kern w:val="0"/>
                <w:szCs w:val="21"/>
              </w:rPr>
            </w:pPr>
            <w:r>
              <w:rPr>
                <w:color w:val="auto"/>
                <w:kern w:val="0"/>
                <w:szCs w:val="21"/>
              </w:rPr>
              <w:t>环境</w:t>
            </w:r>
          </w:p>
          <w:p w14:paraId="0E6B704C">
            <w:pPr>
              <w:adjustRightInd w:val="0"/>
              <w:snapToGrid w:val="0"/>
              <w:jc w:val="center"/>
              <w:rPr>
                <w:color w:val="auto"/>
                <w:kern w:val="0"/>
                <w:szCs w:val="21"/>
              </w:rPr>
            </w:pPr>
            <w:r>
              <w:rPr>
                <w:color w:val="auto"/>
                <w:kern w:val="0"/>
                <w:szCs w:val="21"/>
              </w:rPr>
              <w:t>质量</w:t>
            </w:r>
          </w:p>
          <w:p w14:paraId="221746A9">
            <w:pPr>
              <w:adjustRightInd w:val="0"/>
              <w:snapToGrid w:val="0"/>
              <w:jc w:val="center"/>
              <w:rPr>
                <w:color w:val="auto"/>
                <w:kern w:val="0"/>
                <w:szCs w:val="21"/>
              </w:rPr>
            </w:pPr>
            <w:r>
              <w:rPr>
                <w:color w:val="auto"/>
                <w:kern w:val="0"/>
                <w:szCs w:val="21"/>
              </w:rPr>
              <w:t>现状</w:t>
            </w:r>
          </w:p>
        </w:tc>
        <w:tc>
          <w:tcPr>
            <w:tcW w:w="8190" w:type="dxa"/>
            <w:vAlign w:val="center"/>
          </w:tcPr>
          <w:p w14:paraId="01D1C136">
            <w:pPr>
              <w:adjustRightInd w:val="0"/>
              <w:snapToGrid w:val="0"/>
              <w:spacing w:line="360" w:lineRule="auto"/>
              <w:ind w:firstLine="422" w:firstLineChars="200"/>
              <w:jc w:val="left"/>
              <w:rPr>
                <w:b/>
                <w:bCs/>
                <w:color w:val="auto"/>
                <w:kern w:val="0"/>
                <w:szCs w:val="21"/>
              </w:rPr>
            </w:pPr>
            <w:r>
              <w:rPr>
                <w:b/>
                <w:bCs/>
                <w:color w:val="auto"/>
                <w:kern w:val="0"/>
                <w:szCs w:val="21"/>
              </w:rPr>
              <w:t>1、大气环境</w:t>
            </w:r>
          </w:p>
          <w:p w14:paraId="08A979B4">
            <w:pPr>
              <w:adjustRightInd w:val="0"/>
              <w:snapToGrid w:val="0"/>
              <w:spacing w:line="360" w:lineRule="auto"/>
              <w:ind w:firstLine="420" w:firstLineChars="200"/>
              <w:rPr>
                <w:color w:val="auto"/>
                <w:kern w:val="0"/>
                <w:szCs w:val="21"/>
              </w:rPr>
            </w:pPr>
            <w:r>
              <w:rPr>
                <w:color w:val="auto"/>
                <w:kern w:val="0"/>
                <w:szCs w:val="21"/>
              </w:rPr>
              <w:t>（1）基本污染物</w:t>
            </w:r>
          </w:p>
          <w:p w14:paraId="20E5B0F0">
            <w:pPr>
              <w:pStyle w:val="18"/>
              <w:rPr>
                <w:color w:val="auto"/>
              </w:rPr>
            </w:pPr>
            <w:r>
              <w:rPr>
                <w:rFonts w:hint="eastAsia"/>
                <w:color w:val="auto"/>
              </w:rPr>
              <w:t>根据《环境影响评价技术导则大气环境》（HJ2.2-2018）规定：“城市环境空气质量达标情况评价指标为SO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、CO和O</w:t>
            </w:r>
            <w:r>
              <w:rPr>
                <w:rFonts w:hint="eastAsia"/>
                <w:color w:val="auto"/>
                <w:vertAlign w:val="subscript"/>
              </w:rPr>
              <w:t>3</w:t>
            </w:r>
            <w:r>
              <w:rPr>
                <w:rFonts w:hint="eastAsia"/>
                <w:color w:val="auto"/>
              </w:rPr>
              <w:t>，六项污染物全部达标即为城市环境空气质量达标”。“对于基本污染物环境质量现状数据，项目所在区域达标判定，优先采用国家或地方生态环境主管部门公开发布的评价基准年环境质量公告或环境质量报告中的数据或结论”</w:t>
            </w:r>
            <w:r>
              <w:rPr>
                <w:rFonts w:hint="eastAsia"/>
                <w:b/>
                <w:bCs/>
                <w:color w:val="auto"/>
              </w:rPr>
              <w:t>。本次评价引用距离本项目最近的克拉玛依市环境空气质量监测站</w:t>
            </w:r>
            <w:r>
              <w:rPr>
                <w:rFonts w:hint="eastAsia"/>
                <w:color w:val="auto"/>
              </w:rPr>
              <w:t>（包括长征新村（E84.895°、N45.6094°）、南林小区（E84.8988°、N45.5893°）、独山子区（E84.905°、N44.3396°）、乌尔禾区商贸楼（E85.6979°、N46.098°）、白碱滩区新站（E85.1045°、N45.6899°）等五个站点）202</w:t>
            </w:r>
            <w:r>
              <w:rPr>
                <w:rFonts w:hint="eastAsia"/>
                <w:color w:val="auto"/>
                <w:lang w:val="en-US" w:eastAsia="zh-CN"/>
              </w:rPr>
              <w:t>4</w:t>
            </w:r>
            <w:r>
              <w:rPr>
                <w:rFonts w:hint="eastAsia"/>
                <w:color w:val="auto"/>
              </w:rPr>
              <w:t>年的监测分析数据，作为本项目环境空气现状评价基本污染物SO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、CO和O</w:t>
            </w:r>
            <w:r>
              <w:rPr>
                <w:rFonts w:hint="eastAsia"/>
                <w:color w:val="auto"/>
                <w:vertAlign w:val="subscript"/>
              </w:rPr>
              <w:t>3</w:t>
            </w:r>
            <w:r>
              <w:rPr>
                <w:rFonts w:hint="eastAsia"/>
                <w:color w:val="auto"/>
              </w:rPr>
              <w:t>的数据来源。数据来源于中国环境影响评价网的环境空气质量模型技术支持服务系统（http://data.lem.org.cn/eamds/apply/tostepone.html），所使用的大气现状监测数据基本满足本项目的分析要求。</w:t>
            </w:r>
          </w:p>
          <w:p w14:paraId="58C000D8">
            <w:pPr>
              <w:pStyle w:val="18"/>
              <w:rPr>
                <w:rFonts w:hint="eastAsia"/>
                <w:color w:val="auto"/>
              </w:rPr>
            </w:pPr>
            <w:r>
              <w:rPr>
                <w:rFonts w:hint="eastAsia"/>
                <w:color w:val="auto"/>
              </w:rPr>
              <w:t>根据中国环境影响评价网的环境空气质量模型技术支持服务系统查询，克拉玛依市属于达标区，202</w:t>
            </w:r>
            <w:r>
              <w:rPr>
                <w:rFonts w:hint="eastAsia"/>
                <w:color w:val="auto"/>
                <w:lang w:val="en-US" w:eastAsia="zh-CN"/>
              </w:rPr>
              <w:t>4</w:t>
            </w:r>
            <w:r>
              <w:rPr>
                <w:rFonts w:hint="eastAsia"/>
                <w:color w:val="auto"/>
              </w:rPr>
              <w:t>年克拉玛依市环境空气质量见下表。</w:t>
            </w:r>
          </w:p>
          <w:p w14:paraId="7DA15D7C">
            <w:pPr>
              <w:autoSpaceDE w:val="0"/>
              <w:autoSpaceDN w:val="0"/>
              <w:adjustRightInd w:val="0"/>
              <w:snapToGrid w:val="0"/>
              <w:jc w:val="center"/>
              <w:rPr>
                <w:b/>
                <w:bCs/>
                <w:color w:val="auto"/>
                <w:kern w:val="0"/>
                <w:szCs w:val="21"/>
              </w:rPr>
            </w:pPr>
            <w:r>
              <w:rPr>
                <w:b/>
                <w:bCs/>
                <w:color w:val="auto"/>
                <w:kern w:val="0"/>
                <w:szCs w:val="21"/>
              </w:rPr>
              <w:t>表3-1环境空气质量状况统计结果表单位：（μg/m</w:t>
            </w:r>
            <w:r>
              <w:rPr>
                <w:b/>
                <w:bCs/>
                <w:color w:val="auto"/>
                <w:kern w:val="0"/>
                <w:szCs w:val="21"/>
                <w:vertAlign w:val="superscript"/>
              </w:rPr>
              <w:t>3</w:t>
            </w:r>
            <w:r>
              <w:rPr>
                <w:b/>
                <w:bCs/>
                <w:color w:val="auto"/>
                <w:kern w:val="0"/>
                <w:szCs w:val="21"/>
              </w:rPr>
              <w:t>）</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33"/>
              <w:gridCol w:w="2151"/>
              <w:gridCol w:w="961"/>
              <w:gridCol w:w="961"/>
              <w:gridCol w:w="961"/>
              <w:gridCol w:w="963"/>
              <w:gridCol w:w="954"/>
            </w:tblGrid>
            <w:tr w14:paraId="22BF1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47" w:type="pct"/>
                  <w:shd w:val="clear" w:color="auto" w:fill="FFFFFF" w:themeFill="background1"/>
                  <w:vAlign w:val="center"/>
                </w:tcPr>
                <w:p w14:paraId="769216C3">
                  <w:pPr>
                    <w:pStyle w:val="6"/>
                    <w:adjustRightInd w:val="0"/>
                    <w:spacing w:before="0" w:after="0" w:line="240" w:lineRule="auto"/>
                    <w:ind w:right="0"/>
                    <w:jc w:val="center"/>
                    <w:rPr>
                      <w:color w:val="auto"/>
                      <w:kern w:val="2"/>
                      <w:sz w:val="21"/>
                      <w:szCs w:val="21"/>
                    </w:rPr>
                  </w:pPr>
                  <w:r>
                    <w:rPr>
                      <w:color w:val="auto"/>
                      <w:kern w:val="2"/>
                      <w:sz w:val="21"/>
                      <w:szCs w:val="21"/>
                    </w:rPr>
                    <w:t>污染物</w:t>
                  </w:r>
                </w:p>
              </w:tc>
              <w:tc>
                <w:tcPr>
                  <w:tcW w:w="1347" w:type="pct"/>
                  <w:shd w:val="clear" w:color="auto" w:fill="FFFFFF" w:themeFill="background1"/>
                  <w:vAlign w:val="center"/>
                </w:tcPr>
                <w:p w14:paraId="54306971">
                  <w:pPr>
                    <w:pStyle w:val="6"/>
                    <w:adjustRightInd w:val="0"/>
                    <w:spacing w:before="0" w:after="0" w:line="240" w:lineRule="auto"/>
                    <w:ind w:right="0"/>
                    <w:jc w:val="center"/>
                    <w:rPr>
                      <w:color w:val="auto"/>
                      <w:kern w:val="2"/>
                      <w:sz w:val="21"/>
                      <w:szCs w:val="21"/>
                    </w:rPr>
                  </w:pPr>
                  <w:r>
                    <w:rPr>
                      <w:rFonts w:hint="eastAsia"/>
                      <w:color w:val="auto"/>
                      <w:kern w:val="2"/>
                      <w:sz w:val="21"/>
                      <w:szCs w:val="21"/>
                      <w:lang w:eastAsia="zh-CN"/>
                    </w:rPr>
                    <w:t>年度</w:t>
                  </w:r>
                  <w:r>
                    <w:rPr>
                      <w:color w:val="auto"/>
                      <w:kern w:val="2"/>
                      <w:sz w:val="21"/>
                      <w:szCs w:val="21"/>
                    </w:rPr>
                    <w:t>评价指标</w:t>
                  </w:r>
                </w:p>
              </w:tc>
              <w:tc>
                <w:tcPr>
                  <w:tcW w:w="602" w:type="pct"/>
                  <w:shd w:val="clear" w:color="auto" w:fill="FFFFFF" w:themeFill="background1"/>
                  <w:vAlign w:val="center"/>
                </w:tcPr>
                <w:p w14:paraId="5C48008A">
                  <w:pPr>
                    <w:pStyle w:val="6"/>
                    <w:adjustRightInd w:val="0"/>
                    <w:spacing w:before="0" w:after="0" w:line="240" w:lineRule="auto"/>
                    <w:ind w:right="0"/>
                    <w:jc w:val="center"/>
                    <w:rPr>
                      <w:color w:val="auto"/>
                      <w:kern w:val="2"/>
                      <w:sz w:val="21"/>
                      <w:szCs w:val="21"/>
                    </w:rPr>
                  </w:pPr>
                  <w:r>
                    <w:rPr>
                      <w:color w:val="auto"/>
                      <w:kern w:val="2"/>
                      <w:sz w:val="21"/>
                      <w:szCs w:val="21"/>
                    </w:rPr>
                    <w:t>现状浓度</w:t>
                  </w:r>
                </w:p>
              </w:tc>
              <w:tc>
                <w:tcPr>
                  <w:tcW w:w="602" w:type="pct"/>
                  <w:shd w:val="clear" w:color="auto" w:fill="FFFFFF" w:themeFill="background1"/>
                  <w:vAlign w:val="center"/>
                </w:tcPr>
                <w:p w14:paraId="17F6226A">
                  <w:pPr>
                    <w:pStyle w:val="6"/>
                    <w:adjustRightInd w:val="0"/>
                    <w:spacing w:before="0" w:after="0" w:line="240" w:lineRule="auto"/>
                    <w:ind w:right="0"/>
                    <w:jc w:val="center"/>
                    <w:rPr>
                      <w:color w:val="auto"/>
                      <w:kern w:val="2"/>
                      <w:sz w:val="21"/>
                      <w:szCs w:val="21"/>
                    </w:rPr>
                  </w:pPr>
                  <w:r>
                    <w:rPr>
                      <w:color w:val="auto"/>
                      <w:kern w:val="2"/>
                      <w:sz w:val="21"/>
                      <w:szCs w:val="21"/>
                    </w:rPr>
                    <w:t>标准值</w:t>
                  </w:r>
                </w:p>
              </w:tc>
              <w:tc>
                <w:tcPr>
                  <w:tcW w:w="602" w:type="pct"/>
                  <w:shd w:val="clear" w:color="auto" w:fill="FFFFFF" w:themeFill="background1"/>
                  <w:vAlign w:val="center"/>
                </w:tcPr>
                <w:p w14:paraId="7C01E2CB">
                  <w:pPr>
                    <w:pStyle w:val="6"/>
                    <w:adjustRightInd w:val="0"/>
                    <w:spacing w:before="0" w:after="0" w:line="240" w:lineRule="auto"/>
                    <w:ind w:right="0"/>
                    <w:jc w:val="center"/>
                    <w:rPr>
                      <w:color w:val="auto"/>
                      <w:kern w:val="2"/>
                      <w:sz w:val="21"/>
                      <w:szCs w:val="21"/>
                    </w:rPr>
                  </w:pPr>
                  <w:r>
                    <w:rPr>
                      <w:color w:val="auto"/>
                      <w:kern w:val="2"/>
                      <w:sz w:val="21"/>
                      <w:szCs w:val="21"/>
                    </w:rPr>
                    <w:t>占标率</w:t>
                  </w:r>
                </w:p>
              </w:tc>
              <w:tc>
                <w:tcPr>
                  <w:tcW w:w="603" w:type="pct"/>
                  <w:shd w:val="clear" w:color="auto" w:fill="FFFFFF" w:themeFill="background1"/>
                  <w:vAlign w:val="center"/>
                </w:tcPr>
                <w:p w14:paraId="668E5197">
                  <w:pPr>
                    <w:pStyle w:val="6"/>
                    <w:adjustRightInd w:val="0"/>
                    <w:spacing w:before="0" w:after="0" w:line="240" w:lineRule="auto"/>
                    <w:ind w:right="0"/>
                    <w:jc w:val="center"/>
                    <w:rPr>
                      <w:color w:val="auto"/>
                      <w:kern w:val="2"/>
                      <w:sz w:val="21"/>
                      <w:szCs w:val="21"/>
                    </w:rPr>
                  </w:pPr>
                  <w:r>
                    <w:rPr>
                      <w:color w:val="auto"/>
                      <w:kern w:val="2"/>
                      <w:sz w:val="21"/>
                      <w:szCs w:val="21"/>
                    </w:rPr>
                    <w:t>超标倍数</w:t>
                  </w:r>
                </w:p>
              </w:tc>
              <w:tc>
                <w:tcPr>
                  <w:tcW w:w="597" w:type="pct"/>
                  <w:shd w:val="clear" w:color="auto" w:fill="FFFFFF" w:themeFill="background1"/>
                  <w:vAlign w:val="center"/>
                </w:tcPr>
                <w:p w14:paraId="707765B9">
                  <w:pPr>
                    <w:pStyle w:val="6"/>
                    <w:adjustRightInd w:val="0"/>
                    <w:spacing w:before="0" w:after="0" w:line="240" w:lineRule="auto"/>
                    <w:ind w:right="0"/>
                    <w:jc w:val="center"/>
                    <w:rPr>
                      <w:color w:val="auto"/>
                      <w:kern w:val="2"/>
                      <w:sz w:val="21"/>
                      <w:szCs w:val="21"/>
                    </w:rPr>
                  </w:pPr>
                  <w:r>
                    <w:rPr>
                      <w:color w:val="auto"/>
                      <w:kern w:val="2"/>
                      <w:sz w:val="21"/>
                      <w:szCs w:val="21"/>
                    </w:rPr>
                    <w:t>达标情况</w:t>
                  </w:r>
                </w:p>
              </w:tc>
            </w:tr>
            <w:tr w14:paraId="5DA52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vAlign w:val="center"/>
                </w:tcPr>
                <w:p w14:paraId="7F1DE0EF">
                  <w:pPr>
                    <w:pStyle w:val="6"/>
                    <w:adjustRightInd w:val="0"/>
                    <w:spacing w:before="0" w:after="0" w:line="240" w:lineRule="auto"/>
                    <w:ind w:right="0"/>
                    <w:jc w:val="center"/>
                    <w:rPr>
                      <w:color w:val="auto"/>
                      <w:kern w:val="2"/>
                      <w:sz w:val="21"/>
                      <w:szCs w:val="21"/>
                    </w:rPr>
                  </w:pPr>
                  <w:r>
                    <w:rPr>
                      <w:color w:val="auto"/>
                      <w:kern w:val="2"/>
                      <w:sz w:val="21"/>
                      <w:szCs w:val="21"/>
                    </w:rPr>
                    <w:t>SO</w:t>
                  </w:r>
                  <w:r>
                    <w:rPr>
                      <w:color w:val="auto"/>
                      <w:kern w:val="2"/>
                      <w:sz w:val="21"/>
                      <w:szCs w:val="21"/>
                      <w:vertAlign w:val="subscript"/>
                    </w:rPr>
                    <w:t>2</w:t>
                  </w:r>
                </w:p>
              </w:tc>
              <w:tc>
                <w:tcPr>
                  <w:tcW w:w="1347" w:type="pct"/>
                  <w:vAlign w:val="center"/>
                </w:tcPr>
                <w:p w14:paraId="4B183D74">
                  <w:pPr>
                    <w:pStyle w:val="6"/>
                    <w:adjustRightInd w:val="0"/>
                    <w:spacing w:before="0" w:after="0" w:line="240" w:lineRule="auto"/>
                    <w:ind w:right="0"/>
                    <w:jc w:val="center"/>
                    <w:rPr>
                      <w:color w:val="auto"/>
                      <w:kern w:val="2"/>
                      <w:sz w:val="21"/>
                      <w:szCs w:val="21"/>
                    </w:rPr>
                  </w:pPr>
                  <w:r>
                    <w:rPr>
                      <w:color w:val="auto"/>
                      <w:kern w:val="2"/>
                      <w:sz w:val="21"/>
                      <w:szCs w:val="21"/>
                    </w:rPr>
                    <w:t>年平均质量浓度</w:t>
                  </w:r>
                </w:p>
              </w:tc>
              <w:tc>
                <w:tcPr>
                  <w:tcW w:w="960" w:type="dxa"/>
                  <w:vAlign w:val="center"/>
                </w:tcPr>
                <w:p w14:paraId="4325A70E">
                  <w:pPr>
                    <w:pStyle w:val="6"/>
                    <w:adjustRightInd w:val="0"/>
                    <w:spacing w:before="0" w:after="0" w:line="240" w:lineRule="auto"/>
                    <w:ind w:right="0" w:rightChars="0"/>
                    <w:jc w:val="center"/>
                    <w:rPr>
                      <w:color w:val="auto"/>
                      <w:kern w:val="2"/>
                      <w:sz w:val="21"/>
                      <w:szCs w:val="21"/>
                    </w:rPr>
                  </w:pPr>
                  <w:r>
                    <w:rPr>
                      <w:color w:val="auto"/>
                      <w:kern w:val="2"/>
                      <w:sz w:val="21"/>
                      <w:szCs w:val="21"/>
                      <w:lang w:eastAsia="zh-CN"/>
                    </w:rPr>
                    <w:t>7</w:t>
                  </w:r>
                </w:p>
              </w:tc>
              <w:tc>
                <w:tcPr>
                  <w:tcW w:w="960" w:type="dxa"/>
                  <w:vAlign w:val="center"/>
                </w:tcPr>
                <w:p w14:paraId="1CD9AA31">
                  <w:pPr>
                    <w:pStyle w:val="6"/>
                    <w:adjustRightInd w:val="0"/>
                    <w:spacing w:before="0" w:after="0" w:line="240" w:lineRule="auto"/>
                    <w:ind w:right="0" w:rightChars="0"/>
                    <w:jc w:val="center"/>
                    <w:rPr>
                      <w:color w:val="auto"/>
                      <w:kern w:val="2"/>
                      <w:sz w:val="21"/>
                      <w:szCs w:val="21"/>
                    </w:rPr>
                  </w:pPr>
                  <w:r>
                    <w:rPr>
                      <w:color w:val="auto"/>
                      <w:kern w:val="2"/>
                      <w:sz w:val="21"/>
                      <w:szCs w:val="21"/>
                    </w:rPr>
                    <w:t>60</w:t>
                  </w:r>
                </w:p>
              </w:tc>
              <w:tc>
                <w:tcPr>
                  <w:tcW w:w="960" w:type="dxa"/>
                  <w:shd w:val="clear" w:color="auto" w:fill="auto"/>
                  <w:vAlign w:val="center"/>
                </w:tcPr>
                <w:p w14:paraId="11F4AF12">
                  <w:pPr>
                    <w:pStyle w:val="6"/>
                    <w:adjustRightInd w:val="0"/>
                    <w:spacing w:before="0" w:after="0" w:line="240" w:lineRule="auto"/>
                    <w:ind w:right="0"/>
                    <w:jc w:val="center"/>
                    <w:rPr>
                      <w:color w:val="auto"/>
                      <w:kern w:val="2"/>
                      <w:sz w:val="21"/>
                      <w:szCs w:val="21"/>
                    </w:rPr>
                  </w:pPr>
                  <w:r>
                    <w:rPr>
                      <w:rFonts w:hint="eastAsia"/>
                      <w:color w:val="auto"/>
                      <w:kern w:val="2"/>
                      <w:sz w:val="21"/>
                      <w:szCs w:val="21"/>
                      <w:lang w:val="en-US" w:eastAsia="zh-CN"/>
                    </w:rPr>
                    <w:t>12</w:t>
                  </w:r>
                  <w:r>
                    <w:rPr>
                      <w:color w:val="auto"/>
                      <w:kern w:val="2"/>
                      <w:sz w:val="21"/>
                      <w:szCs w:val="21"/>
                    </w:rPr>
                    <w:t>%</w:t>
                  </w:r>
                </w:p>
              </w:tc>
              <w:tc>
                <w:tcPr>
                  <w:tcW w:w="603" w:type="pct"/>
                  <w:vAlign w:val="center"/>
                </w:tcPr>
                <w:p w14:paraId="558EB1F7">
                  <w:pPr>
                    <w:pStyle w:val="6"/>
                    <w:adjustRightInd w:val="0"/>
                    <w:spacing w:before="0" w:after="0" w:line="240" w:lineRule="auto"/>
                    <w:ind w:right="0"/>
                    <w:jc w:val="center"/>
                    <w:rPr>
                      <w:color w:val="auto"/>
                      <w:kern w:val="2"/>
                      <w:sz w:val="21"/>
                      <w:szCs w:val="21"/>
                    </w:rPr>
                  </w:pPr>
                  <w:r>
                    <w:rPr>
                      <w:color w:val="auto"/>
                      <w:kern w:val="2"/>
                      <w:sz w:val="21"/>
                      <w:szCs w:val="21"/>
                    </w:rPr>
                    <w:t>0</w:t>
                  </w:r>
                </w:p>
              </w:tc>
              <w:tc>
                <w:tcPr>
                  <w:tcW w:w="597" w:type="pct"/>
                  <w:vAlign w:val="center"/>
                </w:tcPr>
                <w:p w14:paraId="04D1CF9A">
                  <w:pPr>
                    <w:pStyle w:val="6"/>
                    <w:adjustRightInd w:val="0"/>
                    <w:spacing w:before="0" w:after="0" w:line="240" w:lineRule="auto"/>
                    <w:ind w:right="0"/>
                    <w:jc w:val="center"/>
                    <w:rPr>
                      <w:color w:val="auto"/>
                      <w:kern w:val="2"/>
                      <w:sz w:val="21"/>
                      <w:szCs w:val="21"/>
                    </w:rPr>
                  </w:pPr>
                  <w:r>
                    <w:rPr>
                      <w:color w:val="auto"/>
                      <w:kern w:val="2"/>
                      <w:sz w:val="21"/>
                      <w:szCs w:val="21"/>
                    </w:rPr>
                    <w:t>达标</w:t>
                  </w:r>
                </w:p>
              </w:tc>
            </w:tr>
            <w:tr w14:paraId="04F7E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vAlign w:val="center"/>
                </w:tcPr>
                <w:p w14:paraId="082BD923">
                  <w:pPr>
                    <w:pStyle w:val="6"/>
                    <w:adjustRightInd w:val="0"/>
                    <w:spacing w:before="0" w:after="0" w:line="240" w:lineRule="auto"/>
                    <w:ind w:right="0"/>
                    <w:jc w:val="center"/>
                    <w:rPr>
                      <w:color w:val="auto"/>
                      <w:kern w:val="2"/>
                      <w:sz w:val="21"/>
                      <w:szCs w:val="21"/>
                    </w:rPr>
                  </w:pPr>
                  <w:r>
                    <w:rPr>
                      <w:color w:val="auto"/>
                      <w:kern w:val="2"/>
                      <w:sz w:val="21"/>
                      <w:szCs w:val="21"/>
                    </w:rPr>
                    <w:t>NO</w:t>
                  </w:r>
                  <w:r>
                    <w:rPr>
                      <w:color w:val="auto"/>
                      <w:kern w:val="2"/>
                      <w:sz w:val="21"/>
                      <w:szCs w:val="21"/>
                      <w:vertAlign w:val="subscript"/>
                    </w:rPr>
                    <w:t>2</w:t>
                  </w:r>
                </w:p>
              </w:tc>
              <w:tc>
                <w:tcPr>
                  <w:tcW w:w="1347" w:type="pct"/>
                  <w:vAlign w:val="center"/>
                </w:tcPr>
                <w:p w14:paraId="6EF3E027">
                  <w:pPr>
                    <w:pStyle w:val="6"/>
                    <w:adjustRightInd w:val="0"/>
                    <w:spacing w:before="0" w:after="0" w:line="240" w:lineRule="auto"/>
                    <w:ind w:right="0"/>
                    <w:jc w:val="center"/>
                    <w:rPr>
                      <w:color w:val="auto"/>
                      <w:kern w:val="2"/>
                      <w:sz w:val="21"/>
                      <w:szCs w:val="21"/>
                    </w:rPr>
                  </w:pPr>
                  <w:r>
                    <w:rPr>
                      <w:color w:val="auto"/>
                      <w:kern w:val="2"/>
                      <w:sz w:val="21"/>
                      <w:szCs w:val="21"/>
                    </w:rPr>
                    <w:t>年平均质量浓度</w:t>
                  </w:r>
                </w:p>
              </w:tc>
              <w:tc>
                <w:tcPr>
                  <w:tcW w:w="960" w:type="dxa"/>
                  <w:vAlign w:val="center"/>
                </w:tcPr>
                <w:p w14:paraId="6CEF7A08">
                  <w:pPr>
                    <w:pStyle w:val="6"/>
                    <w:adjustRightInd w:val="0"/>
                    <w:spacing w:before="0" w:after="0" w:line="240" w:lineRule="auto"/>
                    <w:ind w:right="0" w:rightChars="0"/>
                    <w:jc w:val="center"/>
                    <w:rPr>
                      <w:color w:val="auto"/>
                      <w:kern w:val="2"/>
                      <w:sz w:val="21"/>
                      <w:szCs w:val="21"/>
                    </w:rPr>
                  </w:pPr>
                  <w:r>
                    <w:rPr>
                      <w:rFonts w:hint="eastAsia"/>
                      <w:color w:val="auto"/>
                      <w:kern w:val="2"/>
                      <w:sz w:val="21"/>
                      <w:szCs w:val="21"/>
                      <w:lang w:val="en-US" w:eastAsia="zh-CN"/>
                    </w:rPr>
                    <w:t>17</w:t>
                  </w:r>
                </w:p>
              </w:tc>
              <w:tc>
                <w:tcPr>
                  <w:tcW w:w="960" w:type="dxa"/>
                  <w:vAlign w:val="center"/>
                </w:tcPr>
                <w:p w14:paraId="38340D7A">
                  <w:pPr>
                    <w:pStyle w:val="6"/>
                    <w:adjustRightInd w:val="0"/>
                    <w:spacing w:before="0" w:after="0" w:line="240" w:lineRule="auto"/>
                    <w:ind w:right="0" w:rightChars="0"/>
                    <w:jc w:val="center"/>
                    <w:rPr>
                      <w:color w:val="auto"/>
                      <w:kern w:val="2"/>
                      <w:sz w:val="21"/>
                      <w:szCs w:val="21"/>
                    </w:rPr>
                  </w:pPr>
                  <w:r>
                    <w:rPr>
                      <w:color w:val="auto"/>
                      <w:kern w:val="2"/>
                      <w:sz w:val="21"/>
                      <w:szCs w:val="21"/>
                    </w:rPr>
                    <w:t>40</w:t>
                  </w:r>
                </w:p>
              </w:tc>
              <w:tc>
                <w:tcPr>
                  <w:tcW w:w="960" w:type="dxa"/>
                  <w:shd w:val="clear" w:color="auto" w:fill="auto"/>
                  <w:vAlign w:val="center"/>
                </w:tcPr>
                <w:p w14:paraId="4C7E54BF">
                  <w:pPr>
                    <w:pStyle w:val="6"/>
                    <w:adjustRightInd w:val="0"/>
                    <w:spacing w:before="0" w:after="0" w:line="240" w:lineRule="auto"/>
                    <w:ind w:right="0"/>
                    <w:jc w:val="center"/>
                    <w:rPr>
                      <w:color w:val="auto"/>
                      <w:kern w:val="2"/>
                      <w:sz w:val="21"/>
                      <w:szCs w:val="21"/>
                    </w:rPr>
                  </w:pPr>
                  <w:r>
                    <w:rPr>
                      <w:rFonts w:hint="eastAsia"/>
                      <w:color w:val="auto"/>
                      <w:kern w:val="2"/>
                      <w:sz w:val="21"/>
                      <w:szCs w:val="21"/>
                      <w:lang w:val="en-US" w:eastAsia="zh-CN"/>
                    </w:rPr>
                    <w:t>43</w:t>
                  </w:r>
                  <w:r>
                    <w:rPr>
                      <w:color w:val="auto"/>
                      <w:kern w:val="2"/>
                      <w:sz w:val="21"/>
                      <w:szCs w:val="21"/>
                    </w:rPr>
                    <w:t>%</w:t>
                  </w:r>
                </w:p>
              </w:tc>
              <w:tc>
                <w:tcPr>
                  <w:tcW w:w="603" w:type="pct"/>
                  <w:vAlign w:val="center"/>
                </w:tcPr>
                <w:p w14:paraId="6822207D">
                  <w:pPr>
                    <w:pStyle w:val="6"/>
                    <w:adjustRightInd w:val="0"/>
                    <w:spacing w:before="0" w:after="0" w:line="240" w:lineRule="auto"/>
                    <w:ind w:right="0"/>
                    <w:jc w:val="center"/>
                    <w:rPr>
                      <w:color w:val="auto"/>
                      <w:kern w:val="2"/>
                      <w:sz w:val="21"/>
                      <w:szCs w:val="21"/>
                    </w:rPr>
                  </w:pPr>
                  <w:r>
                    <w:rPr>
                      <w:color w:val="auto"/>
                      <w:kern w:val="2"/>
                      <w:sz w:val="21"/>
                      <w:szCs w:val="21"/>
                    </w:rPr>
                    <w:t>0</w:t>
                  </w:r>
                </w:p>
              </w:tc>
              <w:tc>
                <w:tcPr>
                  <w:tcW w:w="597" w:type="pct"/>
                  <w:vAlign w:val="center"/>
                </w:tcPr>
                <w:p w14:paraId="16644012">
                  <w:pPr>
                    <w:pStyle w:val="6"/>
                    <w:adjustRightInd w:val="0"/>
                    <w:spacing w:before="0" w:after="0" w:line="240" w:lineRule="auto"/>
                    <w:ind w:right="0"/>
                    <w:jc w:val="center"/>
                    <w:rPr>
                      <w:color w:val="auto"/>
                      <w:kern w:val="2"/>
                      <w:sz w:val="21"/>
                      <w:szCs w:val="21"/>
                    </w:rPr>
                  </w:pPr>
                  <w:r>
                    <w:rPr>
                      <w:color w:val="auto"/>
                      <w:kern w:val="2"/>
                      <w:sz w:val="21"/>
                      <w:szCs w:val="21"/>
                    </w:rPr>
                    <w:t>达标</w:t>
                  </w:r>
                </w:p>
              </w:tc>
            </w:tr>
            <w:tr w14:paraId="20C57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vAlign w:val="center"/>
                </w:tcPr>
                <w:p w14:paraId="54F3300A">
                  <w:pPr>
                    <w:pStyle w:val="6"/>
                    <w:adjustRightInd w:val="0"/>
                    <w:spacing w:before="0" w:after="0" w:line="240" w:lineRule="auto"/>
                    <w:ind w:right="0"/>
                    <w:jc w:val="center"/>
                    <w:rPr>
                      <w:color w:val="auto"/>
                      <w:kern w:val="2"/>
                      <w:sz w:val="21"/>
                      <w:szCs w:val="21"/>
                    </w:rPr>
                  </w:pPr>
                  <w:r>
                    <w:rPr>
                      <w:color w:val="auto"/>
                      <w:kern w:val="2"/>
                      <w:sz w:val="21"/>
                      <w:szCs w:val="21"/>
                    </w:rPr>
                    <w:t>PM</w:t>
                  </w:r>
                  <w:r>
                    <w:rPr>
                      <w:color w:val="auto"/>
                      <w:kern w:val="2"/>
                      <w:sz w:val="21"/>
                      <w:szCs w:val="21"/>
                      <w:vertAlign w:val="subscript"/>
                    </w:rPr>
                    <w:t>10</w:t>
                  </w:r>
                </w:p>
              </w:tc>
              <w:tc>
                <w:tcPr>
                  <w:tcW w:w="1347" w:type="pct"/>
                  <w:vAlign w:val="center"/>
                </w:tcPr>
                <w:p w14:paraId="6D1DC2B9">
                  <w:pPr>
                    <w:pStyle w:val="6"/>
                    <w:adjustRightInd w:val="0"/>
                    <w:spacing w:before="0" w:after="0" w:line="240" w:lineRule="auto"/>
                    <w:ind w:right="0"/>
                    <w:jc w:val="center"/>
                    <w:rPr>
                      <w:color w:val="auto"/>
                      <w:kern w:val="2"/>
                      <w:sz w:val="21"/>
                      <w:szCs w:val="21"/>
                    </w:rPr>
                  </w:pPr>
                  <w:r>
                    <w:rPr>
                      <w:color w:val="auto"/>
                      <w:kern w:val="2"/>
                      <w:sz w:val="21"/>
                      <w:szCs w:val="21"/>
                    </w:rPr>
                    <w:t>年平均质量浓度</w:t>
                  </w:r>
                </w:p>
              </w:tc>
              <w:tc>
                <w:tcPr>
                  <w:tcW w:w="960" w:type="dxa"/>
                  <w:vAlign w:val="center"/>
                </w:tcPr>
                <w:p w14:paraId="4FEA3753">
                  <w:pPr>
                    <w:pStyle w:val="6"/>
                    <w:adjustRightInd w:val="0"/>
                    <w:spacing w:before="0" w:after="0" w:line="240" w:lineRule="auto"/>
                    <w:ind w:right="0" w:rightChars="0"/>
                    <w:jc w:val="center"/>
                    <w:rPr>
                      <w:color w:val="auto"/>
                      <w:kern w:val="2"/>
                      <w:sz w:val="21"/>
                      <w:szCs w:val="21"/>
                    </w:rPr>
                  </w:pPr>
                  <w:r>
                    <w:rPr>
                      <w:rFonts w:hint="eastAsia"/>
                      <w:color w:val="auto"/>
                      <w:kern w:val="2"/>
                      <w:sz w:val="21"/>
                      <w:szCs w:val="21"/>
                      <w:lang w:val="en-US" w:eastAsia="zh-CN"/>
                    </w:rPr>
                    <w:t>39</w:t>
                  </w:r>
                </w:p>
              </w:tc>
              <w:tc>
                <w:tcPr>
                  <w:tcW w:w="960" w:type="dxa"/>
                  <w:vAlign w:val="center"/>
                </w:tcPr>
                <w:p w14:paraId="64B4A0AA">
                  <w:pPr>
                    <w:pStyle w:val="6"/>
                    <w:adjustRightInd w:val="0"/>
                    <w:spacing w:before="0" w:after="0" w:line="240" w:lineRule="auto"/>
                    <w:ind w:right="0" w:rightChars="0"/>
                    <w:jc w:val="center"/>
                    <w:rPr>
                      <w:color w:val="auto"/>
                      <w:kern w:val="2"/>
                      <w:sz w:val="21"/>
                      <w:szCs w:val="21"/>
                    </w:rPr>
                  </w:pPr>
                  <w:r>
                    <w:rPr>
                      <w:color w:val="auto"/>
                      <w:kern w:val="2"/>
                      <w:sz w:val="21"/>
                      <w:szCs w:val="21"/>
                    </w:rPr>
                    <w:t>70</w:t>
                  </w:r>
                </w:p>
              </w:tc>
              <w:tc>
                <w:tcPr>
                  <w:tcW w:w="960" w:type="dxa"/>
                  <w:shd w:val="clear" w:color="auto" w:fill="auto"/>
                  <w:vAlign w:val="center"/>
                </w:tcPr>
                <w:p w14:paraId="57637C06">
                  <w:pPr>
                    <w:pStyle w:val="6"/>
                    <w:adjustRightInd w:val="0"/>
                    <w:spacing w:before="0" w:after="0" w:line="240" w:lineRule="auto"/>
                    <w:ind w:right="0"/>
                    <w:jc w:val="center"/>
                    <w:rPr>
                      <w:color w:val="auto"/>
                      <w:kern w:val="2"/>
                      <w:sz w:val="21"/>
                      <w:szCs w:val="21"/>
                    </w:rPr>
                  </w:pPr>
                  <w:r>
                    <w:rPr>
                      <w:rFonts w:hint="eastAsia"/>
                      <w:color w:val="auto"/>
                      <w:kern w:val="2"/>
                      <w:sz w:val="21"/>
                      <w:szCs w:val="21"/>
                      <w:lang w:val="en-US" w:eastAsia="zh-CN"/>
                    </w:rPr>
                    <w:t>56</w:t>
                  </w:r>
                  <w:r>
                    <w:rPr>
                      <w:color w:val="auto"/>
                      <w:kern w:val="2"/>
                      <w:sz w:val="21"/>
                      <w:szCs w:val="21"/>
                    </w:rPr>
                    <w:t>%</w:t>
                  </w:r>
                </w:p>
              </w:tc>
              <w:tc>
                <w:tcPr>
                  <w:tcW w:w="603" w:type="pct"/>
                  <w:vAlign w:val="center"/>
                </w:tcPr>
                <w:p w14:paraId="6D343E8C">
                  <w:pPr>
                    <w:pStyle w:val="6"/>
                    <w:adjustRightInd w:val="0"/>
                    <w:spacing w:before="0" w:after="0" w:line="240" w:lineRule="auto"/>
                    <w:ind w:right="0"/>
                    <w:jc w:val="center"/>
                    <w:rPr>
                      <w:color w:val="auto"/>
                      <w:kern w:val="2"/>
                      <w:sz w:val="21"/>
                      <w:szCs w:val="21"/>
                    </w:rPr>
                  </w:pPr>
                  <w:r>
                    <w:rPr>
                      <w:color w:val="auto"/>
                      <w:kern w:val="2"/>
                      <w:sz w:val="21"/>
                      <w:szCs w:val="21"/>
                    </w:rPr>
                    <w:t>0</w:t>
                  </w:r>
                </w:p>
              </w:tc>
              <w:tc>
                <w:tcPr>
                  <w:tcW w:w="597" w:type="pct"/>
                  <w:vAlign w:val="center"/>
                </w:tcPr>
                <w:p w14:paraId="12B33C0E">
                  <w:pPr>
                    <w:pStyle w:val="6"/>
                    <w:adjustRightInd w:val="0"/>
                    <w:spacing w:before="0" w:after="0" w:line="240" w:lineRule="auto"/>
                    <w:ind w:right="0"/>
                    <w:jc w:val="center"/>
                    <w:rPr>
                      <w:color w:val="auto"/>
                      <w:kern w:val="2"/>
                      <w:sz w:val="21"/>
                      <w:szCs w:val="21"/>
                    </w:rPr>
                  </w:pPr>
                  <w:r>
                    <w:rPr>
                      <w:color w:val="auto"/>
                      <w:kern w:val="2"/>
                      <w:sz w:val="21"/>
                      <w:szCs w:val="21"/>
                    </w:rPr>
                    <w:t>达标</w:t>
                  </w:r>
                </w:p>
              </w:tc>
            </w:tr>
            <w:tr w14:paraId="3A093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vAlign w:val="center"/>
                </w:tcPr>
                <w:p w14:paraId="7C5ED131">
                  <w:pPr>
                    <w:pStyle w:val="6"/>
                    <w:adjustRightInd w:val="0"/>
                    <w:spacing w:before="0" w:after="0" w:line="240" w:lineRule="auto"/>
                    <w:ind w:right="0"/>
                    <w:jc w:val="center"/>
                    <w:rPr>
                      <w:color w:val="auto"/>
                      <w:kern w:val="2"/>
                      <w:sz w:val="21"/>
                      <w:szCs w:val="21"/>
                    </w:rPr>
                  </w:pPr>
                  <w:r>
                    <w:rPr>
                      <w:color w:val="auto"/>
                      <w:kern w:val="2"/>
                      <w:sz w:val="21"/>
                      <w:szCs w:val="21"/>
                    </w:rPr>
                    <w:t>PM</w:t>
                  </w:r>
                  <w:r>
                    <w:rPr>
                      <w:color w:val="auto"/>
                      <w:kern w:val="2"/>
                      <w:sz w:val="21"/>
                      <w:szCs w:val="21"/>
                      <w:vertAlign w:val="subscript"/>
                    </w:rPr>
                    <w:t>2.5</w:t>
                  </w:r>
                </w:p>
              </w:tc>
              <w:tc>
                <w:tcPr>
                  <w:tcW w:w="1347" w:type="pct"/>
                  <w:vAlign w:val="center"/>
                </w:tcPr>
                <w:p w14:paraId="42F3EBA2">
                  <w:pPr>
                    <w:pStyle w:val="6"/>
                    <w:adjustRightInd w:val="0"/>
                    <w:spacing w:before="0" w:after="0" w:line="240" w:lineRule="auto"/>
                    <w:ind w:right="0"/>
                    <w:jc w:val="center"/>
                    <w:rPr>
                      <w:color w:val="auto"/>
                      <w:kern w:val="2"/>
                      <w:sz w:val="21"/>
                      <w:szCs w:val="21"/>
                    </w:rPr>
                  </w:pPr>
                  <w:r>
                    <w:rPr>
                      <w:color w:val="auto"/>
                      <w:kern w:val="2"/>
                      <w:sz w:val="21"/>
                      <w:szCs w:val="21"/>
                    </w:rPr>
                    <w:t>年平均质量浓度</w:t>
                  </w:r>
                </w:p>
              </w:tc>
              <w:tc>
                <w:tcPr>
                  <w:tcW w:w="960" w:type="dxa"/>
                  <w:vAlign w:val="center"/>
                </w:tcPr>
                <w:p w14:paraId="7001DF43">
                  <w:pPr>
                    <w:pStyle w:val="6"/>
                    <w:adjustRightInd w:val="0"/>
                    <w:spacing w:before="0" w:after="0" w:line="240" w:lineRule="auto"/>
                    <w:ind w:right="0" w:rightChars="0"/>
                    <w:jc w:val="center"/>
                    <w:rPr>
                      <w:color w:val="auto"/>
                      <w:kern w:val="2"/>
                      <w:sz w:val="21"/>
                      <w:szCs w:val="21"/>
                    </w:rPr>
                  </w:pPr>
                  <w:r>
                    <w:rPr>
                      <w:color w:val="auto"/>
                      <w:kern w:val="2"/>
                      <w:sz w:val="21"/>
                      <w:szCs w:val="21"/>
                      <w:lang w:eastAsia="zh-CN"/>
                    </w:rPr>
                    <w:t>22</w:t>
                  </w:r>
                </w:p>
              </w:tc>
              <w:tc>
                <w:tcPr>
                  <w:tcW w:w="960" w:type="dxa"/>
                  <w:vAlign w:val="center"/>
                </w:tcPr>
                <w:p w14:paraId="18732355">
                  <w:pPr>
                    <w:pStyle w:val="6"/>
                    <w:adjustRightInd w:val="0"/>
                    <w:spacing w:before="0" w:after="0" w:line="240" w:lineRule="auto"/>
                    <w:ind w:right="0" w:rightChars="0"/>
                    <w:jc w:val="center"/>
                    <w:rPr>
                      <w:color w:val="auto"/>
                      <w:kern w:val="2"/>
                      <w:sz w:val="21"/>
                      <w:szCs w:val="21"/>
                    </w:rPr>
                  </w:pPr>
                  <w:r>
                    <w:rPr>
                      <w:color w:val="auto"/>
                      <w:kern w:val="2"/>
                      <w:sz w:val="21"/>
                      <w:szCs w:val="21"/>
                    </w:rPr>
                    <w:t>35</w:t>
                  </w:r>
                </w:p>
              </w:tc>
              <w:tc>
                <w:tcPr>
                  <w:tcW w:w="960" w:type="dxa"/>
                  <w:shd w:val="clear" w:color="auto" w:fill="auto"/>
                  <w:vAlign w:val="center"/>
                </w:tcPr>
                <w:p w14:paraId="58522C83">
                  <w:pPr>
                    <w:pStyle w:val="6"/>
                    <w:adjustRightInd w:val="0"/>
                    <w:spacing w:before="0" w:after="0" w:line="240" w:lineRule="auto"/>
                    <w:ind w:right="0"/>
                    <w:jc w:val="center"/>
                    <w:rPr>
                      <w:color w:val="auto"/>
                      <w:kern w:val="2"/>
                      <w:sz w:val="21"/>
                      <w:szCs w:val="21"/>
                    </w:rPr>
                  </w:pPr>
                  <w:r>
                    <w:rPr>
                      <w:rFonts w:hint="eastAsia"/>
                      <w:color w:val="auto"/>
                      <w:kern w:val="2"/>
                      <w:sz w:val="21"/>
                      <w:szCs w:val="21"/>
                      <w:lang w:val="en-US" w:eastAsia="zh-CN"/>
                    </w:rPr>
                    <w:t>63</w:t>
                  </w:r>
                  <w:r>
                    <w:rPr>
                      <w:color w:val="auto"/>
                      <w:kern w:val="2"/>
                      <w:sz w:val="21"/>
                      <w:szCs w:val="21"/>
                    </w:rPr>
                    <w:t>%</w:t>
                  </w:r>
                </w:p>
              </w:tc>
              <w:tc>
                <w:tcPr>
                  <w:tcW w:w="603" w:type="pct"/>
                  <w:vAlign w:val="center"/>
                </w:tcPr>
                <w:p w14:paraId="4DE04BB7">
                  <w:pPr>
                    <w:pStyle w:val="6"/>
                    <w:adjustRightInd w:val="0"/>
                    <w:spacing w:before="0" w:after="0" w:line="240" w:lineRule="auto"/>
                    <w:ind w:right="0"/>
                    <w:jc w:val="center"/>
                    <w:rPr>
                      <w:color w:val="auto"/>
                      <w:kern w:val="2"/>
                      <w:sz w:val="21"/>
                      <w:szCs w:val="21"/>
                    </w:rPr>
                  </w:pPr>
                  <w:r>
                    <w:rPr>
                      <w:color w:val="auto"/>
                      <w:kern w:val="2"/>
                      <w:sz w:val="21"/>
                      <w:szCs w:val="21"/>
                    </w:rPr>
                    <w:t>0</w:t>
                  </w:r>
                </w:p>
              </w:tc>
              <w:tc>
                <w:tcPr>
                  <w:tcW w:w="597" w:type="pct"/>
                  <w:vAlign w:val="center"/>
                </w:tcPr>
                <w:p w14:paraId="4D821860">
                  <w:pPr>
                    <w:pStyle w:val="6"/>
                    <w:adjustRightInd w:val="0"/>
                    <w:spacing w:before="0" w:after="0" w:line="240" w:lineRule="auto"/>
                    <w:ind w:right="0"/>
                    <w:jc w:val="center"/>
                    <w:rPr>
                      <w:color w:val="auto"/>
                      <w:kern w:val="2"/>
                      <w:sz w:val="21"/>
                      <w:szCs w:val="21"/>
                    </w:rPr>
                  </w:pPr>
                  <w:r>
                    <w:rPr>
                      <w:color w:val="auto"/>
                      <w:kern w:val="2"/>
                      <w:sz w:val="21"/>
                      <w:szCs w:val="21"/>
                    </w:rPr>
                    <w:t>达标</w:t>
                  </w:r>
                </w:p>
              </w:tc>
            </w:tr>
            <w:tr w14:paraId="5EC20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vAlign w:val="center"/>
                </w:tcPr>
                <w:p w14:paraId="361D43DE">
                  <w:pPr>
                    <w:pStyle w:val="6"/>
                    <w:adjustRightInd w:val="0"/>
                    <w:spacing w:before="0" w:after="0" w:line="240" w:lineRule="auto"/>
                    <w:ind w:right="0"/>
                    <w:jc w:val="center"/>
                    <w:rPr>
                      <w:color w:val="auto"/>
                      <w:kern w:val="2"/>
                      <w:sz w:val="21"/>
                      <w:szCs w:val="21"/>
                    </w:rPr>
                  </w:pPr>
                  <w:r>
                    <w:rPr>
                      <w:color w:val="auto"/>
                      <w:kern w:val="2"/>
                      <w:sz w:val="21"/>
                      <w:szCs w:val="21"/>
                    </w:rPr>
                    <w:t>CO</w:t>
                  </w:r>
                </w:p>
              </w:tc>
              <w:tc>
                <w:tcPr>
                  <w:tcW w:w="1347" w:type="pct"/>
                  <w:vAlign w:val="center"/>
                </w:tcPr>
                <w:p w14:paraId="55546F67">
                  <w:pPr>
                    <w:pStyle w:val="6"/>
                    <w:adjustRightInd w:val="0"/>
                    <w:spacing w:before="0" w:after="0" w:line="240" w:lineRule="auto"/>
                    <w:ind w:right="0"/>
                    <w:jc w:val="center"/>
                    <w:rPr>
                      <w:color w:val="auto"/>
                      <w:kern w:val="2"/>
                      <w:sz w:val="21"/>
                      <w:szCs w:val="21"/>
                    </w:rPr>
                  </w:pPr>
                  <w:r>
                    <w:rPr>
                      <w:color w:val="auto"/>
                      <w:kern w:val="2"/>
                      <w:sz w:val="21"/>
                      <w:szCs w:val="21"/>
                    </w:rPr>
                    <w:t>第95百分位数日平均</w:t>
                  </w:r>
                </w:p>
              </w:tc>
              <w:tc>
                <w:tcPr>
                  <w:tcW w:w="960" w:type="dxa"/>
                  <w:vAlign w:val="center"/>
                </w:tcPr>
                <w:p w14:paraId="1ECA1391">
                  <w:pPr>
                    <w:pStyle w:val="6"/>
                    <w:adjustRightInd w:val="0"/>
                    <w:spacing w:before="0" w:after="0" w:line="240" w:lineRule="auto"/>
                    <w:ind w:right="0" w:rightChars="0"/>
                    <w:jc w:val="center"/>
                    <w:rPr>
                      <w:color w:val="auto"/>
                      <w:kern w:val="2"/>
                      <w:sz w:val="21"/>
                      <w:szCs w:val="21"/>
                    </w:rPr>
                  </w:pPr>
                  <w:r>
                    <w:rPr>
                      <w:color w:val="auto"/>
                      <w:kern w:val="2"/>
                      <w:sz w:val="21"/>
                      <w:szCs w:val="21"/>
                    </w:rPr>
                    <w:t>1</w:t>
                  </w:r>
                  <w:r>
                    <w:rPr>
                      <w:color w:val="auto"/>
                      <w:kern w:val="2"/>
                      <w:sz w:val="21"/>
                      <w:szCs w:val="21"/>
                      <w:lang w:eastAsia="zh-CN"/>
                    </w:rPr>
                    <w:t>0</w:t>
                  </w:r>
                  <w:r>
                    <w:rPr>
                      <w:color w:val="auto"/>
                      <w:kern w:val="2"/>
                      <w:sz w:val="21"/>
                      <w:szCs w:val="21"/>
                    </w:rPr>
                    <w:t>00</w:t>
                  </w:r>
                </w:p>
              </w:tc>
              <w:tc>
                <w:tcPr>
                  <w:tcW w:w="960" w:type="dxa"/>
                  <w:vAlign w:val="center"/>
                </w:tcPr>
                <w:p w14:paraId="08B363B7">
                  <w:pPr>
                    <w:pStyle w:val="6"/>
                    <w:adjustRightInd w:val="0"/>
                    <w:spacing w:before="0" w:after="0" w:line="240" w:lineRule="auto"/>
                    <w:ind w:right="0" w:rightChars="0"/>
                    <w:jc w:val="center"/>
                    <w:rPr>
                      <w:color w:val="auto"/>
                      <w:kern w:val="2"/>
                      <w:sz w:val="21"/>
                      <w:szCs w:val="21"/>
                    </w:rPr>
                  </w:pPr>
                  <w:r>
                    <w:rPr>
                      <w:color w:val="auto"/>
                      <w:kern w:val="2"/>
                      <w:sz w:val="21"/>
                      <w:szCs w:val="21"/>
                    </w:rPr>
                    <w:t>4000</w:t>
                  </w:r>
                </w:p>
              </w:tc>
              <w:tc>
                <w:tcPr>
                  <w:tcW w:w="960" w:type="dxa"/>
                  <w:shd w:val="clear" w:color="auto" w:fill="auto"/>
                  <w:vAlign w:val="center"/>
                </w:tcPr>
                <w:p w14:paraId="5E89F56E">
                  <w:pPr>
                    <w:pStyle w:val="6"/>
                    <w:adjustRightInd w:val="0"/>
                    <w:spacing w:before="0" w:after="0" w:line="240" w:lineRule="auto"/>
                    <w:ind w:right="0"/>
                    <w:jc w:val="center"/>
                    <w:rPr>
                      <w:color w:val="auto"/>
                      <w:kern w:val="2"/>
                      <w:sz w:val="21"/>
                      <w:szCs w:val="21"/>
                    </w:rPr>
                  </w:pPr>
                  <w:r>
                    <w:rPr>
                      <w:color w:val="auto"/>
                      <w:kern w:val="2"/>
                      <w:sz w:val="21"/>
                      <w:szCs w:val="21"/>
                      <w:lang w:eastAsia="zh-CN"/>
                    </w:rPr>
                    <w:t>25</w:t>
                  </w:r>
                  <w:r>
                    <w:rPr>
                      <w:color w:val="auto"/>
                      <w:kern w:val="2"/>
                      <w:sz w:val="21"/>
                      <w:szCs w:val="21"/>
                    </w:rPr>
                    <w:t>%</w:t>
                  </w:r>
                </w:p>
              </w:tc>
              <w:tc>
                <w:tcPr>
                  <w:tcW w:w="603" w:type="pct"/>
                  <w:vAlign w:val="center"/>
                </w:tcPr>
                <w:p w14:paraId="48C31036">
                  <w:pPr>
                    <w:pStyle w:val="6"/>
                    <w:adjustRightInd w:val="0"/>
                    <w:spacing w:before="0" w:after="0" w:line="240" w:lineRule="auto"/>
                    <w:ind w:right="0"/>
                    <w:jc w:val="center"/>
                    <w:rPr>
                      <w:color w:val="auto"/>
                      <w:kern w:val="2"/>
                      <w:sz w:val="21"/>
                      <w:szCs w:val="21"/>
                    </w:rPr>
                  </w:pPr>
                  <w:r>
                    <w:rPr>
                      <w:color w:val="auto"/>
                      <w:kern w:val="2"/>
                      <w:sz w:val="21"/>
                      <w:szCs w:val="21"/>
                    </w:rPr>
                    <w:t>0</w:t>
                  </w:r>
                </w:p>
              </w:tc>
              <w:tc>
                <w:tcPr>
                  <w:tcW w:w="597" w:type="pct"/>
                  <w:vAlign w:val="center"/>
                </w:tcPr>
                <w:p w14:paraId="7639C97E">
                  <w:pPr>
                    <w:pStyle w:val="6"/>
                    <w:adjustRightInd w:val="0"/>
                    <w:spacing w:before="0" w:after="0" w:line="240" w:lineRule="auto"/>
                    <w:ind w:right="0"/>
                    <w:jc w:val="center"/>
                    <w:rPr>
                      <w:color w:val="auto"/>
                      <w:kern w:val="2"/>
                      <w:sz w:val="21"/>
                      <w:szCs w:val="21"/>
                    </w:rPr>
                  </w:pPr>
                  <w:r>
                    <w:rPr>
                      <w:color w:val="auto"/>
                      <w:kern w:val="2"/>
                      <w:sz w:val="21"/>
                      <w:szCs w:val="21"/>
                    </w:rPr>
                    <w:t>达标</w:t>
                  </w:r>
                </w:p>
              </w:tc>
            </w:tr>
            <w:tr w14:paraId="20BE9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vAlign w:val="center"/>
                </w:tcPr>
                <w:p w14:paraId="0EFA3A5B">
                  <w:pPr>
                    <w:pStyle w:val="6"/>
                    <w:adjustRightInd w:val="0"/>
                    <w:spacing w:before="0" w:after="0" w:line="240" w:lineRule="auto"/>
                    <w:ind w:right="0"/>
                    <w:jc w:val="center"/>
                    <w:rPr>
                      <w:color w:val="auto"/>
                      <w:kern w:val="2"/>
                      <w:sz w:val="21"/>
                      <w:szCs w:val="21"/>
                    </w:rPr>
                  </w:pPr>
                  <w:r>
                    <w:rPr>
                      <w:color w:val="auto"/>
                      <w:kern w:val="2"/>
                      <w:sz w:val="21"/>
                      <w:szCs w:val="21"/>
                    </w:rPr>
                    <w:t>O</w:t>
                  </w:r>
                  <w:r>
                    <w:rPr>
                      <w:color w:val="auto"/>
                      <w:kern w:val="2"/>
                      <w:sz w:val="21"/>
                      <w:szCs w:val="21"/>
                      <w:vertAlign w:val="subscript"/>
                    </w:rPr>
                    <w:t>3</w:t>
                  </w:r>
                </w:p>
              </w:tc>
              <w:tc>
                <w:tcPr>
                  <w:tcW w:w="1347" w:type="pct"/>
                  <w:vAlign w:val="center"/>
                </w:tcPr>
                <w:p w14:paraId="0754A7B0">
                  <w:pPr>
                    <w:pStyle w:val="6"/>
                    <w:adjustRightInd w:val="0"/>
                    <w:spacing w:before="0" w:after="0" w:line="240" w:lineRule="auto"/>
                    <w:ind w:right="0"/>
                    <w:jc w:val="center"/>
                    <w:rPr>
                      <w:color w:val="auto"/>
                      <w:kern w:val="2"/>
                      <w:sz w:val="21"/>
                      <w:szCs w:val="21"/>
                    </w:rPr>
                  </w:pPr>
                  <w:r>
                    <w:rPr>
                      <w:color w:val="auto"/>
                      <w:kern w:val="2"/>
                      <w:sz w:val="21"/>
                      <w:szCs w:val="21"/>
                    </w:rPr>
                    <w:t>第90百分位数8h平均</w:t>
                  </w:r>
                </w:p>
              </w:tc>
              <w:tc>
                <w:tcPr>
                  <w:tcW w:w="960" w:type="dxa"/>
                  <w:vAlign w:val="center"/>
                </w:tcPr>
                <w:p w14:paraId="00ACE189">
                  <w:pPr>
                    <w:pStyle w:val="6"/>
                    <w:adjustRightInd w:val="0"/>
                    <w:spacing w:before="0" w:after="0" w:line="240" w:lineRule="auto"/>
                    <w:ind w:right="0" w:rightChars="0"/>
                    <w:jc w:val="center"/>
                    <w:rPr>
                      <w:color w:val="auto"/>
                      <w:kern w:val="2"/>
                      <w:sz w:val="21"/>
                      <w:szCs w:val="21"/>
                    </w:rPr>
                  </w:pPr>
                  <w:r>
                    <w:rPr>
                      <w:color w:val="auto"/>
                      <w:kern w:val="2"/>
                      <w:sz w:val="21"/>
                      <w:szCs w:val="21"/>
                    </w:rPr>
                    <w:t>12</w:t>
                  </w:r>
                  <w:r>
                    <w:rPr>
                      <w:rFonts w:hint="eastAsia"/>
                      <w:color w:val="auto"/>
                      <w:kern w:val="2"/>
                      <w:sz w:val="21"/>
                      <w:szCs w:val="21"/>
                      <w:lang w:val="en-US" w:eastAsia="zh-CN"/>
                    </w:rPr>
                    <w:t>1</w:t>
                  </w:r>
                </w:p>
              </w:tc>
              <w:tc>
                <w:tcPr>
                  <w:tcW w:w="960" w:type="dxa"/>
                  <w:vAlign w:val="center"/>
                </w:tcPr>
                <w:p w14:paraId="581766EF">
                  <w:pPr>
                    <w:pStyle w:val="6"/>
                    <w:adjustRightInd w:val="0"/>
                    <w:spacing w:before="0" w:after="0" w:line="240" w:lineRule="auto"/>
                    <w:ind w:right="0" w:rightChars="0"/>
                    <w:jc w:val="center"/>
                    <w:rPr>
                      <w:color w:val="auto"/>
                      <w:kern w:val="2"/>
                      <w:sz w:val="21"/>
                      <w:szCs w:val="21"/>
                    </w:rPr>
                  </w:pPr>
                  <w:r>
                    <w:rPr>
                      <w:color w:val="auto"/>
                      <w:kern w:val="2"/>
                      <w:sz w:val="21"/>
                      <w:szCs w:val="21"/>
                    </w:rPr>
                    <w:t>160</w:t>
                  </w:r>
                </w:p>
              </w:tc>
              <w:tc>
                <w:tcPr>
                  <w:tcW w:w="960" w:type="dxa"/>
                  <w:shd w:val="clear" w:color="auto" w:fill="auto"/>
                  <w:vAlign w:val="center"/>
                </w:tcPr>
                <w:p w14:paraId="636B72C0">
                  <w:pPr>
                    <w:pStyle w:val="6"/>
                    <w:adjustRightInd w:val="0"/>
                    <w:spacing w:before="0" w:after="0" w:line="240" w:lineRule="auto"/>
                    <w:ind w:right="0"/>
                    <w:jc w:val="center"/>
                    <w:rPr>
                      <w:color w:val="auto"/>
                      <w:kern w:val="2"/>
                      <w:sz w:val="21"/>
                      <w:szCs w:val="21"/>
                    </w:rPr>
                  </w:pPr>
                  <w:r>
                    <w:rPr>
                      <w:rFonts w:hint="eastAsia"/>
                      <w:color w:val="auto"/>
                      <w:kern w:val="2"/>
                      <w:sz w:val="21"/>
                      <w:szCs w:val="21"/>
                      <w:lang w:val="en-US" w:eastAsia="zh-CN"/>
                    </w:rPr>
                    <w:t>76</w:t>
                  </w:r>
                  <w:r>
                    <w:rPr>
                      <w:color w:val="auto"/>
                      <w:kern w:val="2"/>
                      <w:sz w:val="21"/>
                      <w:szCs w:val="21"/>
                      <w:lang w:eastAsia="zh-CN"/>
                    </w:rPr>
                    <w:t>%</w:t>
                  </w:r>
                </w:p>
              </w:tc>
              <w:tc>
                <w:tcPr>
                  <w:tcW w:w="603" w:type="pct"/>
                  <w:vAlign w:val="center"/>
                </w:tcPr>
                <w:p w14:paraId="5AE3AFAD">
                  <w:pPr>
                    <w:pStyle w:val="6"/>
                    <w:adjustRightInd w:val="0"/>
                    <w:spacing w:before="0" w:after="0" w:line="240" w:lineRule="auto"/>
                    <w:ind w:right="0"/>
                    <w:jc w:val="center"/>
                    <w:rPr>
                      <w:color w:val="auto"/>
                      <w:kern w:val="2"/>
                      <w:sz w:val="21"/>
                      <w:szCs w:val="21"/>
                    </w:rPr>
                  </w:pPr>
                  <w:r>
                    <w:rPr>
                      <w:color w:val="auto"/>
                      <w:kern w:val="2"/>
                      <w:sz w:val="21"/>
                      <w:szCs w:val="21"/>
                    </w:rPr>
                    <w:t>0</w:t>
                  </w:r>
                </w:p>
              </w:tc>
              <w:tc>
                <w:tcPr>
                  <w:tcW w:w="597" w:type="pct"/>
                  <w:vAlign w:val="center"/>
                </w:tcPr>
                <w:p w14:paraId="47937992">
                  <w:pPr>
                    <w:pStyle w:val="6"/>
                    <w:adjustRightInd w:val="0"/>
                    <w:spacing w:before="0" w:after="0" w:line="240" w:lineRule="auto"/>
                    <w:ind w:right="0"/>
                    <w:jc w:val="center"/>
                    <w:rPr>
                      <w:color w:val="auto"/>
                      <w:kern w:val="2"/>
                      <w:sz w:val="21"/>
                      <w:szCs w:val="21"/>
                    </w:rPr>
                  </w:pPr>
                  <w:r>
                    <w:rPr>
                      <w:color w:val="auto"/>
                      <w:kern w:val="2"/>
                      <w:sz w:val="21"/>
                      <w:szCs w:val="21"/>
                    </w:rPr>
                    <w:t>达标</w:t>
                  </w:r>
                </w:p>
              </w:tc>
            </w:tr>
          </w:tbl>
          <w:p w14:paraId="2B050545">
            <w:pPr>
              <w:adjustRightInd w:val="0"/>
              <w:snapToGrid w:val="0"/>
              <w:spacing w:line="360" w:lineRule="auto"/>
              <w:ind w:firstLine="420" w:firstLineChars="200"/>
              <w:jc w:val="left"/>
              <w:rPr>
                <w:b/>
                <w:bCs/>
                <w:color w:val="auto"/>
                <w:kern w:val="0"/>
                <w:szCs w:val="21"/>
              </w:rPr>
            </w:pPr>
            <w:r>
              <w:rPr>
                <w:rFonts w:hint="eastAsia"/>
                <w:color w:val="auto"/>
                <w:kern w:val="0"/>
                <w:szCs w:val="21"/>
              </w:rPr>
              <w:t>区域</w:t>
            </w:r>
            <w:r>
              <w:rPr>
                <w:color w:val="auto"/>
                <w:kern w:val="0"/>
                <w:szCs w:val="21"/>
              </w:rPr>
              <w:t>六项指标年均浓度均达到《环境空气质量标准》（GB3095-2012）二级标准要求。</w:t>
            </w:r>
            <w:r>
              <w:rPr>
                <w:b/>
                <w:bCs/>
                <w:color w:val="auto"/>
                <w:kern w:val="0"/>
                <w:szCs w:val="21"/>
              </w:rPr>
              <w:t>因此本项目所在城市为空气质量达标区。</w:t>
            </w:r>
          </w:p>
          <w:p w14:paraId="08AD0AFB">
            <w:pPr>
              <w:adjustRightInd w:val="0"/>
              <w:snapToGrid w:val="0"/>
              <w:spacing w:line="360" w:lineRule="auto"/>
              <w:ind w:firstLine="420" w:firstLineChars="200"/>
              <w:jc w:val="left"/>
              <w:rPr>
                <w:color w:val="auto"/>
                <w:kern w:val="0"/>
                <w:szCs w:val="21"/>
              </w:rPr>
            </w:pPr>
            <w:r>
              <w:rPr>
                <w:color w:val="auto"/>
                <w:kern w:val="0"/>
                <w:szCs w:val="21"/>
              </w:rPr>
              <w:t>（2）特征污染物</w:t>
            </w:r>
          </w:p>
          <w:p w14:paraId="1E331FA7">
            <w:pPr>
              <w:adjustRightInd w:val="0"/>
              <w:snapToGrid w:val="0"/>
              <w:spacing w:line="360" w:lineRule="auto"/>
              <w:ind w:firstLine="420" w:firstLineChars="200"/>
              <w:jc w:val="left"/>
              <w:rPr>
                <w:color w:val="auto"/>
                <w:kern w:val="0"/>
                <w:szCs w:val="21"/>
              </w:rPr>
            </w:pPr>
            <w:r>
              <w:rPr>
                <w:color w:val="auto"/>
                <w:kern w:val="0"/>
                <w:szCs w:val="21"/>
              </w:rPr>
              <w:t>本项目所涉及其他</w:t>
            </w:r>
            <w:r>
              <w:rPr>
                <w:rFonts w:hint="eastAsia"/>
                <w:color w:val="auto"/>
                <w:kern w:val="0"/>
                <w:szCs w:val="21"/>
                <w:lang w:eastAsia="zh-CN"/>
              </w:rPr>
              <w:t>污染物</w:t>
            </w:r>
            <w:r>
              <w:rPr>
                <w:color w:val="auto"/>
                <w:kern w:val="0"/>
                <w:szCs w:val="21"/>
              </w:rPr>
              <w:t>TSP。为了解本项目所在地特征因子环境空气质量，根据本项目所在位置及周围外环境特点，项目委托</w:t>
            </w:r>
            <w:r>
              <w:rPr>
                <w:rFonts w:hint="eastAsia"/>
                <w:color w:val="auto"/>
                <w:kern w:val="0"/>
                <w:szCs w:val="21"/>
                <w:lang w:val="en-US" w:eastAsia="zh-CN"/>
              </w:rPr>
              <w:t>新疆点点星光检测技术有限公司</w:t>
            </w:r>
            <w:r>
              <w:rPr>
                <w:color w:val="auto"/>
                <w:kern w:val="0"/>
                <w:szCs w:val="21"/>
              </w:rPr>
              <w:t>于2025年</w:t>
            </w:r>
            <w:r>
              <w:rPr>
                <w:rFonts w:hint="eastAsia"/>
                <w:color w:val="auto"/>
                <w:kern w:val="0"/>
                <w:szCs w:val="21"/>
                <w:lang w:val="en-US" w:eastAsia="zh-CN"/>
              </w:rPr>
              <w:t>12</w:t>
            </w:r>
            <w:r>
              <w:rPr>
                <w:color w:val="auto"/>
                <w:kern w:val="0"/>
                <w:szCs w:val="21"/>
              </w:rPr>
              <w:t>月</w:t>
            </w:r>
            <w:r>
              <w:rPr>
                <w:rFonts w:hint="eastAsia"/>
                <w:color w:val="auto"/>
                <w:kern w:val="0"/>
                <w:szCs w:val="21"/>
                <w:lang w:val="en-US" w:eastAsia="zh-CN"/>
              </w:rPr>
              <w:t>31</w:t>
            </w:r>
            <w:r>
              <w:rPr>
                <w:color w:val="auto"/>
                <w:kern w:val="0"/>
                <w:szCs w:val="21"/>
              </w:rPr>
              <w:t>日</w:t>
            </w:r>
            <w:r>
              <w:rPr>
                <w:rFonts w:hint="eastAsia"/>
                <w:color w:val="auto"/>
                <w:kern w:val="0"/>
                <w:szCs w:val="21"/>
              </w:rPr>
              <w:t>-</w:t>
            </w:r>
            <w:r>
              <w:rPr>
                <w:rFonts w:hint="eastAsia"/>
                <w:color w:val="auto"/>
                <w:kern w:val="0"/>
                <w:szCs w:val="21"/>
                <w:lang w:val="en-US" w:eastAsia="zh-CN"/>
              </w:rPr>
              <w:t>2026年1</w:t>
            </w:r>
            <w:r>
              <w:rPr>
                <w:rFonts w:hint="eastAsia"/>
                <w:color w:val="auto"/>
                <w:kern w:val="0"/>
                <w:szCs w:val="21"/>
              </w:rPr>
              <w:t>月</w:t>
            </w:r>
            <w:r>
              <w:rPr>
                <w:rFonts w:hint="eastAsia"/>
                <w:color w:val="auto"/>
                <w:kern w:val="0"/>
                <w:szCs w:val="21"/>
                <w:lang w:val="en-US" w:eastAsia="zh-CN"/>
              </w:rPr>
              <w:t>2</w:t>
            </w:r>
            <w:r>
              <w:rPr>
                <w:rFonts w:hint="eastAsia"/>
                <w:color w:val="auto"/>
                <w:kern w:val="0"/>
                <w:szCs w:val="21"/>
              </w:rPr>
              <w:t>日</w:t>
            </w:r>
            <w:r>
              <w:rPr>
                <w:color w:val="auto"/>
                <w:kern w:val="0"/>
                <w:szCs w:val="21"/>
              </w:rPr>
              <w:t>对本项目所在地</w:t>
            </w:r>
            <w:r>
              <w:rPr>
                <w:rFonts w:hint="eastAsia"/>
                <w:color w:val="auto"/>
                <w:kern w:val="0"/>
                <w:szCs w:val="21"/>
              </w:rPr>
              <w:t>环境空气</w:t>
            </w:r>
            <w:r>
              <w:rPr>
                <w:color w:val="auto"/>
                <w:kern w:val="0"/>
                <w:szCs w:val="21"/>
              </w:rPr>
              <w:t>进行了监测。</w:t>
            </w:r>
          </w:p>
          <w:p w14:paraId="70BCAE09">
            <w:pPr>
              <w:adjustRightInd w:val="0"/>
              <w:snapToGrid w:val="0"/>
              <w:spacing w:line="360" w:lineRule="auto"/>
              <w:ind w:firstLine="422" w:firstLineChars="200"/>
              <w:jc w:val="left"/>
              <w:rPr>
                <w:b/>
                <w:bCs/>
                <w:color w:val="auto"/>
                <w:kern w:val="0"/>
                <w:szCs w:val="21"/>
              </w:rPr>
            </w:pPr>
            <w:r>
              <w:rPr>
                <w:b/>
                <w:bCs/>
                <w:color w:val="auto"/>
                <w:kern w:val="0"/>
                <w:szCs w:val="21"/>
              </w:rPr>
              <w:t>本项目选择</w:t>
            </w:r>
            <w:r>
              <w:rPr>
                <w:rFonts w:hint="eastAsia"/>
                <w:b/>
                <w:bCs/>
                <w:color w:val="auto"/>
                <w:kern w:val="0"/>
                <w:szCs w:val="21"/>
              </w:rPr>
              <w:t>项目区</w:t>
            </w:r>
            <w:r>
              <w:rPr>
                <w:b/>
                <w:bCs/>
                <w:color w:val="auto"/>
                <w:kern w:val="0"/>
                <w:szCs w:val="21"/>
              </w:rPr>
              <w:t>点位，监测3天的监测作为特征因子现状监测数据，可有效</w:t>
            </w:r>
            <w:r>
              <w:rPr>
                <w:rFonts w:hint="eastAsia"/>
                <w:b/>
                <w:bCs/>
                <w:color w:val="auto"/>
                <w:kern w:val="0"/>
                <w:szCs w:val="21"/>
              </w:rPr>
              <w:t>地</w:t>
            </w:r>
            <w:r>
              <w:rPr>
                <w:b/>
                <w:bCs/>
                <w:color w:val="auto"/>
                <w:kern w:val="0"/>
                <w:szCs w:val="21"/>
              </w:rPr>
              <w:t>满足要求。</w:t>
            </w:r>
          </w:p>
          <w:p w14:paraId="009FC3E1">
            <w:pPr>
              <w:adjustRightInd w:val="0"/>
              <w:snapToGrid w:val="0"/>
              <w:spacing w:line="360" w:lineRule="auto"/>
              <w:ind w:firstLine="422" w:firstLineChars="200"/>
              <w:jc w:val="left"/>
              <w:rPr>
                <w:b/>
                <w:bCs/>
                <w:color w:val="auto"/>
                <w:kern w:val="0"/>
                <w:szCs w:val="21"/>
              </w:rPr>
            </w:pPr>
            <w:r>
              <w:rPr>
                <w:rFonts w:hint="eastAsia" w:ascii="宋体" w:hAnsi="宋体" w:cs="宋体"/>
                <w:b/>
                <w:bCs/>
                <w:color w:val="auto"/>
                <w:kern w:val="0"/>
                <w:szCs w:val="21"/>
              </w:rPr>
              <w:t>①</w:t>
            </w:r>
            <w:r>
              <w:rPr>
                <w:b/>
                <w:bCs/>
                <w:color w:val="auto"/>
                <w:kern w:val="0"/>
                <w:szCs w:val="21"/>
              </w:rPr>
              <w:t>监测项目及点位</w:t>
            </w:r>
          </w:p>
          <w:p w14:paraId="178AF72B">
            <w:pPr>
              <w:adjustRightInd w:val="0"/>
              <w:snapToGrid w:val="0"/>
              <w:spacing w:line="360" w:lineRule="auto"/>
              <w:ind w:firstLine="420" w:firstLineChars="200"/>
              <w:jc w:val="left"/>
              <w:rPr>
                <w:color w:val="auto"/>
                <w:kern w:val="0"/>
                <w:szCs w:val="21"/>
              </w:rPr>
            </w:pPr>
            <w:r>
              <w:rPr>
                <w:color w:val="auto"/>
                <w:kern w:val="0"/>
                <w:szCs w:val="21"/>
              </w:rPr>
              <w:t>监测项目：TSP</w:t>
            </w:r>
          </w:p>
          <w:p w14:paraId="669F3474">
            <w:pPr>
              <w:adjustRightInd w:val="0"/>
              <w:snapToGrid w:val="0"/>
              <w:spacing w:line="360" w:lineRule="auto"/>
              <w:ind w:firstLine="420" w:firstLineChars="200"/>
              <w:jc w:val="left"/>
              <w:rPr>
                <w:color w:val="auto"/>
                <w:kern w:val="0"/>
                <w:szCs w:val="21"/>
              </w:rPr>
            </w:pPr>
            <w:r>
              <w:rPr>
                <w:color w:val="auto"/>
                <w:kern w:val="0"/>
                <w:szCs w:val="21"/>
              </w:rPr>
              <w:t>监测点位：</w:t>
            </w:r>
            <w:r>
              <w:rPr>
                <w:rFonts w:hint="eastAsia"/>
                <w:color w:val="auto"/>
                <w:kern w:val="0"/>
                <w:szCs w:val="21"/>
                <w:lang w:val="en-US" w:eastAsia="zh-CN"/>
              </w:rPr>
              <w:t>项目所在地</w:t>
            </w:r>
            <w:r>
              <w:rPr>
                <w:color w:val="auto"/>
                <w:kern w:val="0"/>
                <w:szCs w:val="21"/>
              </w:rPr>
              <w:t>设置</w:t>
            </w:r>
            <w:r>
              <w:rPr>
                <w:rFonts w:hint="eastAsia"/>
                <w:color w:val="auto"/>
                <w:kern w:val="0"/>
                <w:szCs w:val="21"/>
              </w:rPr>
              <w:t>1</w:t>
            </w:r>
            <w:r>
              <w:rPr>
                <w:color w:val="auto"/>
                <w:kern w:val="0"/>
                <w:szCs w:val="21"/>
              </w:rPr>
              <w:t>个监测点位。</w:t>
            </w:r>
          </w:p>
          <w:p w14:paraId="0CE65018">
            <w:pPr>
              <w:adjustRightInd w:val="0"/>
              <w:snapToGrid w:val="0"/>
              <w:spacing w:line="360" w:lineRule="auto"/>
              <w:ind w:firstLine="420" w:firstLineChars="200"/>
              <w:jc w:val="left"/>
              <w:rPr>
                <w:color w:val="auto"/>
                <w:kern w:val="0"/>
                <w:szCs w:val="21"/>
              </w:rPr>
            </w:pPr>
            <w:r>
              <w:rPr>
                <w:color w:val="auto"/>
                <w:kern w:val="0"/>
                <w:szCs w:val="21"/>
              </w:rPr>
              <w:t>监测时间及频率：连续监测3天，TSP测日均值，每天监测一次。</w:t>
            </w:r>
          </w:p>
          <w:p w14:paraId="290AFB75">
            <w:pPr>
              <w:adjustRightInd w:val="0"/>
              <w:snapToGrid w:val="0"/>
              <w:spacing w:line="360" w:lineRule="auto"/>
              <w:ind w:firstLine="420" w:firstLineChars="200"/>
              <w:jc w:val="left"/>
              <w:rPr>
                <w:color w:val="auto"/>
                <w:kern w:val="0"/>
                <w:szCs w:val="21"/>
              </w:rPr>
            </w:pPr>
            <w:r>
              <w:rPr>
                <w:color w:val="auto"/>
                <w:kern w:val="0"/>
                <w:szCs w:val="21"/>
              </w:rPr>
              <w:t>监测分析方法：采用《环境空气质量评价技术规范》（HJ663-2013）中规定的方法。检测内容及结果见下表：</w:t>
            </w:r>
          </w:p>
          <w:p w14:paraId="4907E607">
            <w:pPr>
              <w:autoSpaceDE w:val="0"/>
              <w:autoSpaceDN w:val="0"/>
              <w:adjustRightInd w:val="0"/>
              <w:snapToGrid w:val="0"/>
              <w:jc w:val="center"/>
              <w:rPr>
                <w:b/>
                <w:bCs/>
                <w:color w:val="auto"/>
                <w:kern w:val="0"/>
                <w:szCs w:val="21"/>
              </w:rPr>
            </w:pPr>
            <w:r>
              <w:rPr>
                <w:b/>
                <w:bCs/>
                <w:color w:val="auto"/>
                <w:kern w:val="0"/>
                <w:szCs w:val="21"/>
              </w:rPr>
              <w:t>表3-2环境空气监测结果表</w:t>
            </w:r>
          </w:p>
          <w:tbl>
            <w:tblPr>
              <w:tblStyle w:val="19"/>
              <w:tblW w:w="79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823"/>
              <w:gridCol w:w="590"/>
              <w:gridCol w:w="1328"/>
              <w:gridCol w:w="992"/>
              <w:gridCol w:w="3544"/>
              <w:gridCol w:w="634"/>
            </w:tblGrid>
            <w:tr w14:paraId="05B80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4" w:hRule="atLeast"/>
                <w:tblHeader/>
                <w:jc w:val="center"/>
              </w:trPr>
              <w:tc>
                <w:tcPr>
                  <w:tcW w:w="823" w:type="dxa"/>
                  <w:tcBorders>
                    <w:right w:val="single" w:color="000000" w:sz="4" w:space="0"/>
                  </w:tcBorders>
                  <w:vAlign w:val="center"/>
                </w:tcPr>
                <w:p w14:paraId="5B645F4E">
                  <w:pPr>
                    <w:jc w:val="center"/>
                    <w:rPr>
                      <w:b/>
                      <w:color w:val="auto"/>
                      <w:szCs w:val="21"/>
                    </w:rPr>
                  </w:pPr>
                  <w:r>
                    <w:rPr>
                      <w:b/>
                      <w:color w:val="auto"/>
                      <w:szCs w:val="21"/>
                    </w:rPr>
                    <w:t>采样日期</w:t>
                  </w:r>
                </w:p>
              </w:tc>
              <w:tc>
                <w:tcPr>
                  <w:tcW w:w="590" w:type="dxa"/>
                  <w:vMerge w:val="restart"/>
                  <w:tcBorders>
                    <w:right w:val="single" w:color="000000" w:sz="4" w:space="0"/>
                  </w:tcBorders>
                  <w:vAlign w:val="center"/>
                </w:tcPr>
                <w:p w14:paraId="6E5521C2">
                  <w:pPr>
                    <w:jc w:val="center"/>
                    <w:rPr>
                      <w:b/>
                      <w:color w:val="auto"/>
                      <w:szCs w:val="21"/>
                    </w:rPr>
                  </w:pPr>
                  <w:r>
                    <w:rPr>
                      <w:b/>
                      <w:color w:val="auto"/>
                      <w:szCs w:val="21"/>
                    </w:rPr>
                    <w:t>检测点位</w:t>
                  </w:r>
                </w:p>
              </w:tc>
              <w:tc>
                <w:tcPr>
                  <w:tcW w:w="1328" w:type="dxa"/>
                  <w:vMerge w:val="restart"/>
                  <w:tcBorders>
                    <w:right w:val="single" w:color="000000" w:sz="4" w:space="0"/>
                  </w:tcBorders>
                  <w:vAlign w:val="center"/>
                </w:tcPr>
                <w:p w14:paraId="01670DDA">
                  <w:pPr>
                    <w:jc w:val="center"/>
                    <w:rPr>
                      <w:b/>
                      <w:color w:val="auto"/>
                      <w:szCs w:val="21"/>
                    </w:rPr>
                  </w:pPr>
                  <w:r>
                    <w:rPr>
                      <w:b/>
                      <w:color w:val="auto"/>
                      <w:szCs w:val="21"/>
                    </w:rPr>
                    <w:t>检测项目</w:t>
                  </w:r>
                </w:p>
              </w:tc>
              <w:tc>
                <w:tcPr>
                  <w:tcW w:w="992" w:type="dxa"/>
                  <w:vMerge w:val="restart"/>
                  <w:tcBorders>
                    <w:right w:val="single" w:color="000000" w:sz="4" w:space="0"/>
                  </w:tcBorders>
                  <w:vAlign w:val="center"/>
                </w:tcPr>
                <w:p w14:paraId="05A72884">
                  <w:pPr>
                    <w:jc w:val="center"/>
                    <w:rPr>
                      <w:b/>
                      <w:color w:val="auto"/>
                      <w:szCs w:val="21"/>
                    </w:rPr>
                  </w:pPr>
                  <w:r>
                    <w:rPr>
                      <w:b/>
                      <w:color w:val="auto"/>
                      <w:szCs w:val="21"/>
                    </w:rPr>
                    <w:t>单位</w:t>
                  </w:r>
                </w:p>
              </w:tc>
              <w:tc>
                <w:tcPr>
                  <w:tcW w:w="3544" w:type="dxa"/>
                  <w:tcBorders>
                    <w:left w:val="single" w:color="000000" w:sz="4" w:space="0"/>
                  </w:tcBorders>
                  <w:vAlign w:val="center"/>
                </w:tcPr>
                <w:p w14:paraId="161FF40F">
                  <w:pPr>
                    <w:jc w:val="center"/>
                    <w:rPr>
                      <w:b/>
                      <w:color w:val="auto"/>
                      <w:szCs w:val="21"/>
                    </w:rPr>
                  </w:pPr>
                  <w:r>
                    <w:rPr>
                      <w:b/>
                      <w:color w:val="auto"/>
                      <w:szCs w:val="21"/>
                    </w:rPr>
                    <w:t>检测结果</w:t>
                  </w:r>
                </w:p>
              </w:tc>
              <w:tc>
                <w:tcPr>
                  <w:tcW w:w="634" w:type="dxa"/>
                  <w:vMerge w:val="restart"/>
                  <w:tcBorders>
                    <w:left w:val="single" w:color="000000" w:sz="4" w:space="0"/>
                  </w:tcBorders>
                  <w:vAlign w:val="center"/>
                </w:tcPr>
                <w:p w14:paraId="6BE545E9">
                  <w:pPr>
                    <w:jc w:val="center"/>
                    <w:rPr>
                      <w:b/>
                      <w:color w:val="auto"/>
                      <w:szCs w:val="21"/>
                    </w:rPr>
                  </w:pPr>
                  <w:r>
                    <w:rPr>
                      <w:rFonts w:hint="eastAsia"/>
                      <w:b/>
                      <w:color w:val="auto"/>
                      <w:szCs w:val="21"/>
                    </w:rPr>
                    <w:t>标准</w:t>
                  </w:r>
                </w:p>
              </w:tc>
            </w:tr>
            <w:tr w14:paraId="2FE79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823" w:type="dxa"/>
                  <w:vAlign w:val="center"/>
                </w:tcPr>
                <w:p w14:paraId="1D08411A">
                  <w:pPr>
                    <w:jc w:val="center"/>
                    <w:rPr>
                      <w:rFonts w:hint="default" w:eastAsia="宋体"/>
                      <w:color w:val="auto"/>
                      <w:szCs w:val="21"/>
                      <w:lang w:val="en-US" w:eastAsia="zh-CN" w:bidi="ar"/>
                    </w:rPr>
                  </w:pPr>
                  <w:r>
                    <w:rPr>
                      <w:rFonts w:hint="eastAsia"/>
                      <w:bCs/>
                      <w:color w:val="auto"/>
                      <w:szCs w:val="21"/>
                      <w:lang w:val="en-US" w:eastAsia="zh-CN"/>
                    </w:rPr>
                    <w:t>12.31</w:t>
                  </w:r>
                </w:p>
              </w:tc>
              <w:tc>
                <w:tcPr>
                  <w:tcW w:w="590" w:type="dxa"/>
                  <w:vMerge w:val="restart"/>
                  <w:tcBorders>
                    <w:right w:val="single" w:color="000000" w:sz="4" w:space="0"/>
                  </w:tcBorders>
                  <w:vAlign w:val="center"/>
                </w:tcPr>
                <w:p w14:paraId="5CA59202">
                  <w:pPr>
                    <w:jc w:val="center"/>
                    <w:rPr>
                      <w:rFonts w:hint="default" w:eastAsia="宋体"/>
                      <w:bCs/>
                      <w:color w:val="auto"/>
                      <w:szCs w:val="21"/>
                      <w:lang w:val="en-US" w:eastAsia="zh-CN"/>
                    </w:rPr>
                  </w:pPr>
                  <w:r>
                    <w:rPr>
                      <w:rFonts w:hint="eastAsia"/>
                      <w:bCs/>
                      <w:color w:val="auto"/>
                      <w:szCs w:val="21"/>
                      <w:lang w:val="en-US" w:eastAsia="zh-CN"/>
                    </w:rPr>
                    <w:t>项目所在地</w:t>
                  </w:r>
                </w:p>
              </w:tc>
              <w:tc>
                <w:tcPr>
                  <w:tcW w:w="1328" w:type="dxa"/>
                  <w:vMerge w:val="restart"/>
                  <w:tcBorders>
                    <w:right w:val="single" w:color="000000" w:sz="4" w:space="0"/>
                  </w:tcBorders>
                  <w:vAlign w:val="center"/>
                </w:tcPr>
                <w:p w14:paraId="1DD59EA6">
                  <w:pPr>
                    <w:jc w:val="center"/>
                    <w:rPr>
                      <w:color w:val="auto"/>
                      <w:szCs w:val="21"/>
                    </w:rPr>
                  </w:pPr>
                  <w:r>
                    <w:rPr>
                      <w:color w:val="auto"/>
                      <w:szCs w:val="21"/>
                    </w:rPr>
                    <w:t>总悬浮颗粒物</w:t>
                  </w:r>
                </w:p>
                <w:p w14:paraId="5D0A44B9">
                  <w:pPr>
                    <w:jc w:val="center"/>
                    <w:rPr>
                      <w:color w:val="auto"/>
                      <w:szCs w:val="21"/>
                    </w:rPr>
                  </w:pPr>
                  <w:r>
                    <w:rPr>
                      <w:color w:val="auto"/>
                      <w:szCs w:val="21"/>
                    </w:rPr>
                    <w:t>（日均值）</w:t>
                  </w:r>
                </w:p>
              </w:tc>
              <w:tc>
                <w:tcPr>
                  <w:tcW w:w="992" w:type="dxa"/>
                  <w:vMerge w:val="restart"/>
                  <w:tcBorders>
                    <w:right w:val="single" w:color="000000" w:sz="4" w:space="0"/>
                  </w:tcBorders>
                  <w:vAlign w:val="center"/>
                </w:tcPr>
                <w:p w14:paraId="7D51E628">
                  <w:pPr>
                    <w:jc w:val="center"/>
                    <w:rPr>
                      <w:color w:val="auto"/>
                      <w:szCs w:val="21"/>
                    </w:rPr>
                  </w:pPr>
                  <w:r>
                    <w:rPr>
                      <w:color w:val="auto"/>
                      <w:szCs w:val="21"/>
                    </w:rPr>
                    <w:t>μg/m</w:t>
                  </w:r>
                  <w:r>
                    <w:rPr>
                      <w:color w:val="auto"/>
                      <w:szCs w:val="21"/>
                      <w:vertAlign w:val="superscript"/>
                    </w:rPr>
                    <w:t>3</w:t>
                  </w:r>
                </w:p>
              </w:tc>
              <w:tc>
                <w:tcPr>
                  <w:tcW w:w="3544" w:type="dxa"/>
                  <w:tcBorders>
                    <w:left w:val="single" w:color="000000" w:sz="4" w:space="0"/>
                  </w:tcBorders>
                  <w:vAlign w:val="center"/>
                </w:tcPr>
                <w:p w14:paraId="1046EC84">
                  <w:pPr>
                    <w:jc w:val="center"/>
                    <w:rPr>
                      <w:rFonts w:hint="default" w:eastAsia="宋体"/>
                      <w:color w:val="auto"/>
                      <w:szCs w:val="21"/>
                      <w:lang w:val="en-US" w:eastAsia="zh-CN"/>
                    </w:rPr>
                  </w:pPr>
                  <w:r>
                    <w:rPr>
                      <w:rFonts w:hint="eastAsia"/>
                      <w:color w:val="auto"/>
                      <w:szCs w:val="21"/>
                      <w:lang w:val="en-US" w:eastAsia="zh-CN"/>
                    </w:rPr>
                    <w:t>0.170</w:t>
                  </w:r>
                </w:p>
              </w:tc>
              <w:tc>
                <w:tcPr>
                  <w:tcW w:w="634" w:type="dxa"/>
                  <w:vMerge w:val="restart"/>
                  <w:tcBorders>
                    <w:left w:val="single" w:color="000000" w:sz="4" w:space="0"/>
                  </w:tcBorders>
                  <w:vAlign w:val="center"/>
                </w:tcPr>
                <w:p w14:paraId="556C8529">
                  <w:pPr>
                    <w:jc w:val="center"/>
                    <w:rPr>
                      <w:rFonts w:hint="default" w:eastAsia="宋体"/>
                      <w:color w:val="auto"/>
                      <w:szCs w:val="21"/>
                      <w:lang w:val="en-US" w:eastAsia="zh-CN"/>
                    </w:rPr>
                  </w:pPr>
                  <w:r>
                    <w:rPr>
                      <w:rFonts w:hint="eastAsia"/>
                      <w:color w:val="auto"/>
                      <w:szCs w:val="21"/>
                      <w:lang w:val="en-US" w:eastAsia="zh-CN"/>
                    </w:rPr>
                    <w:t>0.3</w:t>
                  </w:r>
                </w:p>
              </w:tc>
            </w:tr>
            <w:tr w14:paraId="56730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823" w:type="dxa"/>
                  <w:vAlign w:val="center"/>
                </w:tcPr>
                <w:p w14:paraId="02E7FB60">
                  <w:pPr>
                    <w:jc w:val="center"/>
                    <w:rPr>
                      <w:rFonts w:hint="default" w:eastAsia="宋体"/>
                      <w:bCs/>
                      <w:color w:val="auto"/>
                      <w:szCs w:val="21"/>
                      <w:lang w:val="en-US" w:eastAsia="zh-CN"/>
                    </w:rPr>
                  </w:pPr>
                  <w:r>
                    <w:rPr>
                      <w:rFonts w:hint="eastAsia"/>
                      <w:bCs/>
                      <w:color w:val="auto"/>
                      <w:szCs w:val="21"/>
                      <w:lang w:val="en-US" w:eastAsia="zh-CN"/>
                    </w:rPr>
                    <w:t>1.1</w:t>
                  </w:r>
                </w:p>
              </w:tc>
              <w:tc>
                <w:tcPr>
                  <w:tcW w:w="590" w:type="dxa"/>
                  <w:vMerge w:val="continue"/>
                  <w:tcBorders>
                    <w:right w:val="single" w:color="000000" w:sz="4" w:space="0"/>
                  </w:tcBorders>
                  <w:vAlign w:val="center"/>
                </w:tcPr>
                <w:p w14:paraId="5F496B59">
                  <w:pPr>
                    <w:jc w:val="center"/>
                    <w:rPr>
                      <w:bCs/>
                      <w:color w:val="auto"/>
                      <w:szCs w:val="21"/>
                    </w:rPr>
                  </w:pPr>
                </w:p>
              </w:tc>
              <w:tc>
                <w:tcPr>
                  <w:tcW w:w="1328" w:type="dxa"/>
                  <w:vMerge w:val="continue"/>
                  <w:tcBorders>
                    <w:right w:val="single" w:color="000000" w:sz="4" w:space="0"/>
                  </w:tcBorders>
                  <w:vAlign w:val="center"/>
                </w:tcPr>
                <w:p w14:paraId="12153586">
                  <w:pPr>
                    <w:jc w:val="center"/>
                    <w:rPr>
                      <w:color w:val="auto"/>
                      <w:szCs w:val="21"/>
                    </w:rPr>
                  </w:pPr>
                </w:p>
              </w:tc>
              <w:tc>
                <w:tcPr>
                  <w:tcW w:w="992" w:type="dxa"/>
                  <w:vMerge w:val="continue"/>
                  <w:tcBorders>
                    <w:right w:val="single" w:color="000000" w:sz="4" w:space="0"/>
                  </w:tcBorders>
                  <w:vAlign w:val="center"/>
                </w:tcPr>
                <w:p w14:paraId="4509AB6C">
                  <w:pPr>
                    <w:jc w:val="center"/>
                    <w:rPr>
                      <w:color w:val="auto"/>
                      <w:szCs w:val="21"/>
                    </w:rPr>
                  </w:pPr>
                </w:p>
              </w:tc>
              <w:tc>
                <w:tcPr>
                  <w:tcW w:w="3544" w:type="dxa"/>
                  <w:tcBorders>
                    <w:left w:val="single" w:color="000000" w:sz="4" w:space="0"/>
                  </w:tcBorders>
                  <w:vAlign w:val="center"/>
                </w:tcPr>
                <w:p w14:paraId="2F12832A">
                  <w:pPr>
                    <w:jc w:val="center"/>
                    <w:rPr>
                      <w:rFonts w:hint="default" w:eastAsia="宋体"/>
                      <w:bCs/>
                      <w:color w:val="auto"/>
                      <w:szCs w:val="21"/>
                      <w:lang w:val="en-US" w:eastAsia="zh-CN"/>
                    </w:rPr>
                  </w:pPr>
                  <w:r>
                    <w:rPr>
                      <w:rFonts w:hint="eastAsia"/>
                      <w:bCs/>
                      <w:color w:val="auto"/>
                      <w:szCs w:val="21"/>
                      <w:lang w:val="en-US" w:eastAsia="zh-CN"/>
                    </w:rPr>
                    <w:t>0.168</w:t>
                  </w:r>
                </w:p>
              </w:tc>
              <w:tc>
                <w:tcPr>
                  <w:tcW w:w="634" w:type="dxa"/>
                  <w:vMerge w:val="continue"/>
                  <w:tcBorders>
                    <w:left w:val="single" w:color="000000" w:sz="4" w:space="0"/>
                  </w:tcBorders>
                  <w:vAlign w:val="center"/>
                </w:tcPr>
                <w:p w14:paraId="43ED37A8">
                  <w:pPr>
                    <w:jc w:val="center"/>
                    <w:rPr>
                      <w:color w:val="auto"/>
                      <w:szCs w:val="21"/>
                    </w:rPr>
                  </w:pPr>
                </w:p>
              </w:tc>
            </w:tr>
            <w:tr w14:paraId="59FD2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823" w:type="dxa"/>
                  <w:vAlign w:val="center"/>
                </w:tcPr>
                <w:p w14:paraId="58FC1CD7">
                  <w:pPr>
                    <w:jc w:val="center"/>
                    <w:rPr>
                      <w:rFonts w:hint="default" w:eastAsia="宋体"/>
                      <w:bCs/>
                      <w:color w:val="auto"/>
                      <w:szCs w:val="21"/>
                      <w:lang w:val="en-US" w:eastAsia="zh-CN"/>
                    </w:rPr>
                  </w:pPr>
                  <w:r>
                    <w:rPr>
                      <w:rFonts w:hint="eastAsia"/>
                      <w:bCs/>
                      <w:color w:val="auto"/>
                      <w:szCs w:val="21"/>
                      <w:lang w:val="en-US" w:eastAsia="zh-CN"/>
                    </w:rPr>
                    <w:t>1.2</w:t>
                  </w:r>
                </w:p>
              </w:tc>
              <w:tc>
                <w:tcPr>
                  <w:tcW w:w="590" w:type="dxa"/>
                  <w:vMerge w:val="continue"/>
                  <w:tcBorders>
                    <w:right w:val="single" w:color="000000" w:sz="4" w:space="0"/>
                  </w:tcBorders>
                  <w:vAlign w:val="center"/>
                </w:tcPr>
                <w:p w14:paraId="551D2DF0">
                  <w:pPr>
                    <w:jc w:val="center"/>
                    <w:rPr>
                      <w:bCs/>
                      <w:color w:val="auto"/>
                      <w:szCs w:val="21"/>
                    </w:rPr>
                  </w:pPr>
                </w:p>
              </w:tc>
              <w:tc>
                <w:tcPr>
                  <w:tcW w:w="1328" w:type="dxa"/>
                  <w:vMerge w:val="continue"/>
                  <w:tcBorders>
                    <w:right w:val="single" w:color="000000" w:sz="4" w:space="0"/>
                  </w:tcBorders>
                  <w:vAlign w:val="center"/>
                </w:tcPr>
                <w:p w14:paraId="17F0B806">
                  <w:pPr>
                    <w:jc w:val="center"/>
                    <w:rPr>
                      <w:color w:val="auto"/>
                      <w:szCs w:val="21"/>
                    </w:rPr>
                  </w:pPr>
                </w:p>
              </w:tc>
              <w:tc>
                <w:tcPr>
                  <w:tcW w:w="992" w:type="dxa"/>
                  <w:vMerge w:val="continue"/>
                  <w:tcBorders>
                    <w:right w:val="single" w:color="000000" w:sz="4" w:space="0"/>
                  </w:tcBorders>
                  <w:vAlign w:val="center"/>
                </w:tcPr>
                <w:p w14:paraId="1CDC3040">
                  <w:pPr>
                    <w:jc w:val="center"/>
                    <w:rPr>
                      <w:color w:val="auto"/>
                      <w:szCs w:val="21"/>
                    </w:rPr>
                  </w:pPr>
                </w:p>
              </w:tc>
              <w:tc>
                <w:tcPr>
                  <w:tcW w:w="3544" w:type="dxa"/>
                  <w:tcBorders>
                    <w:left w:val="single" w:color="000000" w:sz="4" w:space="0"/>
                  </w:tcBorders>
                  <w:vAlign w:val="center"/>
                </w:tcPr>
                <w:p w14:paraId="213D2424">
                  <w:pPr>
                    <w:jc w:val="center"/>
                    <w:rPr>
                      <w:rFonts w:hint="default" w:eastAsia="宋体"/>
                      <w:bCs/>
                      <w:color w:val="auto"/>
                      <w:szCs w:val="21"/>
                      <w:lang w:val="en-US" w:eastAsia="zh-CN"/>
                    </w:rPr>
                  </w:pPr>
                  <w:r>
                    <w:rPr>
                      <w:rFonts w:hint="eastAsia"/>
                      <w:bCs/>
                      <w:color w:val="auto"/>
                      <w:szCs w:val="21"/>
                      <w:lang w:val="en-US" w:eastAsia="zh-CN"/>
                    </w:rPr>
                    <w:t>0.172</w:t>
                  </w:r>
                </w:p>
              </w:tc>
              <w:tc>
                <w:tcPr>
                  <w:tcW w:w="634" w:type="dxa"/>
                  <w:vMerge w:val="continue"/>
                  <w:tcBorders>
                    <w:left w:val="single" w:color="000000" w:sz="4" w:space="0"/>
                  </w:tcBorders>
                  <w:vAlign w:val="center"/>
                </w:tcPr>
                <w:p w14:paraId="30A80E6B">
                  <w:pPr>
                    <w:jc w:val="center"/>
                    <w:rPr>
                      <w:color w:val="auto"/>
                      <w:szCs w:val="21"/>
                    </w:rPr>
                  </w:pPr>
                </w:p>
              </w:tc>
            </w:tr>
          </w:tbl>
          <w:p w14:paraId="1DCD6AA8">
            <w:pPr>
              <w:adjustRightInd w:val="0"/>
              <w:snapToGrid w:val="0"/>
              <w:spacing w:line="360" w:lineRule="auto"/>
              <w:ind w:firstLine="420" w:firstLineChars="200"/>
              <w:jc w:val="left"/>
              <w:rPr>
                <w:color w:val="auto"/>
                <w:kern w:val="0"/>
                <w:szCs w:val="21"/>
              </w:rPr>
            </w:pPr>
            <w:r>
              <w:rPr>
                <w:rFonts w:hint="eastAsia" w:ascii="宋体" w:hAnsi="宋体" w:cs="宋体"/>
                <w:color w:val="auto"/>
                <w:kern w:val="0"/>
                <w:szCs w:val="21"/>
              </w:rPr>
              <w:t>②</w:t>
            </w:r>
            <w:r>
              <w:rPr>
                <w:color w:val="auto"/>
                <w:kern w:val="0"/>
                <w:szCs w:val="21"/>
              </w:rPr>
              <w:t>评价方法</w:t>
            </w:r>
          </w:p>
          <w:p w14:paraId="417A3672">
            <w:pPr>
              <w:adjustRightInd w:val="0"/>
              <w:snapToGrid w:val="0"/>
              <w:spacing w:line="360" w:lineRule="auto"/>
              <w:ind w:firstLine="420" w:firstLineChars="200"/>
              <w:jc w:val="left"/>
              <w:rPr>
                <w:color w:val="auto"/>
                <w:kern w:val="0"/>
                <w:szCs w:val="21"/>
              </w:rPr>
            </w:pPr>
            <w:r>
              <w:rPr>
                <w:color w:val="auto"/>
                <w:kern w:val="0"/>
                <w:szCs w:val="21"/>
              </w:rPr>
              <w:t>通过单因子指数法对监测结果进行评价分析，其计算模式为：</w:t>
            </w:r>
          </w:p>
          <w:p w14:paraId="485F60AE">
            <w:pPr>
              <w:adjustRightInd w:val="0"/>
              <w:snapToGrid w:val="0"/>
              <w:spacing w:line="360" w:lineRule="auto"/>
              <w:ind w:firstLine="420" w:firstLineChars="200"/>
              <w:jc w:val="left"/>
              <w:rPr>
                <w:color w:val="auto"/>
                <w:kern w:val="0"/>
                <w:szCs w:val="21"/>
              </w:rPr>
            </w:pPr>
            <w:r>
              <w:rPr>
                <w:color w:val="auto"/>
                <w:kern w:val="0"/>
                <w:szCs w:val="21"/>
              </w:rPr>
              <w:t>P</w:t>
            </w:r>
            <w:r>
              <w:rPr>
                <w:color w:val="auto"/>
                <w:kern w:val="0"/>
                <w:szCs w:val="21"/>
                <w:vertAlign w:val="subscript"/>
              </w:rPr>
              <w:t>i</w:t>
            </w:r>
            <w:r>
              <w:rPr>
                <w:color w:val="auto"/>
                <w:kern w:val="0"/>
                <w:szCs w:val="21"/>
              </w:rPr>
              <w:t>=C</w:t>
            </w:r>
            <w:r>
              <w:rPr>
                <w:color w:val="auto"/>
                <w:kern w:val="0"/>
                <w:szCs w:val="21"/>
                <w:vertAlign w:val="subscript"/>
              </w:rPr>
              <w:t>i</w:t>
            </w:r>
            <w:r>
              <w:rPr>
                <w:color w:val="auto"/>
                <w:kern w:val="0"/>
                <w:szCs w:val="21"/>
              </w:rPr>
              <w:t>/C</w:t>
            </w:r>
            <w:r>
              <w:rPr>
                <w:color w:val="auto"/>
                <w:kern w:val="0"/>
                <w:szCs w:val="21"/>
                <w:vertAlign w:val="subscript"/>
              </w:rPr>
              <w:t>si</w:t>
            </w:r>
          </w:p>
          <w:p w14:paraId="1BA13895">
            <w:pPr>
              <w:adjustRightInd w:val="0"/>
              <w:snapToGrid w:val="0"/>
              <w:spacing w:line="360" w:lineRule="auto"/>
              <w:ind w:firstLine="420" w:firstLineChars="200"/>
              <w:jc w:val="left"/>
              <w:rPr>
                <w:color w:val="auto"/>
                <w:kern w:val="0"/>
                <w:szCs w:val="21"/>
              </w:rPr>
            </w:pPr>
            <w:r>
              <w:rPr>
                <w:color w:val="auto"/>
                <w:kern w:val="0"/>
                <w:szCs w:val="21"/>
              </w:rPr>
              <w:t>式中：P</w:t>
            </w:r>
            <w:r>
              <w:rPr>
                <w:color w:val="auto"/>
                <w:kern w:val="0"/>
                <w:szCs w:val="21"/>
                <w:vertAlign w:val="subscript"/>
              </w:rPr>
              <w:t>i</w:t>
            </w:r>
            <w:r>
              <w:rPr>
                <w:color w:val="auto"/>
                <w:kern w:val="0"/>
                <w:szCs w:val="21"/>
              </w:rPr>
              <w:t>—大气质量评价因子的标准指数；</w:t>
            </w:r>
          </w:p>
          <w:p w14:paraId="295C8F55">
            <w:pPr>
              <w:adjustRightInd w:val="0"/>
              <w:snapToGrid w:val="0"/>
              <w:spacing w:line="360" w:lineRule="auto"/>
              <w:ind w:firstLine="420" w:firstLineChars="200"/>
              <w:jc w:val="left"/>
              <w:rPr>
                <w:color w:val="auto"/>
                <w:kern w:val="0"/>
                <w:szCs w:val="21"/>
              </w:rPr>
            </w:pPr>
            <w:r>
              <w:rPr>
                <w:color w:val="auto"/>
                <w:kern w:val="0"/>
                <w:szCs w:val="21"/>
              </w:rPr>
              <w:t>C</w:t>
            </w:r>
            <w:r>
              <w:rPr>
                <w:color w:val="auto"/>
                <w:kern w:val="0"/>
                <w:szCs w:val="21"/>
                <w:vertAlign w:val="subscript"/>
              </w:rPr>
              <w:t>i</w:t>
            </w:r>
            <w:r>
              <w:rPr>
                <w:color w:val="auto"/>
                <w:kern w:val="0"/>
                <w:szCs w:val="21"/>
              </w:rPr>
              <w:t>—大气质量评价因子的实测浓度值，（mg/m</w:t>
            </w:r>
            <w:r>
              <w:rPr>
                <w:color w:val="auto"/>
                <w:kern w:val="0"/>
                <w:szCs w:val="21"/>
                <w:vertAlign w:val="superscript"/>
              </w:rPr>
              <w:t>3</w:t>
            </w:r>
            <w:r>
              <w:rPr>
                <w:color w:val="auto"/>
                <w:kern w:val="0"/>
                <w:szCs w:val="21"/>
              </w:rPr>
              <w:t>）；</w:t>
            </w:r>
          </w:p>
          <w:p w14:paraId="154C070E">
            <w:pPr>
              <w:adjustRightInd w:val="0"/>
              <w:snapToGrid w:val="0"/>
              <w:spacing w:line="360" w:lineRule="auto"/>
              <w:ind w:firstLine="420" w:firstLineChars="200"/>
              <w:jc w:val="left"/>
              <w:rPr>
                <w:color w:val="auto"/>
                <w:kern w:val="0"/>
                <w:szCs w:val="21"/>
              </w:rPr>
            </w:pPr>
            <w:r>
              <w:rPr>
                <w:color w:val="auto"/>
                <w:kern w:val="0"/>
                <w:szCs w:val="21"/>
              </w:rPr>
              <w:t>C</w:t>
            </w:r>
            <w:r>
              <w:rPr>
                <w:color w:val="auto"/>
                <w:kern w:val="0"/>
                <w:szCs w:val="21"/>
                <w:vertAlign w:val="subscript"/>
              </w:rPr>
              <w:t>si</w:t>
            </w:r>
            <w:r>
              <w:rPr>
                <w:color w:val="auto"/>
                <w:kern w:val="0"/>
                <w:szCs w:val="21"/>
              </w:rPr>
              <w:t>—大气质量评价因子的评价标准限值，（mg/m</w:t>
            </w:r>
            <w:r>
              <w:rPr>
                <w:color w:val="auto"/>
                <w:kern w:val="0"/>
                <w:szCs w:val="21"/>
                <w:vertAlign w:val="superscript"/>
              </w:rPr>
              <w:t>3</w:t>
            </w:r>
            <w:r>
              <w:rPr>
                <w:color w:val="auto"/>
                <w:kern w:val="0"/>
                <w:szCs w:val="21"/>
              </w:rPr>
              <w:t>）。</w:t>
            </w:r>
          </w:p>
          <w:p w14:paraId="03A2B68C">
            <w:pPr>
              <w:adjustRightInd w:val="0"/>
              <w:snapToGrid w:val="0"/>
              <w:spacing w:line="360" w:lineRule="auto"/>
              <w:ind w:firstLine="420" w:firstLineChars="200"/>
              <w:jc w:val="left"/>
              <w:rPr>
                <w:color w:val="auto"/>
                <w:kern w:val="0"/>
                <w:szCs w:val="21"/>
              </w:rPr>
            </w:pPr>
            <w:r>
              <w:rPr>
                <w:color w:val="auto"/>
                <w:kern w:val="0"/>
                <w:szCs w:val="21"/>
              </w:rPr>
              <w:t>P</w:t>
            </w:r>
            <w:r>
              <w:rPr>
                <w:color w:val="auto"/>
                <w:kern w:val="0"/>
                <w:szCs w:val="21"/>
                <w:vertAlign w:val="subscript"/>
              </w:rPr>
              <w:t>i</w:t>
            </w:r>
            <w:r>
              <w:rPr>
                <w:color w:val="auto"/>
                <w:kern w:val="0"/>
                <w:szCs w:val="21"/>
              </w:rPr>
              <w:t>值大小反映出大气环境质量的污染程度，质量指数Pi≤1说明i污染物不超标，反之超标。</w:t>
            </w:r>
          </w:p>
          <w:p w14:paraId="23E06472">
            <w:pPr>
              <w:adjustRightInd w:val="0"/>
              <w:snapToGrid w:val="0"/>
              <w:spacing w:line="360" w:lineRule="auto"/>
              <w:ind w:firstLine="420" w:firstLineChars="200"/>
              <w:jc w:val="left"/>
              <w:rPr>
                <w:color w:val="auto"/>
                <w:kern w:val="0"/>
                <w:szCs w:val="21"/>
              </w:rPr>
            </w:pPr>
            <w:r>
              <w:rPr>
                <w:rFonts w:hint="eastAsia" w:ascii="宋体" w:hAnsi="宋体" w:cs="宋体"/>
                <w:color w:val="auto"/>
                <w:kern w:val="0"/>
                <w:szCs w:val="21"/>
              </w:rPr>
              <w:t>③</w:t>
            </w:r>
            <w:r>
              <w:rPr>
                <w:color w:val="auto"/>
                <w:kern w:val="0"/>
                <w:szCs w:val="21"/>
              </w:rPr>
              <w:t>评价标准</w:t>
            </w:r>
          </w:p>
          <w:p w14:paraId="45D55260">
            <w:pPr>
              <w:adjustRightInd w:val="0"/>
              <w:snapToGrid w:val="0"/>
              <w:spacing w:line="360" w:lineRule="auto"/>
              <w:ind w:firstLine="422" w:firstLineChars="200"/>
              <w:jc w:val="left"/>
              <w:rPr>
                <w:b/>
                <w:bCs/>
                <w:color w:val="auto"/>
                <w:kern w:val="0"/>
                <w:szCs w:val="21"/>
              </w:rPr>
            </w:pPr>
            <w:r>
              <w:rPr>
                <w:b/>
                <w:bCs/>
                <w:color w:val="auto"/>
                <w:kern w:val="0"/>
                <w:szCs w:val="21"/>
              </w:rPr>
              <w:t>TSP执行《环境空气质量标准》（GB3095-2012）中二级标准。</w:t>
            </w:r>
          </w:p>
          <w:p w14:paraId="0FED599F">
            <w:pPr>
              <w:adjustRightInd w:val="0"/>
              <w:snapToGrid w:val="0"/>
              <w:spacing w:line="360" w:lineRule="auto"/>
              <w:ind w:firstLine="420" w:firstLineChars="200"/>
              <w:jc w:val="left"/>
              <w:rPr>
                <w:color w:val="auto"/>
                <w:kern w:val="0"/>
                <w:szCs w:val="21"/>
              </w:rPr>
            </w:pPr>
            <w:r>
              <w:rPr>
                <w:rFonts w:hint="eastAsia" w:ascii="宋体" w:hAnsi="宋体" w:cs="宋体"/>
                <w:color w:val="auto"/>
                <w:kern w:val="0"/>
                <w:szCs w:val="21"/>
              </w:rPr>
              <w:t>④</w:t>
            </w:r>
            <w:r>
              <w:rPr>
                <w:color w:val="auto"/>
                <w:kern w:val="0"/>
                <w:szCs w:val="21"/>
              </w:rPr>
              <w:t>评价结果</w:t>
            </w:r>
          </w:p>
          <w:p w14:paraId="0CE9186A">
            <w:pPr>
              <w:adjustRightInd w:val="0"/>
              <w:snapToGrid w:val="0"/>
              <w:spacing w:line="360" w:lineRule="auto"/>
              <w:ind w:firstLine="420" w:firstLineChars="200"/>
              <w:jc w:val="left"/>
              <w:rPr>
                <w:color w:val="auto"/>
                <w:kern w:val="0"/>
                <w:szCs w:val="21"/>
              </w:rPr>
            </w:pPr>
            <w:r>
              <w:rPr>
                <w:color w:val="auto"/>
                <w:kern w:val="0"/>
                <w:szCs w:val="21"/>
              </w:rPr>
              <w:t>评价结果见下表。</w:t>
            </w:r>
          </w:p>
          <w:p w14:paraId="38DA5182">
            <w:pPr>
              <w:autoSpaceDE w:val="0"/>
              <w:autoSpaceDN w:val="0"/>
              <w:adjustRightInd w:val="0"/>
              <w:snapToGrid w:val="0"/>
              <w:jc w:val="center"/>
              <w:rPr>
                <w:b/>
                <w:bCs/>
                <w:color w:val="auto"/>
                <w:kern w:val="0"/>
                <w:szCs w:val="21"/>
              </w:rPr>
            </w:pPr>
            <w:r>
              <w:rPr>
                <w:b/>
                <w:bCs/>
                <w:color w:val="auto"/>
                <w:kern w:val="0"/>
                <w:szCs w:val="21"/>
              </w:rPr>
              <w:t>表3-3环境空气质量现状评价结果表</w:t>
            </w:r>
          </w:p>
          <w:tbl>
            <w:tblPr>
              <w:tblStyle w:val="20"/>
              <w:tblW w:w="7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1528"/>
              <w:gridCol w:w="4083"/>
            </w:tblGrid>
            <w:tr w14:paraId="6B17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7" w:type="dxa"/>
                  <w:vMerge w:val="restart"/>
                  <w:vAlign w:val="center"/>
                </w:tcPr>
                <w:p w14:paraId="5EE8A1EB">
                  <w:pPr>
                    <w:pStyle w:val="42"/>
                    <w:adjustRightInd w:val="0"/>
                    <w:rPr>
                      <w:rFonts w:eastAsiaTheme="minorEastAsia"/>
                      <w:color w:val="auto"/>
                      <w:sz w:val="21"/>
                      <w:szCs w:val="21"/>
                    </w:rPr>
                  </w:pPr>
                  <w:r>
                    <w:rPr>
                      <w:rFonts w:eastAsiaTheme="minorEastAsia"/>
                      <w:color w:val="auto"/>
                      <w:sz w:val="21"/>
                      <w:szCs w:val="21"/>
                    </w:rPr>
                    <w:t>监测日期</w:t>
                  </w:r>
                </w:p>
              </w:tc>
              <w:tc>
                <w:tcPr>
                  <w:tcW w:w="1528" w:type="dxa"/>
                  <w:vMerge w:val="restart"/>
                  <w:vAlign w:val="center"/>
                </w:tcPr>
                <w:p w14:paraId="48F8C9DA">
                  <w:pPr>
                    <w:pStyle w:val="42"/>
                    <w:adjustRightInd w:val="0"/>
                    <w:rPr>
                      <w:rFonts w:eastAsiaTheme="minorEastAsia"/>
                      <w:color w:val="auto"/>
                      <w:sz w:val="21"/>
                      <w:szCs w:val="21"/>
                    </w:rPr>
                  </w:pPr>
                  <w:r>
                    <w:rPr>
                      <w:rFonts w:eastAsiaTheme="minorEastAsia"/>
                      <w:color w:val="auto"/>
                      <w:sz w:val="21"/>
                      <w:szCs w:val="21"/>
                    </w:rPr>
                    <w:t>指标</w:t>
                  </w:r>
                </w:p>
              </w:tc>
              <w:tc>
                <w:tcPr>
                  <w:tcW w:w="4083" w:type="dxa"/>
                  <w:vAlign w:val="center"/>
                </w:tcPr>
                <w:p w14:paraId="375AA031">
                  <w:pPr>
                    <w:pStyle w:val="42"/>
                    <w:adjustRightInd w:val="0"/>
                    <w:rPr>
                      <w:rFonts w:eastAsiaTheme="minorEastAsia"/>
                      <w:color w:val="auto"/>
                      <w:sz w:val="21"/>
                      <w:szCs w:val="21"/>
                    </w:rPr>
                  </w:pPr>
                  <w:r>
                    <w:rPr>
                      <w:rFonts w:eastAsiaTheme="minorEastAsia"/>
                      <w:color w:val="auto"/>
                      <w:sz w:val="21"/>
                      <w:szCs w:val="21"/>
                    </w:rPr>
                    <w:t>项目中心1#</w:t>
                  </w:r>
                </w:p>
              </w:tc>
            </w:tr>
            <w:tr w14:paraId="40BA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017" w:type="dxa"/>
                  <w:vMerge w:val="continue"/>
                  <w:vAlign w:val="center"/>
                </w:tcPr>
                <w:p w14:paraId="39CE2AF3">
                  <w:pPr>
                    <w:pStyle w:val="42"/>
                    <w:adjustRightInd w:val="0"/>
                    <w:rPr>
                      <w:rFonts w:eastAsiaTheme="minorEastAsia"/>
                      <w:color w:val="auto"/>
                      <w:sz w:val="21"/>
                      <w:szCs w:val="21"/>
                    </w:rPr>
                  </w:pPr>
                </w:p>
              </w:tc>
              <w:tc>
                <w:tcPr>
                  <w:tcW w:w="1528" w:type="dxa"/>
                  <w:vMerge w:val="continue"/>
                  <w:vAlign w:val="center"/>
                </w:tcPr>
                <w:p w14:paraId="69C399A1">
                  <w:pPr>
                    <w:pStyle w:val="42"/>
                    <w:adjustRightInd w:val="0"/>
                    <w:rPr>
                      <w:rFonts w:eastAsiaTheme="minorEastAsia"/>
                      <w:color w:val="auto"/>
                      <w:sz w:val="21"/>
                      <w:szCs w:val="21"/>
                    </w:rPr>
                  </w:pPr>
                </w:p>
              </w:tc>
              <w:tc>
                <w:tcPr>
                  <w:tcW w:w="4083" w:type="dxa"/>
                  <w:vAlign w:val="center"/>
                </w:tcPr>
                <w:p w14:paraId="7E708990">
                  <w:pPr>
                    <w:pStyle w:val="42"/>
                    <w:adjustRightInd w:val="0"/>
                    <w:rPr>
                      <w:rFonts w:eastAsiaTheme="minorEastAsia"/>
                      <w:color w:val="auto"/>
                      <w:sz w:val="21"/>
                      <w:szCs w:val="21"/>
                    </w:rPr>
                  </w:pPr>
                  <w:r>
                    <w:rPr>
                      <w:rFonts w:eastAsiaTheme="minorEastAsia"/>
                      <w:color w:val="auto"/>
                      <w:sz w:val="21"/>
                      <w:szCs w:val="21"/>
                    </w:rPr>
                    <w:t>TSP</w:t>
                  </w:r>
                </w:p>
              </w:tc>
            </w:tr>
            <w:tr w14:paraId="686F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017" w:type="dxa"/>
                  <w:vMerge w:val="restart"/>
                  <w:vAlign w:val="center"/>
                </w:tcPr>
                <w:p w14:paraId="20B1414F">
                  <w:pPr>
                    <w:pStyle w:val="42"/>
                    <w:adjustRightInd w:val="0"/>
                    <w:rPr>
                      <w:rFonts w:eastAsiaTheme="minorEastAsia"/>
                      <w:color w:val="auto"/>
                      <w:sz w:val="21"/>
                      <w:szCs w:val="21"/>
                    </w:rPr>
                  </w:pPr>
                  <w:r>
                    <w:rPr>
                      <w:rFonts w:hint="eastAsia" w:eastAsiaTheme="minorEastAsia"/>
                      <w:color w:val="auto"/>
                      <w:sz w:val="21"/>
                      <w:szCs w:val="21"/>
                    </w:rPr>
                    <w:t>2025年12月31日-2026年1月2日</w:t>
                  </w:r>
                </w:p>
              </w:tc>
              <w:tc>
                <w:tcPr>
                  <w:tcW w:w="1528" w:type="dxa"/>
                  <w:vAlign w:val="center"/>
                </w:tcPr>
                <w:p w14:paraId="5B06AB57">
                  <w:pPr>
                    <w:pStyle w:val="42"/>
                    <w:adjustRightInd w:val="0"/>
                    <w:rPr>
                      <w:rFonts w:eastAsiaTheme="minorEastAsia"/>
                      <w:color w:val="auto"/>
                      <w:sz w:val="21"/>
                      <w:szCs w:val="21"/>
                    </w:rPr>
                  </w:pPr>
                  <w:r>
                    <w:rPr>
                      <w:rFonts w:eastAsiaTheme="minorEastAsia"/>
                      <w:color w:val="auto"/>
                      <w:sz w:val="21"/>
                      <w:szCs w:val="21"/>
                    </w:rPr>
                    <w:t>最大浓度</w:t>
                  </w:r>
                </w:p>
              </w:tc>
              <w:tc>
                <w:tcPr>
                  <w:tcW w:w="4083" w:type="dxa"/>
                  <w:vAlign w:val="center"/>
                </w:tcPr>
                <w:p w14:paraId="280A5F12">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0.172</w:t>
                  </w:r>
                </w:p>
              </w:tc>
            </w:tr>
            <w:tr w14:paraId="0D00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017" w:type="dxa"/>
                  <w:vMerge w:val="continue"/>
                  <w:vAlign w:val="center"/>
                </w:tcPr>
                <w:p w14:paraId="35D20363">
                  <w:pPr>
                    <w:pStyle w:val="42"/>
                    <w:adjustRightInd w:val="0"/>
                    <w:rPr>
                      <w:rFonts w:eastAsiaTheme="minorEastAsia"/>
                      <w:color w:val="auto"/>
                      <w:sz w:val="21"/>
                      <w:szCs w:val="21"/>
                    </w:rPr>
                  </w:pPr>
                </w:p>
              </w:tc>
              <w:tc>
                <w:tcPr>
                  <w:tcW w:w="1528" w:type="dxa"/>
                  <w:vAlign w:val="center"/>
                </w:tcPr>
                <w:p w14:paraId="1C44ED5D">
                  <w:pPr>
                    <w:pStyle w:val="42"/>
                    <w:adjustRightInd w:val="0"/>
                    <w:rPr>
                      <w:rFonts w:eastAsiaTheme="minorEastAsia"/>
                      <w:color w:val="auto"/>
                      <w:sz w:val="21"/>
                      <w:szCs w:val="21"/>
                    </w:rPr>
                  </w:pPr>
                  <w:r>
                    <w:rPr>
                      <w:rFonts w:eastAsiaTheme="minorEastAsia"/>
                      <w:color w:val="auto"/>
                      <w:sz w:val="21"/>
                      <w:szCs w:val="21"/>
                    </w:rPr>
                    <w:t>标准指数</w:t>
                  </w:r>
                </w:p>
              </w:tc>
              <w:tc>
                <w:tcPr>
                  <w:tcW w:w="4083" w:type="dxa"/>
                  <w:vAlign w:val="center"/>
                </w:tcPr>
                <w:p w14:paraId="3F561A41">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0.573</w:t>
                  </w:r>
                </w:p>
              </w:tc>
            </w:tr>
            <w:tr w14:paraId="0EB7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017" w:type="dxa"/>
                  <w:vMerge w:val="continue"/>
                  <w:vAlign w:val="center"/>
                </w:tcPr>
                <w:p w14:paraId="222042D1">
                  <w:pPr>
                    <w:pStyle w:val="42"/>
                    <w:adjustRightInd w:val="0"/>
                    <w:rPr>
                      <w:rFonts w:eastAsiaTheme="minorEastAsia"/>
                      <w:color w:val="auto"/>
                      <w:sz w:val="21"/>
                      <w:szCs w:val="21"/>
                    </w:rPr>
                  </w:pPr>
                </w:p>
              </w:tc>
              <w:tc>
                <w:tcPr>
                  <w:tcW w:w="1528" w:type="dxa"/>
                  <w:vAlign w:val="center"/>
                </w:tcPr>
                <w:p w14:paraId="4AF1205A">
                  <w:pPr>
                    <w:pStyle w:val="42"/>
                    <w:adjustRightInd w:val="0"/>
                    <w:rPr>
                      <w:rFonts w:eastAsiaTheme="minorEastAsia"/>
                      <w:color w:val="auto"/>
                      <w:sz w:val="21"/>
                      <w:szCs w:val="21"/>
                    </w:rPr>
                  </w:pPr>
                  <w:r>
                    <w:rPr>
                      <w:rFonts w:eastAsiaTheme="minorEastAsia"/>
                      <w:color w:val="auto"/>
                      <w:sz w:val="21"/>
                      <w:szCs w:val="21"/>
                    </w:rPr>
                    <w:t>超标率</w:t>
                  </w:r>
                </w:p>
              </w:tc>
              <w:tc>
                <w:tcPr>
                  <w:tcW w:w="4083" w:type="dxa"/>
                  <w:vAlign w:val="center"/>
                </w:tcPr>
                <w:p w14:paraId="73649EA2">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0</w:t>
                  </w:r>
                </w:p>
              </w:tc>
            </w:tr>
            <w:tr w14:paraId="5D54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17" w:type="dxa"/>
                  <w:vMerge w:val="continue"/>
                  <w:vAlign w:val="center"/>
                </w:tcPr>
                <w:p w14:paraId="5B0065B9">
                  <w:pPr>
                    <w:pStyle w:val="42"/>
                    <w:adjustRightInd w:val="0"/>
                    <w:rPr>
                      <w:rFonts w:eastAsiaTheme="minorEastAsia"/>
                      <w:color w:val="auto"/>
                      <w:sz w:val="21"/>
                      <w:szCs w:val="21"/>
                    </w:rPr>
                  </w:pPr>
                </w:p>
              </w:tc>
              <w:tc>
                <w:tcPr>
                  <w:tcW w:w="1528" w:type="dxa"/>
                  <w:vAlign w:val="center"/>
                </w:tcPr>
                <w:p w14:paraId="7268FE81">
                  <w:pPr>
                    <w:pStyle w:val="42"/>
                    <w:adjustRightInd w:val="0"/>
                    <w:rPr>
                      <w:rFonts w:eastAsiaTheme="minorEastAsia"/>
                      <w:color w:val="auto"/>
                      <w:sz w:val="21"/>
                      <w:szCs w:val="21"/>
                    </w:rPr>
                  </w:pPr>
                  <w:r>
                    <w:rPr>
                      <w:rFonts w:eastAsiaTheme="minorEastAsia"/>
                      <w:color w:val="auto"/>
                      <w:sz w:val="21"/>
                      <w:szCs w:val="21"/>
                    </w:rPr>
                    <w:t>标准限值</w:t>
                  </w:r>
                </w:p>
              </w:tc>
              <w:tc>
                <w:tcPr>
                  <w:tcW w:w="4083" w:type="dxa"/>
                  <w:vAlign w:val="center"/>
                </w:tcPr>
                <w:p w14:paraId="1FA8C641">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0.3</w:t>
                  </w:r>
                </w:p>
              </w:tc>
            </w:tr>
          </w:tbl>
          <w:p w14:paraId="2B51C48B">
            <w:pPr>
              <w:adjustRightInd w:val="0"/>
              <w:snapToGrid w:val="0"/>
              <w:spacing w:line="360" w:lineRule="auto"/>
              <w:ind w:firstLine="420" w:firstLineChars="200"/>
              <w:jc w:val="left"/>
              <w:rPr>
                <w:b w:val="0"/>
                <w:bCs w:val="0"/>
                <w:color w:val="auto"/>
                <w:kern w:val="0"/>
                <w:szCs w:val="21"/>
              </w:rPr>
            </w:pPr>
            <w:r>
              <w:rPr>
                <w:b w:val="0"/>
                <w:bCs w:val="0"/>
                <w:color w:val="auto"/>
                <w:kern w:val="0"/>
                <w:szCs w:val="21"/>
              </w:rPr>
              <w:t>根据以上现状监测统计数据分析可见：区域内TSP污染物标准指数Pi值小于1，超标率为0，满足《环境空气质量标准》（GB3095-2012）中二级标准限值。因此，项目所在地区域环境空气质量现状较好。</w:t>
            </w:r>
          </w:p>
          <w:p w14:paraId="26092454">
            <w:pPr>
              <w:adjustRightInd w:val="0"/>
              <w:snapToGrid w:val="0"/>
              <w:spacing w:line="360" w:lineRule="auto"/>
              <w:ind w:firstLine="422" w:firstLineChars="200"/>
              <w:jc w:val="left"/>
              <w:rPr>
                <w:b/>
                <w:bCs/>
                <w:color w:val="auto"/>
                <w:kern w:val="0"/>
                <w:szCs w:val="21"/>
              </w:rPr>
            </w:pPr>
            <w:r>
              <w:rPr>
                <w:b/>
                <w:bCs/>
                <w:color w:val="auto"/>
                <w:kern w:val="0"/>
                <w:szCs w:val="21"/>
              </w:rPr>
              <w:t>2、地表水环境</w:t>
            </w:r>
          </w:p>
          <w:p w14:paraId="2DDBB95F">
            <w:pPr>
              <w:adjustRightInd w:val="0"/>
              <w:snapToGrid w:val="0"/>
              <w:spacing w:line="360" w:lineRule="auto"/>
              <w:ind w:firstLine="420" w:firstLineChars="200"/>
              <w:jc w:val="left"/>
              <w:rPr>
                <w:color w:val="auto"/>
                <w:kern w:val="0"/>
                <w:szCs w:val="21"/>
                <w:highlight w:val="none"/>
              </w:rPr>
            </w:pPr>
            <w:r>
              <w:rPr>
                <w:rFonts w:hint="eastAsia"/>
                <w:color w:val="auto"/>
                <w:kern w:val="0"/>
                <w:szCs w:val="21"/>
                <w:highlight w:val="none"/>
              </w:rPr>
              <w:t>项目不涉及水环境专项评价，项目区周边无地表水径流，办公生活污水和纯水制备废水经预处理池（容积6m</w:t>
            </w:r>
            <w:r>
              <w:rPr>
                <w:rFonts w:hint="eastAsia"/>
                <w:color w:val="auto"/>
                <w:kern w:val="0"/>
                <w:szCs w:val="21"/>
                <w:highlight w:val="none"/>
                <w:vertAlign w:val="superscript"/>
              </w:rPr>
              <w:t>3</w:t>
            </w:r>
            <w:r>
              <w:rPr>
                <w:rFonts w:hint="eastAsia"/>
                <w:color w:val="auto"/>
                <w:kern w:val="0"/>
                <w:szCs w:val="21"/>
                <w:highlight w:val="none"/>
              </w:rPr>
              <w:t>）预处理后进入市政管网。食堂废水通过隔油池（容积1m</w:t>
            </w:r>
            <w:r>
              <w:rPr>
                <w:rFonts w:hint="eastAsia"/>
                <w:color w:val="auto"/>
                <w:kern w:val="0"/>
                <w:szCs w:val="21"/>
                <w:highlight w:val="none"/>
                <w:vertAlign w:val="superscript"/>
              </w:rPr>
              <w:t>3</w:t>
            </w:r>
            <w:r>
              <w:rPr>
                <w:rFonts w:hint="eastAsia"/>
                <w:color w:val="auto"/>
                <w:kern w:val="0"/>
                <w:szCs w:val="21"/>
                <w:highlight w:val="none"/>
              </w:rPr>
              <w:t>）预处理后与办公生活污水一起排入预处理池处理后进入市政管网，</w:t>
            </w:r>
            <w:r>
              <w:rPr>
                <w:rFonts w:hint="eastAsia"/>
                <w:color w:val="auto"/>
                <w:kern w:val="0"/>
                <w:szCs w:val="21"/>
                <w:highlight w:val="none"/>
                <w:lang w:val="en-US" w:eastAsia="zh-CN"/>
              </w:rPr>
              <w:t>最终</w:t>
            </w:r>
            <w:r>
              <w:rPr>
                <w:rFonts w:hint="eastAsia"/>
                <w:color w:val="auto"/>
                <w:kern w:val="0"/>
                <w:szCs w:val="21"/>
                <w:highlight w:val="none"/>
              </w:rPr>
              <w:t>排入胡杨河经济技术开发区南区污水处理厂统一处理，</w:t>
            </w:r>
            <w:r>
              <w:rPr>
                <w:rFonts w:hint="eastAsia"/>
                <w:color w:val="auto"/>
                <w:kern w:val="0"/>
                <w:szCs w:val="21"/>
                <w:highlight w:val="none"/>
                <w:lang w:val="en-US" w:eastAsia="zh-CN"/>
              </w:rPr>
              <w:t>与地表水无水力联系</w:t>
            </w:r>
            <w:r>
              <w:rPr>
                <w:rFonts w:hint="eastAsia"/>
                <w:color w:val="auto"/>
                <w:kern w:val="0"/>
                <w:szCs w:val="21"/>
                <w:highlight w:val="none"/>
              </w:rPr>
              <w:t>，因此不开展水环境质量现状调查。</w:t>
            </w:r>
          </w:p>
          <w:p w14:paraId="51DC043F">
            <w:pPr>
              <w:adjustRightInd w:val="0"/>
              <w:snapToGrid w:val="0"/>
              <w:spacing w:line="360" w:lineRule="auto"/>
              <w:ind w:firstLine="422" w:firstLineChars="200"/>
              <w:jc w:val="left"/>
              <w:rPr>
                <w:b/>
                <w:bCs/>
                <w:color w:val="auto"/>
                <w:kern w:val="0"/>
                <w:szCs w:val="21"/>
              </w:rPr>
            </w:pPr>
            <w:r>
              <w:rPr>
                <w:b/>
                <w:bCs/>
                <w:color w:val="auto"/>
                <w:kern w:val="0"/>
                <w:szCs w:val="21"/>
              </w:rPr>
              <w:t>3、声环境</w:t>
            </w:r>
          </w:p>
          <w:p w14:paraId="0ECFD900">
            <w:pPr>
              <w:adjustRightInd w:val="0"/>
              <w:snapToGrid w:val="0"/>
              <w:spacing w:line="360" w:lineRule="auto"/>
              <w:ind w:firstLine="420" w:firstLineChars="200"/>
              <w:jc w:val="left"/>
              <w:rPr>
                <w:color w:val="auto"/>
              </w:rPr>
            </w:pPr>
            <w:r>
              <w:rPr>
                <w:color w:val="auto"/>
                <w:kern w:val="0"/>
                <w:szCs w:val="21"/>
              </w:rPr>
              <w:t>根据《建设项目环境影响报告表编制技术指南（污染影响类）（试行）》本项目厂界50m范围内无声环境保护目标，因此不进行现状监测。</w:t>
            </w:r>
          </w:p>
          <w:p w14:paraId="2594B538">
            <w:pPr>
              <w:adjustRightInd w:val="0"/>
              <w:snapToGrid w:val="0"/>
              <w:spacing w:line="360" w:lineRule="auto"/>
              <w:ind w:firstLine="422" w:firstLineChars="200"/>
              <w:jc w:val="left"/>
              <w:rPr>
                <w:b/>
                <w:bCs/>
                <w:color w:val="auto"/>
                <w:kern w:val="0"/>
                <w:szCs w:val="21"/>
              </w:rPr>
            </w:pPr>
            <w:r>
              <w:rPr>
                <w:b/>
                <w:bCs/>
                <w:color w:val="auto"/>
                <w:kern w:val="0"/>
                <w:szCs w:val="21"/>
              </w:rPr>
              <w:t>4、生态环境</w:t>
            </w:r>
          </w:p>
          <w:p w14:paraId="315530B0">
            <w:pPr>
              <w:adjustRightInd w:val="0"/>
              <w:snapToGrid w:val="0"/>
              <w:spacing w:line="360" w:lineRule="auto"/>
              <w:ind w:firstLine="420" w:firstLineChars="200"/>
              <w:jc w:val="left"/>
              <w:rPr>
                <w:color w:val="auto"/>
                <w:kern w:val="0"/>
                <w:szCs w:val="21"/>
              </w:rPr>
            </w:pPr>
            <w:r>
              <w:rPr>
                <w:color w:val="auto"/>
                <w:kern w:val="0"/>
                <w:szCs w:val="21"/>
              </w:rPr>
              <w:t>本项目所在地生态环境质量现状总体尚好，生态系统较为单一，无珍稀濒危野生动植物。区域内无古稀树木和保护树种。由于人群活动频繁，树木、草丛中已无大型哺乳动物，仅有鸟类、小型啮齿类、小型爬行类及部分昆虫类等动物。</w:t>
            </w:r>
          </w:p>
          <w:p w14:paraId="0285F8E2">
            <w:pPr>
              <w:adjustRightInd w:val="0"/>
              <w:snapToGrid w:val="0"/>
              <w:spacing w:line="360" w:lineRule="auto"/>
              <w:ind w:firstLine="422" w:firstLineChars="200"/>
              <w:jc w:val="left"/>
              <w:rPr>
                <w:b/>
                <w:bCs/>
                <w:color w:val="auto"/>
                <w:kern w:val="0"/>
                <w:szCs w:val="21"/>
              </w:rPr>
            </w:pPr>
            <w:r>
              <w:rPr>
                <w:b/>
                <w:bCs/>
                <w:color w:val="auto"/>
                <w:kern w:val="0"/>
                <w:szCs w:val="21"/>
              </w:rPr>
              <w:t>本项目</w:t>
            </w:r>
            <w:r>
              <w:rPr>
                <w:rFonts w:hint="eastAsia"/>
                <w:b/>
                <w:bCs/>
                <w:color w:val="auto"/>
                <w:kern w:val="0"/>
                <w:szCs w:val="21"/>
              </w:rPr>
              <w:t>在工业园区规划的工业厂区内，区域人类活动较为频繁，无特殊生态保护目标</w:t>
            </w:r>
            <w:r>
              <w:rPr>
                <w:b/>
                <w:bCs/>
                <w:color w:val="auto"/>
                <w:kern w:val="0"/>
                <w:szCs w:val="21"/>
              </w:rPr>
              <w:t>，生态影响可控制在项目红线内。</w:t>
            </w:r>
          </w:p>
          <w:p w14:paraId="5292D951">
            <w:pPr>
              <w:adjustRightInd w:val="0"/>
              <w:snapToGrid w:val="0"/>
              <w:spacing w:line="360" w:lineRule="auto"/>
              <w:ind w:firstLine="422" w:firstLineChars="200"/>
              <w:jc w:val="left"/>
              <w:rPr>
                <w:b/>
                <w:bCs/>
                <w:color w:val="auto"/>
                <w:kern w:val="0"/>
                <w:szCs w:val="21"/>
              </w:rPr>
            </w:pPr>
            <w:r>
              <w:rPr>
                <w:rFonts w:hint="eastAsia"/>
                <w:b/>
                <w:bCs/>
                <w:color w:val="auto"/>
                <w:kern w:val="0"/>
                <w:szCs w:val="21"/>
              </w:rPr>
              <w:t>5</w:t>
            </w:r>
            <w:r>
              <w:rPr>
                <w:b/>
                <w:bCs/>
                <w:color w:val="auto"/>
                <w:kern w:val="0"/>
                <w:szCs w:val="21"/>
              </w:rPr>
              <w:t>、地下水、土壤</w:t>
            </w:r>
          </w:p>
          <w:p w14:paraId="089EF82B">
            <w:pPr>
              <w:adjustRightInd w:val="0"/>
              <w:snapToGrid w:val="0"/>
              <w:spacing w:line="360" w:lineRule="auto"/>
              <w:ind w:firstLine="420" w:firstLineChars="200"/>
              <w:jc w:val="left"/>
              <w:rPr>
                <w:color w:val="auto"/>
                <w:kern w:val="0"/>
                <w:szCs w:val="21"/>
              </w:rPr>
            </w:pPr>
            <w:r>
              <w:rPr>
                <w:color w:val="auto"/>
                <w:kern w:val="0"/>
                <w:szCs w:val="21"/>
              </w:rPr>
              <w:t>根据《建设项目环境影响报告表编制技术指南》（污染影响类）（试行），“原则上不开展环境质量现状调查”。</w:t>
            </w:r>
          </w:p>
          <w:p w14:paraId="74924BA6">
            <w:pPr>
              <w:adjustRightInd w:val="0"/>
              <w:snapToGrid w:val="0"/>
              <w:spacing w:line="360" w:lineRule="auto"/>
              <w:ind w:firstLine="420" w:firstLineChars="200"/>
              <w:jc w:val="left"/>
              <w:rPr>
                <w:color w:val="auto"/>
              </w:rPr>
            </w:pPr>
            <w:r>
              <w:rPr>
                <w:color w:val="auto"/>
                <w:kern w:val="0"/>
                <w:szCs w:val="21"/>
              </w:rPr>
              <w:t>本项目从事</w:t>
            </w:r>
            <w:r>
              <w:rPr>
                <w:rFonts w:hint="eastAsia"/>
                <w:color w:val="auto"/>
                <w:kern w:val="0"/>
                <w:szCs w:val="21"/>
              </w:rPr>
              <w:t>C2631化学农药制造</w:t>
            </w:r>
            <w:r>
              <w:rPr>
                <w:color w:val="auto"/>
                <w:kern w:val="0"/>
                <w:szCs w:val="21"/>
              </w:rPr>
              <w:t>，项目运营期排放的大气污染物主要为</w:t>
            </w:r>
            <w:r>
              <w:rPr>
                <w:rFonts w:hint="eastAsia"/>
                <w:color w:val="auto"/>
                <w:kern w:val="0"/>
                <w:szCs w:val="21"/>
              </w:rPr>
              <w:t>颗粒物，不涉及重金属等有毒有害物质</w:t>
            </w:r>
            <w:r>
              <w:rPr>
                <w:color w:val="auto"/>
                <w:kern w:val="0"/>
                <w:szCs w:val="21"/>
              </w:rPr>
              <w:t>，经处理后能够实现达标排放。废气大气沉降量较小，对土壤环境影响较小。此外，项目产生的危险废物暂存于</w:t>
            </w:r>
            <w:r>
              <w:rPr>
                <w:rFonts w:hint="eastAsia"/>
                <w:color w:val="auto"/>
                <w:kern w:val="0"/>
                <w:szCs w:val="21"/>
                <w:lang w:eastAsia="zh-CN"/>
              </w:rPr>
              <w:t>危废贮存库</w:t>
            </w:r>
            <w:r>
              <w:rPr>
                <w:color w:val="auto"/>
                <w:kern w:val="0"/>
                <w:szCs w:val="21"/>
              </w:rPr>
              <w:t>内，</w:t>
            </w:r>
            <w:r>
              <w:rPr>
                <w:rFonts w:hint="eastAsia"/>
                <w:color w:val="auto"/>
                <w:kern w:val="0"/>
                <w:szCs w:val="21"/>
                <w:lang w:eastAsia="zh-CN"/>
              </w:rPr>
              <w:t>危废贮存库</w:t>
            </w:r>
            <w:r>
              <w:rPr>
                <w:color w:val="auto"/>
                <w:kern w:val="0"/>
                <w:szCs w:val="21"/>
              </w:rPr>
              <w:t>内进行重点防渗，并设置金属托盘。本项目不会形成地面漫流和垂直入渗，对地下水及土壤环境的影响途径得到有效阻断。</w:t>
            </w:r>
          </w:p>
        </w:tc>
      </w:tr>
      <w:tr w14:paraId="0D965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6147F8A1">
            <w:pPr>
              <w:adjustRightInd w:val="0"/>
              <w:snapToGrid w:val="0"/>
              <w:jc w:val="center"/>
              <w:rPr>
                <w:color w:val="auto"/>
                <w:kern w:val="0"/>
                <w:szCs w:val="21"/>
              </w:rPr>
            </w:pPr>
            <w:r>
              <w:rPr>
                <w:color w:val="auto"/>
                <w:kern w:val="0"/>
                <w:szCs w:val="21"/>
              </w:rPr>
              <w:t>环境</w:t>
            </w:r>
          </w:p>
          <w:p w14:paraId="2F5A0FA5">
            <w:pPr>
              <w:adjustRightInd w:val="0"/>
              <w:snapToGrid w:val="0"/>
              <w:jc w:val="center"/>
              <w:rPr>
                <w:color w:val="auto"/>
                <w:kern w:val="0"/>
                <w:szCs w:val="21"/>
              </w:rPr>
            </w:pPr>
            <w:r>
              <w:rPr>
                <w:color w:val="auto"/>
                <w:kern w:val="0"/>
                <w:szCs w:val="21"/>
              </w:rPr>
              <w:t>保护</w:t>
            </w:r>
          </w:p>
          <w:p w14:paraId="76C5032A">
            <w:pPr>
              <w:adjustRightInd w:val="0"/>
              <w:snapToGrid w:val="0"/>
              <w:jc w:val="center"/>
              <w:rPr>
                <w:color w:val="auto"/>
                <w:kern w:val="0"/>
                <w:szCs w:val="21"/>
              </w:rPr>
            </w:pPr>
            <w:r>
              <w:rPr>
                <w:color w:val="auto"/>
                <w:kern w:val="0"/>
                <w:szCs w:val="21"/>
              </w:rPr>
              <w:t>目标</w:t>
            </w:r>
          </w:p>
        </w:tc>
        <w:tc>
          <w:tcPr>
            <w:tcW w:w="8190" w:type="dxa"/>
            <w:vAlign w:val="center"/>
          </w:tcPr>
          <w:p w14:paraId="26EAC625">
            <w:pPr>
              <w:pStyle w:val="18"/>
              <w:rPr>
                <w:color w:val="auto"/>
              </w:rPr>
            </w:pPr>
            <w:r>
              <w:rPr>
                <w:color w:val="auto"/>
              </w:rPr>
              <w:t>1、大气环境</w:t>
            </w:r>
          </w:p>
          <w:p w14:paraId="6CD81106">
            <w:pPr>
              <w:pStyle w:val="18"/>
              <w:rPr>
                <w:color w:val="auto"/>
              </w:rPr>
            </w:pPr>
            <w:r>
              <w:rPr>
                <w:rFonts w:hint="eastAsia"/>
                <w:color w:val="auto"/>
              </w:rPr>
              <w:t>本项目位于胡杨河经济技术开发区西环路以东、高泉西路以北，胡杨河经济技术开发区南园区-煤、盐、油、精细化工及新材料产业区</w:t>
            </w:r>
            <w:r>
              <w:rPr>
                <w:color w:val="auto"/>
              </w:rPr>
              <w:t>，项目周边主要为</w:t>
            </w:r>
            <w:r>
              <w:rPr>
                <w:rFonts w:hint="eastAsia"/>
                <w:color w:val="auto"/>
              </w:rPr>
              <w:t>工业企业</w:t>
            </w:r>
            <w:r>
              <w:rPr>
                <w:color w:val="auto"/>
              </w:rPr>
              <w:t>，项目周边500m范围内无自然保护区、风景名胜区等大气环境保护目标分布</w:t>
            </w:r>
            <w:r>
              <w:rPr>
                <w:rFonts w:hint="eastAsia"/>
                <w:color w:val="auto"/>
                <w:lang w:eastAsia="zh-CN"/>
              </w:rPr>
              <w:t>，周边现有企业均为生产性企业，无对外环境特殊要求的企业，根据气象资料，第七师主导风向为</w:t>
            </w:r>
            <w:r>
              <w:rPr>
                <w:rFonts w:hint="eastAsia"/>
                <w:color w:val="auto"/>
                <w:highlight w:val="none"/>
                <w:lang w:val="en-US" w:eastAsia="zh-CN"/>
              </w:rPr>
              <w:t>西</w:t>
            </w:r>
            <w:r>
              <w:rPr>
                <w:rFonts w:hint="eastAsia"/>
                <w:color w:val="auto"/>
                <w:highlight w:val="none"/>
                <w:lang w:eastAsia="zh-CN"/>
              </w:rPr>
              <w:t>风</w:t>
            </w:r>
            <w:r>
              <w:rPr>
                <w:rFonts w:hint="eastAsia"/>
                <w:color w:val="auto"/>
                <w:lang w:eastAsia="zh-CN"/>
              </w:rPr>
              <w:t>，本项目西侧和南侧紧邻园区道路，108m为奎塔高速公路，</w:t>
            </w:r>
            <w:r>
              <w:rPr>
                <w:rFonts w:hint="eastAsia"/>
                <w:color w:val="auto"/>
                <w:lang w:val="en-US" w:eastAsia="zh-CN"/>
              </w:rPr>
              <w:t>北侧紧邻新疆悦通振新道路材料有限责任公司，东侧隔空地232m为新疆邦德生物科技有限公司</w:t>
            </w:r>
            <w:r>
              <w:rPr>
                <w:color w:val="auto"/>
              </w:rPr>
              <w:t>。</w:t>
            </w:r>
          </w:p>
          <w:p w14:paraId="1764F980">
            <w:pPr>
              <w:pStyle w:val="18"/>
              <w:rPr>
                <w:rFonts w:hint="default"/>
                <w:color w:val="auto"/>
                <w:lang w:val="en-US" w:eastAsia="zh-CN"/>
              </w:rPr>
            </w:pPr>
            <w:r>
              <w:rPr>
                <w:rFonts w:hint="eastAsia"/>
                <w:color w:val="auto"/>
                <w:lang w:val="en-US" w:eastAsia="zh-CN"/>
              </w:rPr>
              <w:t>主要保护目标如下：</w:t>
            </w:r>
          </w:p>
          <w:p w14:paraId="71FAD85B">
            <w:pPr>
              <w:autoSpaceDE w:val="0"/>
              <w:autoSpaceDN w:val="0"/>
              <w:adjustRightInd w:val="0"/>
              <w:snapToGrid w:val="0"/>
              <w:jc w:val="center"/>
              <w:rPr>
                <w:b/>
                <w:bCs/>
                <w:color w:val="auto"/>
                <w:kern w:val="0"/>
                <w:szCs w:val="21"/>
              </w:rPr>
            </w:pPr>
            <w:r>
              <w:rPr>
                <w:rFonts w:hint="eastAsia"/>
                <w:b/>
                <w:bCs/>
                <w:color w:val="auto"/>
                <w:kern w:val="0"/>
                <w:szCs w:val="21"/>
                <w:lang w:val="en-US" w:eastAsia="zh-CN"/>
              </w:rPr>
              <w:t>表3-4</w:t>
            </w:r>
            <w:r>
              <w:rPr>
                <w:b/>
                <w:bCs/>
                <w:color w:val="auto"/>
                <w:kern w:val="0"/>
                <w:szCs w:val="21"/>
              </w:rPr>
              <w:t>环境空气保护目标</w:t>
            </w:r>
          </w:p>
          <w:tbl>
            <w:tblPr>
              <w:tblStyle w:val="20"/>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319"/>
              <w:gridCol w:w="1319"/>
              <w:gridCol w:w="774"/>
              <w:gridCol w:w="1027"/>
              <w:gridCol w:w="879"/>
              <w:gridCol w:w="769"/>
              <w:gridCol w:w="1010"/>
            </w:tblGrid>
            <w:tr w14:paraId="187F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restart"/>
                  <w:vAlign w:val="center"/>
                </w:tcPr>
                <w:p w14:paraId="4185AD8F">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名称</w:t>
                  </w:r>
                </w:p>
              </w:tc>
              <w:tc>
                <w:tcPr>
                  <w:tcW w:w="1993" w:type="dxa"/>
                  <w:gridSpan w:val="2"/>
                  <w:vAlign w:val="center"/>
                </w:tcPr>
                <w:p w14:paraId="2696560B">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坐标/m</w:t>
                  </w:r>
                </w:p>
              </w:tc>
              <w:tc>
                <w:tcPr>
                  <w:tcW w:w="865" w:type="dxa"/>
                  <w:vMerge w:val="restart"/>
                  <w:vAlign w:val="center"/>
                </w:tcPr>
                <w:p w14:paraId="2A937D6E">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保护对象</w:t>
                  </w:r>
                </w:p>
              </w:tc>
              <w:tc>
                <w:tcPr>
                  <w:tcW w:w="1129" w:type="dxa"/>
                  <w:vMerge w:val="restart"/>
                  <w:vAlign w:val="center"/>
                </w:tcPr>
                <w:p w14:paraId="4D07D87A">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保护内容</w:t>
                  </w:r>
                </w:p>
              </w:tc>
              <w:tc>
                <w:tcPr>
                  <w:tcW w:w="997" w:type="dxa"/>
                  <w:vMerge w:val="restart"/>
                  <w:vAlign w:val="center"/>
                </w:tcPr>
                <w:p w14:paraId="71F1F54F">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环境功能区</w:t>
                  </w:r>
                </w:p>
              </w:tc>
              <w:tc>
                <w:tcPr>
                  <w:tcW w:w="859" w:type="dxa"/>
                  <w:vMerge w:val="restart"/>
                  <w:vAlign w:val="center"/>
                </w:tcPr>
                <w:p w14:paraId="201FB53C">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相对厂址方位</w:t>
                  </w:r>
                </w:p>
              </w:tc>
              <w:tc>
                <w:tcPr>
                  <w:tcW w:w="1135" w:type="dxa"/>
                  <w:vMerge w:val="restart"/>
                  <w:vAlign w:val="center"/>
                </w:tcPr>
                <w:p w14:paraId="14416C54">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相对厂界距离/m</w:t>
                  </w:r>
                </w:p>
              </w:tc>
            </w:tr>
            <w:tr w14:paraId="34B2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continue"/>
                  <w:vAlign w:val="center"/>
                </w:tcPr>
                <w:p w14:paraId="68E1363B">
                  <w:pPr>
                    <w:pStyle w:val="42"/>
                    <w:adjustRightInd w:val="0"/>
                    <w:rPr>
                      <w:rFonts w:hint="eastAsia" w:eastAsiaTheme="minorEastAsia"/>
                      <w:color w:val="auto"/>
                      <w:sz w:val="21"/>
                      <w:szCs w:val="21"/>
                      <w:lang w:val="en-US" w:eastAsia="zh-CN"/>
                    </w:rPr>
                  </w:pPr>
                </w:p>
              </w:tc>
              <w:tc>
                <w:tcPr>
                  <w:tcW w:w="996" w:type="dxa"/>
                  <w:vAlign w:val="center"/>
                </w:tcPr>
                <w:p w14:paraId="0CB32555">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X</w:t>
                  </w:r>
                </w:p>
              </w:tc>
              <w:tc>
                <w:tcPr>
                  <w:tcW w:w="997" w:type="dxa"/>
                  <w:vAlign w:val="center"/>
                </w:tcPr>
                <w:p w14:paraId="215AA648">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Y</w:t>
                  </w:r>
                </w:p>
              </w:tc>
              <w:tc>
                <w:tcPr>
                  <w:tcW w:w="865" w:type="dxa"/>
                  <w:vMerge w:val="continue"/>
                  <w:vAlign w:val="center"/>
                </w:tcPr>
                <w:p w14:paraId="4883D2F1">
                  <w:pPr>
                    <w:pStyle w:val="42"/>
                    <w:adjustRightInd w:val="0"/>
                    <w:rPr>
                      <w:rFonts w:hint="eastAsia" w:eastAsiaTheme="minorEastAsia"/>
                      <w:color w:val="auto"/>
                      <w:sz w:val="21"/>
                      <w:szCs w:val="21"/>
                      <w:lang w:val="en-US" w:eastAsia="zh-CN"/>
                    </w:rPr>
                  </w:pPr>
                </w:p>
              </w:tc>
              <w:tc>
                <w:tcPr>
                  <w:tcW w:w="1129" w:type="dxa"/>
                  <w:vMerge w:val="continue"/>
                  <w:vAlign w:val="center"/>
                </w:tcPr>
                <w:p w14:paraId="7D4605FC">
                  <w:pPr>
                    <w:pStyle w:val="42"/>
                    <w:adjustRightInd w:val="0"/>
                    <w:rPr>
                      <w:rFonts w:hint="eastAsia" w:eastAsiaTheme="minorEastAsia"/>
                      <w:color w:val="auto"/>
                      <w:sz w:val="21"/>
                      <w:szCs w:val="21"/>
                      <w:lang w:val="en-US" w:eastAsia="zh-CN"/>
                    </w:rPr>
                  </w:pPr>
                </w:p>
              </w:tc>
              <w:tc>
                <w:tcPr>
                  <w:tcW w:w="997" w:type="dxa"/>
                  <w:vMerge w:val="continue"/>
                  <w:vAlign w:val="center"/>
                </w:tcPr>
                <w:p w14:paraId="557C2EA9">
                  <w:pPr>
                    <w:pStyle w:val="42"/>
                    <w:adjustRightInd w:val="0"/>
                    <w:rPr>
                      <w:rFonts w:hint="eastAsia" w:eastAsiaTheme="minorEastAsia"/>
                      <w:color w:val="auto"/>
                      <w:sz w:val="21"/>
                      <w:szCs w:val="21"/>
                      <w:lang w:val="en-US" w:eastAsia="zh-CN"/>
                    </w:rPr>
                  </w:pPr>
                </w:p>
              </w:tc>
              <w:tc>
                <w:tcPr>
                  <w:tcW w:w="859" w:type="dxa"/>
                  <w:vMerge w:val="continue"/>
                  <w:vAlign w:val="center"/>
                </w:tcPr>
                <w:p w14:paraId="102E9AF3">
                  <w:pPr>
                    <w:pStyle w:val="42"/>
                    <w:adjustRightInd w:val="0"/>
                    <w:rPr>
                      <w:rFonts w:hint="eastAsia" w:eastAsiaTheme="minorEastAsia"/>
                      <w:color w:val="auto"/>
                      <w:sz w:val="21"/>
                      <w:szCs w:val="21"/>
                      <w:lang w:val="en-US" w:eastAsia="zh-CN"/>
                    </w:rPr>
                  </w:pPr>
                </w:p>
              </w:tc>
              <w:tc>
                <w:tcPr>
                  <w:tcW w:w="1135" w:type="dxa"/>
                  <w:vMerge w:val="continue"/>
                  <w:vAlign w:val="center"/>
                </w:tcPr>
                <w:p w14:paraId="7F187426">
                  <w:pPr>
                    <w:pStyle w:val="42"/>
                    <w:adjustRightInd w:val="0"/>
                    <w:rPr>
                      <w:rFonts w:hint="eastAsia" w:eastAsiaTheme="minorEastAsia"/>
                      <w:color w:val="auto"/>
                      <w:sz w:val="21"/>
                      <w:szCs w:val="21"/>
                      <w:lang w:val="en-US" w:eastAsia="zh-CN"/>
                    </w:rPr>
                  </w:pPr>
                </w:p>
              </w:tc>
            </w:tr>
            <w:tr w14:paraId="7918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3884E7C5">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散户</w:t>
                  </w:r>
                </w:p>
              </w:tc>
              <w:tc>
                <w:tcPr>
                  <w:tcW w:w="996" w:type="dxa"/>
                  <w:vAlign w:val="center"/>
                </w:tcPr>
                <w:p w14:paraId="1EFB0E41">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84.85325933</w:t>
                  </w:r>
                </w:p>
              </w:tc>
              <w:tc>
                <w:tcPr>
                  <w:tcW w:w="997" w:type="dxa"/>
                  <w:vAlign w:val="center"/>
                </w:tcPr>
                <w:p w14:paraId="5F58B53A">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44.83913429</w:t>
                  </w:r>
                </w:p>
              </w:tc>
              <w:tc>
                <w:tcPr>
                  <w:tcW w:w="865" w:type="dxa"/>
                  <w:vAlign w:val="center"/>
                </w:tcPr>
                <w:p w14:paraId="04BA715E">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居民</w:t>
                  </w:r>
                </w:p>
              </w:tc>
              <w:tc>
                <w:tcPr>
                  <w:tcW w:w="1129" w:type="dxa"/>
                  <w:vAlign w:val="center"/>
                </w:tcPr>
                <w:p w14:paraId="06794DE2">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2户、6人</w:t>
                  </w:r>
                </w:p>
              </w:tc>
              <w:tc>
                <w:tcPr>
                  <w:tcW w:w="997" w:type="dxa"/>
                  <w:vAlign w:val="center"/>
                </w:tcPr>
                <w:p w14:paraId="02F696ED">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二类</w:t>
                  </w:r>
                </w:p>
              </w:tc>
              <w:tc>
                <w:tcPr>
                  <w:tcW w:w="859" w:type="dxa"/>
                  <w:vAlign w:val="center"/>
                </w:tcPr>
                <w:p w14:paraId="446A45DD">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西北侧</w:t>
                  </w:r>
                </w:p>
              </w:tc>
              <w:tc>
                <w:tcPr>
                  <w:tcW w:w="1135" w:type="dxa"/>
                  <w:vAlign w:val="center"/>
                </w:tcPr>
                <w:p w14:paraId="3957EFB6">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289</w:t>
                  </w:r>
                </w:p>
              </w:tc>
            </w:tr>
          </w:tbl>
          <w:p w14:paraId="49406E35">
            <w:pPr>
              <w:pStyle w:val="18"/>
              <w:rPr>
                <w:color w:val="auto"/>
              </w:rPr>
            </w:pPr>
            <w:r>
              <w:rPr>
                <w:color w:val="auto"/>
              </w:rPr>
              <w:t>2、声环境</w:t>
            </w:r>
          </w:p>
          <w:p w14:paraId="1C19BE68">
            <w:pPr>
              <w:pStyle w:val="18"/>
              <w:rPr>
                <w:color w:val="auto"/>
              </w:rPr>
            </w:pPr>
            <w:r>
              <w:rPr>
                <w:color w:val="auto"/>
              </w:rPr>
              <w:t>根据《建设项目环境影响报告表编制技术指南》（污染影响类）（试行）中声环境保护目标可知，应明确厂界外50米范围内的声环境保护目标。本项目位于工业园区内，厂界周边50m范围内无声环境敏感目标。</w:t>
            </w:r>
          </w:p>
          <w:p w14:paraId="21BE9532">
            <w:pPr>
              <w:pStyle w:val="18"/>
              <w:rPr>
                <w:color w:val="auto"/>
              </w:rPr>
            </w:pPr>
            <w:r>
              <w:rPr>
                <w:color w:val="auto"/>
              </w:rPr>
              <w:t>3、地下水环境</w:t>
            </w:r>
          </w:p>
          <w:p w14:paraId="24AC1814">
            <w:pPr>
              <w:pStyle w:val="18"/>
              <w:rPr>
                <w:color w:val="auto"/>
              </w:rPr>
            </w:pPr>
            <w:r>
              <w:rPr>
                <w:color w:val="auto"/>
              </w:rPr>
              <w:t>根据《建设项目环境影响报告表编制技术指南》（污染影响类）（试行）中地下水环境保护目标可知，应明确厂界外500米范围内的地下水集中式饮用水水源和热水、矿泉水、温泉等特殊地下水资源。本项目周边500m范围内无地下水集中式饮用水水源和热水、矿泉水、温泉等特殊地下水资源。</w:t>
            </w:r>
          </w:p>
          <w:p w14:paraId="0B32103B">
            <w:pPr>
              <w:pStyle w:val="18"/>
              <w:rPr>
                <w:color w:val="auto"/>
              </w:rPr>
            </w:pPr>
            <w:r>
              <w:rPr>
                <w:color w:val="auto"/>
              </w:rPr>
              <w:t>4、生态环境</w:t>
            </w:r>
          </w:p>
          <w:p w14:paraId="78499BA2">
            <w:pPr>
              <w:pStyle w:val="18"/>
              <w:rPr>
                <w:color w:val="auto"/>
              </w:rPr>
            </w:pPr>
            <w:r>
              <w:rPr>
                <w:color w:val="auto"/>
              </w:rPr>
              <w:t>本项目位于</w:t>
            </w:r>
            <w:r>
              <w:rPr>
                <w:rFonts w:hint="eastAsia"/>
                <w:color w:val="auto"/>
              </w:rPr>
              <w:t>胡杨河经济技术开发区西环路以东、高泉西路以北</w:t>
            </w:r>
            <w:r>
              <w:rPr>
                <w:color w:val="auto"/>
              </w:rPr>
              <w:t>。根据现场调查，由于人类活动频繁，项目所在地已不存在原生植被，无野生动物出没。</w:t>
            </w:r>
            <w:r>
              <w:rPr>
                <w:b/>
                <w:bCs/>
                <w:color w:val="auto"/>
              </w:rPr>
              <w:t>本项目不涉及生态红线及其他生态环境敏感区域。</w:t>
            </w:r>
          </w:p>
        </w:tc>
      </w:tr>
      <w:tr w14:paraId="64F27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14:paraId="7FD2FEA5">
            <w:pPr>
              <w:adjustRightInd w:val="0"/>
              <w:snapToGrid w:val="0"/>
              <w:jc w:val="center"/>
              <w:rPr>
                <w:color w:val="auto"/>
                <w:kern w:val="0"/>
                <w:szCs w:val="21"/>
              </w:rPr>
            </w:pPr>
            <w:r>
              <w:rPr>
                <w:color w:val="auto"/>
                <w:kern w:val="0"/>
                <w:szCs w:val="21"/>
              </w:rPr>
              <w:t>污染</w:t>
            </w:r>
          </w:p>
          <w:p w14:paraId="458BE9D5">
            <w:pPr>
              <w:adjustRightInd w:val="0"/>
              <w:snapToGrid w:val="0"/>
              <w:jc w:val="center"/>
              <w:rPr>
                <w:color w:val="auto"/>
                <w:kern w:val="0"/>
                <w:szCs w:val="21"/>
              </w:rPr>
            </w:pPr>
            <w:r>
              <w:rPr>
                <w:color w:val="auto"/>
                <w:kern w:val="0"/>
                <w:szCs w:val="21"/>
              </w:rPr>
              <w:t>物排</w:t>
            </w:r>
          </w:p>
          <w:p w14:paraId="25F68156">
            <w:pPr>
              <w:adjustRightInd w:val="0"/>
              <w:snapToGrid w:val="0"/>
              <w:jc w:val="center"/>
              <w:rPr>
                <w:color w:val="auto"/>
                <w:kern w:val="0"/>
                <w:szCs w:val="21"/>
              </w:rPr>
            </w:pPr>
            <w:r>
              <w:rPr>
                <w:color w:val="auto"/>
                <w:kern w:val="0"/>
                <w:szCs w:val="21"/>
              </w:rPr>
              <w:t>放控</w:t>
            </w:r>
          </w:p>
          <w:p w14:paraId="3613B27A">
            <w:pPr>
              <w:adjustRightInd w:val="0"/>
              <w:snapToGrid w:val="0"/>
              <w:jc w:val="center"/>
              <w:rPr>
                <w:color w:val="auto"/>
                <w:kern w:val="0"/>
                <w:szCs w:val="21"/>
              </w:rPr>
            </w:pPr>
            <w:r>
              <w:rPr>
                <w:color w:val="auto"/>
                <w:kern w:val="0"/>
                <w:szCs w:val="21"/>
              </w:rPr>
              <w:t>制标</w:t>
            </w:r>
          </w:p>
          <w:p w14:paraId="654547F5">
            <w:pPr>
              <w:adjustRightInd w:val="0"/>
              <w:snapToGrid w:val="0"/>
              <w:jc w:val="center"/>
              <w:rPr>
                <w:color w:val="auto"/>
                <w:kern w:val="0"/>
                <w:szCs w:val="21"/>
              </w:rPr>
            </w:pPr>
            <w:r>
              <w:rPr>
                <w:color w:val="auto"/>
                <w:kern w:val="0"/>
                <w:szCs w:val="21"/>
              </w:rPr>
              <w:t>准</w:t>
            </w:r>
          </w:p>
        </w:tc>
        <w:tc>
          <w:tcPr>
            <w:tcW w:w="8190" w:type="dxa"/>
            <w:vAlign w:val="center"/>
          </w:tcPr>
          <w:p w14:paraId="0F0636B7">
            <w:pPr>
              <w:pStyle w:val="18"/>
              <w:rPr>
                <w:b/>
                <w:bCs/>
                <w:color w:val="auto"/>
              </w:rPr>
            </w:pPr>
            <w:r>
              <w:rPr>
                <w:b/>
                <w:bCs/>
                <w:color w:val="auto"/>
              </w:rPr>
              <w:t>1、废水</w:t>
            </w:r>
          </w:p>
          <w:p w14:paraId="04D0409A">
            <w:pPr>
              <w:pStyle w:val="18"/>
              <w:rPr>
                <w:b/>
                <w:bCs/>
                <w:color w:val="auto"/>
              </w:rPr>
            </w:pPr>
            <w:bookmarkStart w:id="14" w:name="_Hlk190951752"/>
            <w:r>
              <w:rPr>
                <w:rFonts w:hint="eastAsia"/>
                <w:color w:val="auto"/>
                <w:lang w:val="en-US" w:eastAsia="zh-CN"/>
              </w:rPr>
              <w:t>纯水制备废水、生活废水（食堂废水先进行隔油处理）一并</w:t>
            </w:r>
            <w:r>
              <w:rPr>
                <w:color w:val="auto"/>
              </w:rPr>
              <w:t>进入市政管网排入</w:t>
            </w:r>
            <w:r>
              <w:rPr>
                <w:rFonts w:hint="eastAsia"/>
                <w:color w:val="auto"/>
              </w:rPr>
              <w:t>胡杨河经济技术开发区南区污水处理厂</w:t>
            </w:r>
            <w:r>
              <w:rPr>
                <w:color w:val="auto"/>
              </w:rPr>
              <w:t>处理，氨氮、总磷</w:t>
            </w:r>
            <w:r>
              <w:rPr>
                <w:rFonts w:hint="eastAsia"/>
                <w:color w:val="auto"/>
              </w:rPr>
              <w:t>参照</w:t>
            </w:r>
            <w:r>
              <w:rPr>
                <w:color w:val="auto"/>
              </w:rPr>
              <w:t>执行《污水排入城镇下水道水质标准》</w:t>
            </w:r>
            <w:r>
              <w:rPr>
                <w:rFonts w:hint="eastAsia"/>
                <w:color w:val="auto"/>
              </w:rPr>
              <w:t>（</w:t>
            </w:r>
            <w:r>
              <w:rPr>
                <w:color w:val="auto"/>
              </w:rPr>
              <w:t>GB/T31962-2015</w:t>
            </w:r>
            <w:r>
              <w:rPr>
                <w:rFonts w:hint="eastAsia"/>
                <w:color w:val="auto"/>
                <w:lang w:eastAsia="zh-CN"/>
              </w:rPr>
              <w:t>）</w:t>
            </w:r>
            <w:r>
              <w:rPr>
                <w:color w:val="auto"/>
              </w:rPr>
              <w:t>B级标准，其余指标执行</w:t>
            </w:r>
            <w:r>
              <w:rPr>
                <w:b/>
                <w:bCs/>
                <w:color w:val="auto"/>
              </w:rPr>
              <w:t>《污水综合排放标准》（GB8978-1996）表4中三级标准要求。</w:t>
            </w:r>
          </w:p>
          <w:bookmarkEnd w:id="14"/>
          <w:p w14:paraId="7C282EEF">
            <w:pPr>
              <w:autoSpaceDE w:val="0"/>
              <w:autoSpaceDN w:val="0"/>
              <w:adjustRightInd w:val="0"/>
              <w:snapToGrid w:val="0"/>
              <w:ind w:firstLine="422"/>
              <w:jc w:val="center"/>
              <w:rPr>
                <w:b/>
                <w:bCs/>
                <w:color w:val="auto"/>
                <w:kern w:val="0"/>
                <w:szCs w:val="21"/>
              </w:rPr>
            </w:pPr>
            <w:r>
              <w:rPr>
                <w:b/>
                <w:bCs/>
                <w:color w:val="auto"/>
                <w:kern w:val="0"/>
                <w:szCs w:val="21"/>
              </w:rPr>
              <w:t>表3-5水污染物排放标准单位：mg/L</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752"/>
              <w:gridCol w:w="879"/>
              <w:gridCol w:w="879"/>
              <w:gridCol w:w="870"/>
              <w:gridCol w:w="876"/>
              <w:gridCol w:w="549"/>
              <w:gridCol w:w="1195"/>
              <w:gridCol w:w="865"/>
            </w:tblGrid>
            <w:tr w14:paraId="2D20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5E6B700A">
                  <w:pPr>
                    <w:pStyle w:val="42"/>
                    <w:rPr>
                      <w:color w:val="auto"/>
                      <w:sz w:val="21"/>
                      <w:szCs w:val="21"/>
                    </w:rPr>
                  </w:pPr>
                  <w:r>
                    <w:rPr>
                      <w:color w:val="auto"/>
                      <w:sz w:val="21"/>
                      <w:szCs w:val="21"/>
                    </w:rPr>
                    <w:t>项目</w:t>
                  </w:r>
                </w:p>
              </w:tc>
              <w:tc>
                <w:tcPr>
                  <w:tcW w:w="752" w:type="dxa"/>
                  <w:vAlign w:val="center"/>
                </w:tcPr>
                <w:p w14:paraId="01DAC528">
                  <w:pPr>
                    <w:pStyle w:val="42"/>
                    <w:rPr>
                      <w:color w:val="auto"/>
                      <w:sz w:val="21"/>
                      <w:szCs w:val="21"/>
                    </w:rPr>
                  </w:pPr>
                  <w:r>
                    <w:rPr>
                      <w:color w:val="auto"/>
                      <w:sz w:val="21"/>
                      <w:szCs w:val="21"/>
                    </w:rPr>
                    <w:t>pH</w:t>
                  </w:r>
                </w:p>
              </w:tc>
              <w:tc>
                <w:tcPr>
                  <w:tcW w:w="879" w:type="dxa"/>
                  <w:vAlign w:val="center"/>
                </w:tcPr>
                <w:p w14:paraId="05B66A72">
                  <w:pPr>
                    <w:pStyle w:val="42"/>
                    <w:rPr>
                      <w:color w:val="auto"/>
                      <w:sz w:val="21"/>
                      <w:szCs w:val="21"/>
                    </w:rPr>
                  </w:pPr>
                  <w:r>
                    <w:rPr>
                      <w:color w:val="auto"/>
                      <w:sz w:val="21"/>
                      <w:szCs w:val="21"/>
                    </w:rPr>
                    <w:t>COD</w:t>
                  </w:r>
                </w:p>
              </w:tc>
              <w:tc>
                <w:tcPr>
                  <w:tcW w:w="879" w:type="dxa"/>
                  <w:vAlign w:val="center"/>
                </w:tcPr>
                <w:p w14:paraId="1B5A3312">
                  <w:pPr>
                    <w:pStyle w:val="42"/>
                    <w:rPr>
                      <w:color w:val="auto"/>
                      <w:sz w:val="21"/>
                      <w:szCs w:val="21"/>
                    </w:rPr>
                  </w:pPr>
                  <w:r>
                    <w:rPr>
                      <w:color w:val="auto"/>
                      <w:sz w:val="21"/>
                      <w:szCs w:val="21"/>
                    </w:rPr>
                    <w:t>BOD5</w:t>
                  </w:r>
                </w:p>
              </w:tc>
              <w:tc>
                <w:tcPr>
                  <w:tcW w:w="870" w:type="dxa"/>
                  <w:vAlign w:val="center"/>
                </w:tcPr>
                <w:p w14:paraId="1D03CC58">
                  <w:pPr>
                    <w:pStyle w:val="42"/>
                    <w:rPr>
                      <w:color w:val="auto"/>
                      <w:sz w:val="21"/>
                      <w:szCs w:val="21"/>
                    </w:rPr>
                  </w:pPr>
                  <w:r>
                    <w:rPr>
                      <w:color w:val="auto"/>
                      <w:sz w:val="21"/>
                      <w:szCs w:val="21"/>
                    </w:rPr>
                    <w:t>SS</w:t>
                  </w:r>
                </w:p>
              </w:tc>
              <w:tc>
                <w:tcPr>
                  <w:tcW w:w="876" w:type="dxa"/>
                  <w:vAlign w:val="center"/>
                </w:tcPr>
                <w:p w14:paraId="6E348119">
                  <w:pPr>
                    <w:pStyle w:val="42"/>
                    <w:rPr>
                      <w:color w:val="auto"/>
                      <w:sz w:val="21"/>
                      <w:szCs w:val="21"/>
                    </w:rPr>
                  </w:pPr>
                  <w:r>
                    <w:rPr>
                      <w:color w:val="auto"/>
                      <w:sz w:val="21"/>
                      <w:szCs w:val="21"/>
                    </w:rPr>
                    <w:t>NH3-N</w:t>
                  </w:r>
                </w:p>
              </w:tc>
              <w:tc>
                <w:tcPr>
                  <w:tcW w:w="549" w:type="dxa"/>
                  <w:vAlign w:val="center"/>
                </w:tcPr>
                <w:p w14:paraId="13433963">
                  <w:pPr>
                    <w:pStyle w:val="42"/>
                    <w:rPr>
                      <w:color w:val="auto"/>
                      <w:sz w:val="21"/>
                      <w:szCs w:val="21"/>
                    </w:rPr>
                  </w:pPr>
                  <w:r>
                    <w:rPr>
                      <w:color w:val="auto"/>
                      <w:sz w:val="21"/>
                      <w:szCs w:val="21"/>
                    </w:rPr>
                    <w:t>TP</w:t>
                  </w:r>
                </w:p>
              </w:tc>
              <w:tc>
                <w:tcPr>
                  <w:tcW w:w="1195" w:type="dxa"/>
                  <w:vAlign w:val="center"/>
                </w:tcPr>
                <w:p w14:paraId="3B152313">
                  <w:pPr>
                    <w:pStyle w:val="42"/>
                    <w:rPr>
                      <w:color w:val="auto"/>
                      <w:sz w:val="21"/>
                      <w:szCs w:val="21"/>
                    </w:rPr>
                  </w:pPr>
                  <w:r>
                    <w:rPr>
                      <w:color w:val="auto"/>
                      <w:sz w:val="21"/>
                      <w:szCs w:val="21"/>
                    </w:rPr>
                    <w:t>动植物油</w:t>
                  </w:r>
                </w:p>
              </w:tc>
              <w:tc>
                <w:tcPr>
                  <w:tcW w:w="865" w:type="dxa"/>
                  <w:vAlign w:val="center"/>
                </w:tcPr>
                <w:p w14:paraId="1678E16B">
                  <w:pPr>
                    <w:pStyle w:val="42"/>
                    <w:rPr>
                      <w:color w:val="auto"/>
                      <w:sz w:val="21"/>
                      <w:szCs w:val="21"/>
                    </w:rPr>
                  </w:pPr>
                  <w:r>
                    <w:rPr>
                      <w:color w:val="auto"/>
                      <w:sz w:val="21"/>
                      <w:szCs w:val="21"/>
                    </w:rPr>
                    <w:t>石油类</w:t>
                  </w:r>
                </w:p>
              </w:tc>
            </w:tr>
            <w:tr w14:paraId="6413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9814DFB">
                  <w:pPr>
                    <w:pStyle w:val="42"/>
                    <w:rPr>
                      <w:color w:val="auto"/>
                      <w:sz w:val="21"/>
                      <w:szCs w:val="21"/>
                    </w:rPr>
                  </w:pPr>
                  <w:r>
                    <w:rPr>
                      <w:color w:val="auto"/>
                      <w:sz w:val="21"/>
                      <w:szCs w:val="21"/>
                    </w:rPr>
                    <w:t>标准</w:t>
                  </w:r>
                </w:p>
                <w:p w14:paraId="7D3DA028">
                  <w:pPr>
                    <w:pStyle w:val="42"/>
                    <w:rPr>
                      <w:color w:val="auto"/>
                      <w:sz w:val="21"/>
                      <w:szCs w:val="21"/>
                    </w:rPr>
                  </w:pPr>
                  <w:r>
                    <w:rPr>
                      <w:color w:val="auto"/>
                      <w:sz w:val="21"/>
                      <w:szCs w:val="21"/>
                    </w:rPr>
                    <w:t>限值</w:t>
                  </w:r>
                </w:p>
              </w:tc>
              <w:tc>
                <w:tcPr>
                  <w:tcW w:w="752" w:type="dxa"/>
                  <w:vAlign w:val="center"/>
                </w:tcPr>
                <w:p w14:paraId="7E9A017D">
                  <w:pPr>
                    <w:pStyle w:val="42"/>
                    <w:rPr>
                      <w:color w:val="auto"/>
                      <w:sz w:val="21"/>
                      <w:szCs w:val="21"/>
                    </w:rPr>
                  </w:pPr>
                  <w:r>
                    <w:rPr>
                      <w:color w:val="auto"/>
                      <w:sz w:val="21"/>
                      <w:szCs w:val="21"/>
                    </w:rPr>
                    <w:t>6~9</w:t>
                  </w:r>
                </w:p>
              </w:tc>
              <w:tc>
                <w:tcPr>
                  <w:tcW w:w="879" w:type="dxa"/>
                  <w:vAlign w:val="center"/>
                </w:tcPr>
                <w:p w14:paraId="59F26E4B">
                  <w:pPr>
                    <w:pStyle w:val="42"/>
                    <w:rPr>
                      <w:color w:val="auto"/>
                      <w:sz w:val="21"/>
                      <w:szCs w:val="21"/>
                    </w:rPr>
                  </w:pPr>
                  <w:r>
                    <w:rPr>
                      <w:color w:val="auto"/>
                      <w:sz w:val="21"/>
                      <w:szCs w:val="21"/>
                    </w:rPr>
                    <w:t>500</w:t>
                  </w:r>
                </w:p>
              </w:tc>
              <w:tc>
                <w:tcPr>
                  <w:tcW w:w="879" w:type="dxa"/>
                  <w:vAlign w:val="center"/>
                </w:tcPr>
                <w:p w14:paraId="576117D6">
                  <w:pPr>
                    <w:pStyle w:val="42"/>
                    <w:rPr>
                      <w:color w:val="auto"/>
                      <w:sz w:val="21"/>
                      <w:szCs w:val="21"/>
                    </w:rPr>
                  </w:pPr>
                  <w:r>
                    <w:rPr>
                      <w:color w:val="auto"/>
                      <w:sz w:val="21"/>
                      <w:szCs w:val="21"/>
                    </w:rPr>
                    <w:t>300</w:t>
                  </w:r>
                </w:p>
              </w:tc>
              <w:tc>
                <w:tcPr>
                  <w:tcW w:w="870" w:type="dxa"/>
                  <w:vAlign w:val="center"/>
                </w:tcPr>
                <w:p w14:paraId="39EC1712">
                  <w:pPr>
                    <w:pStyle w:val="42"/>
                    <w:rPr>
                      <w:color w:val="auto"/>
                      <w:sz w:val="21"/>
                      <w:szCs w:val="21"/>
                    </w:rPr>
                  </w:pPr>
                  <w:r>
                    <w:rPr>
                      <w:color w:val="auto"/>
                      <w:sz w:val="21"/>
                      <w:szCs w:val="21"/>
                    </w:rPr>
                    <w:t>400</w:t>
                  </w:r>
                </w:p>
              </w:tc>
              <w:tc>
                <w:tcPr>
                  <w:tcW w:w="876" w:type="dxa"/>
                  <w:vAlign w:val="center"/>
                </w:tcPr>
                <w:p w14:paraId="58C2A932">
                  <w:pPr>
                    <w:pStyle w:val="42"/>
                    <w:rPr>
                      <w:color w:val="auto"/>
                      <w:sz w:val="21"/>
                      <w:szCs w:val="21"/>
                    </w:rPr>
                  </w:pPr>
                  <w:r>
                    <w:rPr>
                      <w:color w:val="auto"/>
                      <w:sz w:val="21"/>
                      <w:szCs w:val="21"/>
                    </w:rPr>
                    <w:t>45</w:t>
                  </w:r>
                </w:p>
              </w:tc>
              <w:tc>
                <w:tcPr>
                  <w:tcW w:w="549" w:type="dxa"/>
                  <w:vAlign w:val="center"/>
                </w:tcPr>
                <w:p w14:paraId="54C4C8C0">
                  <w:pPr>
                    <w:pStyle w:val="42"/>
                    <w:rPr>
                      <w:color w:val="auto"/>
                      <w:sz w:val="21"/>
                      <w:szCs w:val="21"/>
                    </w:rPr>
                  </w:pPr>
                  <w:r>
                    <w:rPr>
                      <w:color w:val="auto"/>
                      <w:sz w:val="21"/>
                      <w:szCs w:val="21"/>
                    </w:rPr>
                    <w:t>8</w:t>
                  </w:r>
                </w:p>
              </w:tc>
              <w:tc>
                <w:tcPr>
                  <w:tcW w:w="1195" w:type="dxa"/>
                  <w:vAlign w:val="center"/>
                </w:tcPr>
                <w:p w14:paraId="79A1EAAD">
                  <w:pPr>
                    <w:pStyle w:val="42"/>
                    <w:rPr>
                      <w:color w:val="auto"/>
                      <w:sz w:val="21"/>
                      <w:szCs w:val="21"/>
                    </w:rPr>
                  </w:pPr>
                  <w:r>
                    <w:rPr>
                      <w:color w:val="auto"/>
                      <w:sz w:val="21"/>
                      <w:szCs w:val="21"/>
                    </w:rPr>
                    <w:t>100</w:t>
                  </w:r>
                </w:p>
              </w:tc>
              <w:tc>
                <w:tcPr>
                  <w:tcW w:w="865" w:type="dxa"/>
                  <w:vAlign w:val="center"/>
                </w:tcPr>
                <w:p w14:paraId="6BA2217C">
                  <w:pPr>
                    <w:pStyle w:val="42"/>
                    <w:rPr>
                      <w:color w:val="auto"/>
                      <w:sz w:val="21"/>
                      <w:szCs w:val="21"/>
                    </w:rPr>
                  </w:pPr>
                  <w:r>
                    <w:rPr>
                      <w:color w:val="auto"/>
                      <w:sz w:val="21"/>
                      <w:szCs w:val="21"/>
                    </w:rPr>
                    <w:t>20</w:t>
                  </w:r>
                </w:p>
              </w:tc>
            </w:tr>
          </w:tbl>
          <w:p w14:paraId="1A88F24A">
            <w:pPr>
              <w:pStyle w:val="18"/>
              <w:rPr>
                <w:b/>
                <w:bCs/>
                <w:color w:val="auto"/>
              </w:rPr>
            </w:pPr>
            <w:r>
              <w:rPr>
                <w:b/>
                <w:bCs/>
                <w:color w:val="auto"/>
              </w:rPr>
              <w:t>2、废气</w:t>
            </w:r>
          </w:p>
          <w:p w14:paraId="0D9F1429">
            <w:pPr>
              <w:pStyle w:val="18"/>
              <w:rPr>
                <w:rFonts w:hint="eastAsia" w:eastAsia="宋体"/>
                <w:color w:val="auto"/>
                <w:highlight w:val="yellow"/>
                <w:lang w:eastAsia="zh-CN"/>
              </w:rPr>
            </w:pPr>
            <w:r>
              <w:rPr>
                <w:rFonts w:hint="eastAsia"/>
                <w:color w:val="auto"/>
              </w:rPr>
              <w:t>项目农药生产工序的粉尘、非甲烷总烃</w:t>
            </w:r>
            <w:r>
              <w:rPr>
                <w:rFonts w:hint="eastAsia"/>
                <w:color w:val="auto"/>
                <w:lang w:val="en-US" w:eastAsia="zh-CN"/>
              </w:rPr>
              <w:t>有组织排放</w:t>
            </w:r>
            <w:r>
              <w:rPr>
                <w:rFonts w:hint="eastAsia"/>
                <w:color w:val="auto"/>
              </w:rPr>
              <w:t>执行《农药制造工业大气污染物排放标准》（GB39727-2020）表1大气污染物排放限值；臭气浓度执行《恶臭污染物排放标准》（GB14554-93）表2中排放标准及表1中恶臭污染物厂界标准值；</w:t>
            </w:r>
            <w:r>
              <w:rPr>
                <w:rFonts w:hint="eastAsia"/>
                <w:color w:val="auto"/>
                <w:lang w:val="en-US" w:eastAsia="zh-CN"/>
              </w:rPr>
              <w:t>厂区内非甲烷总烃执行《农药制造工业大气污染物排放标准》（GB39727-2020）附录C限值要求，无组织</w:t>
            </w:r>
            <w:r>
              <w:rPr>
                <w:rFonts w:hint="eastAsia"/>
                <w:color w:val="auto"/>
              </w:rPr>
              <w:t>厂界无组织非甲烷总烃</w:t>
            </w:r>
            <w:r>
              <w:rPr>
                <w:rFonts w:hint="eastAsia"/>
                <w:color w:val="auto"/>
                <w:lang w:eastAsia="zh-CN"/>
              </w:rPr>
              <w:t>、</w:t>
            </w:r>
            <w:r>
              <w:rPr>
                <w:rFonts w:hint="eastAsia"/>
                <w:color w:val="auto"/>
              </w:rPr>
              <w:t>颗粒物《大气污染物综合排放标准》（GB16297-1996）表2排放要求</w:t>
            </w:r>
            <w:r>
              <w:rPr>
                <w:rFonts w:hint="eastAsia"/>
                <w:color w:val="auto"/>
                <w:highlight w:val="none"/>
                <w:lang w:eastAsia="zh-CN"/>
              </w:rPr>
              <w:t>。</w:t>
            </w:r>
          </w:p>
          <w:p w14:paraId="6E4764DF">
            <w:pPr>
              <w:autoSpaceDE w:val="0"/>
              <w:autoSpaceDN w:val="0"/>
              <w:adjustRightInd w:val="0"/>
              <w:snapToGrid w:val="0"/>
              <w:jc w:val="center"/>
              <w:rPr>
                <w:rFonts w:hint="eastAsia"/>
                <w:b/>
                <w:bCs/>
                <w:color w:val="auto"/>
                <w:kern w:val="0"/>
                <w:szCs w:val="21"/>
              </w:rPr>
            </w:pPr>
            <w:bookmarkStart w:id="15" w:name="_Hlk205246892"/>
            <w:r>
              <w:rPr>
                <w:rFonts w:hint="eastAsia"/>
                <w:b/>
                <w:bCs/>
                <w:color w:val="auto"/>
                <w:kern w:val="0"/>
                <w:szCs w:val="21"/>
              </w:rPr>
              <w:t>表</w:t>
            </w:r>
            <w:r>
              <w:rPr>
                <w:b/>
                <w:bCs/>
                <w:color w:val="auto"/>
                <w:kern w:val="0"/>
                <w:szCs w:val="21"/>
              </w:rPr>
              <w:t>3-6</w:t>
            </w:r>
            <w:r>
              <w:rPr>
                <w:rFonts w:hint="eastAsia"/>
                <w:b/>
                <w:bCs/>
                <w:color w:val="auto"/>
                <w:kern w:val="0"/>
                <w:szCs w:val="21"/>
              </w:rPr>
              <w:t>大气污染物综合排放标准</w:t>
            </w:r>
          </w:p>
          <w:bookmarkEnd w:id="15"/>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276"/>
              <w:gridCol w:w="855"/>
              <w:gridCol w:w="1852"/>
              <w:gridCol w:w="3001"/>
            </w:tblGrid>
            <w:tr w14:paraId="4110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tcBorders>
                    <w:tl2br w:val="nil"/>
                    <w:tr2bl w:val="nil"/>
                  </w:tcBorders>
                  <w:vAlign w:val="center"/>
                </w:tcPr>
                <w:p w14:paraId="35FDA066">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排放口</w:t>
                  </w:r>
                </w:p>
              </w:tc>
              <w:tc>
                <w:tcPr>
                  <w:tcW w:w="800" w:type="pct"/>
                  <w:tcBorders>
                    <w:tl2br w:val="nil"/>
                    <w:tr2bl w:val="nil"/>
                  </w:tcBorders>
                  <w:vAlign w:val="center"/>
                </w:tcPr>
                <w:p w14:paraId="0510CC4A">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污染物</w:t>
                  </w:r>
                </w:p>
              </w:tc>
              <w:tc>
                <w:tcPr>
                  <w:tcW w:w="536" w:type="pct"/>
                  <w:tcBorders>
                    <w:tl2br w:val="nil"/>
                    <w:tr2bl w:val="nil"/>
                  </w:tcBorders>
                  <w:vAlign w:val="center"/>
                </w:tcPr>
                <w:p w14:paraId="7079D6B2">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排放方式</w:t>
                  </w:r>
                </w:p>
              </w:tc>
              <w:tc>
                <w:tcPr>
                  <w:tcW w:w="1161" w:type="pct"/>
                  <w:tcBorders>
                    <w:tl2br w:val="nil"/>
                    <w:tr2bl w:val="nil"/>
                  </w:tcBorders>
                  <w:vAlign w:val="center"/>
                </w:tcPr>
                <w:p w14:paraId="0D2E6420">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排放限值</w:t>
                  </w:r>
                </w:p>
              </w:tc>
              <w:tc>
                <w:tcPr>
                  <w:tcW w:w="1881" w:type="pct"/>
                  <w:tcBorders>
                    <w:tl2br w:val="nil"/>
                    <w:tr2bl w:val="nil"/>
                  </w:tcBorders>
                  <w:vAlign w:val="center"/>
                </w:tcPr>
                <w:p w14:paraId="47C3E409">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限值来源</w:t>
                  </w:r>
                </w:p>
              </w:tc>
            </w:tr>
            <w:tr w14:paraId="1A4B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restart"/>
                  <w:tcBorders>
                    <w:tl2br w:val="nil"/>
                    <w:tr2bl w:val="nil"/>
                  </w:tcBorders>
                  <w:shd w:val="clear" w:color="auto" w:fill="auto"/>
                  <w:vAlign w:val="center"/>
                </w:tcPr>
                <w:p w14:paraId="6E21A62B">
                  <w:pPr>
                    <w:pStyle w:val="42"/>
                    <w:adjustRightInd w:val="0"/>
                    <w:rPr>
                      <w:rFonts w:hint="default" w:eastAsiaTheme="minorEastAsia"/>
                      <w:color w:val="auto"/>
                      <w:sz w:val="21"/>
                      <w:szCs w:val="21"/>
                      <w:lang w:val="en-US" w:eastAsia="zh-CN"/>
                    </w:rPr>
                  </w:pPr>
                  <w:r>
                    <w:rPr>
                      <w:rFonts w:hint="default" w:eastAsiaTheme="minorEastAsia"/>
                      <w:color w:val="auto"/>
                      <w:sz w:val="21"/>
                      <w:szCs w:val="21"/>
                      <w:lang w:val="en-US" w:eastAsia="zh-CN"/>
                    </w:rPr>
                    <w:t>DA001</w:t>
                  </w:r>
                </w:p>
                <w:p w14:paraId="27187BBA">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DA002</w:t>
                  </w:r>
                </w:p>
              </w:tc>
              <w:tc>
                <w:tcPr>
                  <w:tcW w:w="800" w:type="pct"/>
                  <w:tcBorders>
                    <w:tl2br w:val="nil"/>
                    <w:tr2bl w:val="nil"/>
                  </w:tcBorders>
                  <w:vAlign w:val="center"/>
                </w:tcPr>
                <w:p w14:paraId="65D78C96">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颗粒物</w:t>
                  </w:r>
                </w:p>
              </w:tc>
              <w:tc>
                <w:tcPr>
                  <w:tcW w:w="536" w:type="pct"/>
                  <w:tcBorders>
                    <w:tl2br w:val="nil"/>
                    <w:tr2bl w:val="nil"/>
                  </w:tcBorders>
                  <w:vAlign w:val="center"/>
                </w:tcPr>
                <w:p w14:paraId="6A58C079">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有组织</w:t>
                  </w:r>
                </w:p>
              </w:tc>
              <w:tc>
                <w:tcPr>
                  <w:tcW w:w="1161" w:type="pct"/>
                  <w:tcBorders>
                    <w:tl2br w:val="nil"/>
                    <w:tr2bl w:val="nil"/>
                  </w:tcBorders>
                  <w:vAlign w:val="center"/>
                </w:tcPr>
                <w:p w14:paraId="4EBB655D">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30mg/m</w:t>
                  </w:r>
                  <w:r>
                    <w:rPr>
                      <w:rFonts w:hint="eastAsia" w:eastAsiaTheme="minorEastAsia"/>
                      <w:color w:val="auto"/>
                      <w:sz w:val="21"/>
                      <w:szCs w:val="21"/>
                      <w:vertAlign w:val="superscript"/>
                      <w:lang w:val="en-US" w:eastAsia="zh-CN"/>
                    </w:rPr>
                    <w:t>3</w:t>
                  </w:r>
                </w:p>
              </w:tc>
              <w:tc>
                <w:tcPr>
                  <w:tcW w:w="1881" w:type="pct"/>
                  <w:vMerge w:val="restart"/>
                  <w:tcBorders>
                    <w:tl2br w:val="nil"/>
                    <w:tr2bl w:val="nil"/>
                  </w:tcBorders>
                  <w:vAlign w:val="center"/>
                </w:tcPr>
                <w:p w14:paraId="69F52E65">
                  <w:pPr>
                    <w:pStyle w:val="42"/>
                    <w:adjustRightInd w:val="0"/>
                    <w:rPr>
                      <w:rFonts w:hint="eastAsia" w:eastAsiaTheme="minorEastAsia"/>
                      <w:color w:val="auto"/>
                      <w:sz w:val="21"/>
                      <w:szCs w:val="21"/>
                      <w:lang w:val="en-US" w:eastAsia="zh-CN"/>
                    </w:rPr>
                  </w:pPr>
                  <w:r>
                    <w:rPr>
                      <w:rFonts w:hint="default" w:eastAsiaTheme="minorEastAsia"/>
                      <w:color w:val="auto"/>
                      <w:sz w:val="21"/>
                      <w:szCs w:val="21"/>
                      <w:lang w:val="en-US" w:eastAsia="zh-CN"/>
                    </w:rPr>
                    <w:t>《农药制造工业大气污染物排放标准》（GB39727-2020）表1大气污染物排放限值</w:t>
                  </w:r>
                </w:p>
              </w:tc>
            </w:tr>
            <w:tr w14:paraId="64C1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continue"/>
                  <w:tcBorders>
                    <w:tl2br w:val="nil"/>
                    <w:tr2bl w:val="nil"/>
                  </w:tcBorders>
                  <w:shd w:val="clear" w:color="auto" w:fill="auto"/>
                  <w:vAlign w:val="center"/>
                </w:tcPr>
                <w:p w14:paraId="3E1E1E7A">
                  <w:pPr>
                    <w:pStyle w:val="42"/>
                    <w:adjustRightInd w:val="0"/>
                    <w:rPr>
                      <w:rFonts w:hint="eastAsia" w:eastAsiaTheme="minorEastAsia"/>
                      <w:color w:val="auto"/>
                      <w:sz w:val="21"/>
                      <w:szCs w:val="21"/>
                      <w:lang w:val="en-US" w:eastAsia="zh-CN"/>
                    </w:rPr>
                  </w:pPr>
                </w:p>
              </w:tc>
              <w:tc>
                <w:tcPr>
                  <w:tcW w:w="800" w:type="pct"/>
                  <w:tcBorders>
                    <w:tl2br w:val="nil"/>
                    <w:tr2bl w:val="nil"/>
                  </w:tcBorders>
                  <w:vAlign w:val="center"/>
                </w:tcPr>
                <w:p w14:paraId="0A6EDBB2">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非甲烷总烃</w:t>
                  </w:r>
                </w:p>
              </w:tc>
              <w:tc>
                <w:tcPr>
                  <w:tcW w:w="536" w:type="pct"/>
                  <w:tcBorders>
                    <w:tl2br w:val="nil"/>
                    <w:tr2bl w:val="nil"/>
                  </w:tcBorders>
                  <w:shd w:val="clear" w:color="auto" w:fill="auto"/>
                  <w:vAlign w:val="center"/>
                </w:tcPr>
                <w:p w14:paraId="3FAC3551">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有组织</w:t>
                  </w:r>
                </w:p>
              </w:tc>
              <w:tc>
                <w:tcPr>
                  <w:tcW w:w="1161" w:type="pct"/>
                  <w:tcBorders>
                    <w:tl2br w:val="nil"/>
                    <w:tr2bl w:val="nil"/>
                  </w:tcBorders>
                  <w:shd w:val="clear" w:color="auto" w:fill="auto"/>
                  <w:vAlign w:val="center"/>
                </w:tcPr>
                <w:p w14:paraId="08DA1CA1">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100mg/m</w:t>
                  </w:r>
                  <w:r>
                    <w:rPr>
                      <w:rFonts w:hint="eastAsia" w:eastAsiaTheme="minorEastAsia"/>
                      <w:color w:val="auto"/>
                      <w:sz w:val="21"/>
                      <w:szCs w:val="21"/>
                      <w:vertAlign w:val="superscript"/>
                      <w:lang w:val="en-US" w:eastAsia="zh-CN"/>
                    </w:rPr>
                    <w:t>3</w:t>
                  </w:r>
                </w:p>
              </w:tc>
              <w:tc>
                <w:tcPr>
                  <w:tcW w:w="1881" w:type="pct"/>
                  <w:vMerge w:val="continue"/>
                  <w:tcBorders>
                    <w:tl2br w:val="nil"/>
                    <w:tr2bl w:val="nil"/>
                  </w:tcBorders>
                  <w:vAlign w:val="center"/>
                </w:tcPr>
                <w:p w14:paraId="720DEF34">
                  <w:pPr>
                    <w:pStyle w:val="42"/>
                    <w:adjustRightInd w:val="0"/>
                    <w:rPr>
                      <w:rFonts w:hint="eastAsia" w:eastAsiaTheme="minorEastAsia"/>
                      <w:color w:val="auto"/>
                      <w:sz w:val="21"/>
                      <w:szCs w:val="21"/>
                      <w:lang w:val="en-US" w:eastAsia="zh-CN"/>
                    </w:rPr>
                  </w:pPr>
                </w:p>
              </w:tc>
            </w:tr>
            <w:tr w14:paraId="0762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continue"/>
                  <w:tcBorders>
                    <w:tl2br w:val="nil"/>
                    <w:tr2bl w:val="nil"/>
                  </w:tcBorders>
                  <w:shd w:val="clear" w:color="auto" w:fill="auto"/>
                  <w:vAlign w:val="center"/>
                </w:tcPr>
                <w:p w14:paraId="6B19A946">
                  <w:pPr>
                    <w:pStyle w:val="42"/>
                    <w:adjustRightInd w:val="0"/>
                    <w:rPr>
                      <w:rFonts w:hint="eastAsia" w:eastAsiaTheme="minorEastAsia"/>
                      <w:color w:val="auto"/>
                      <w:sz w:val="21"/>
                      <w:szCs w:val="21"/>
                      <w:lang w:val="en-US" w:eastAsia="zh-CN"/>
                    </w:rPr>
                  </w:pPr>
                </w:p>
              </w:tc>
              <w:tc>
                <w:tcPr>
                  <w:tcW w:w="800" w:type="pct"/>
                  <w:tcBorders>
                    <w:tl2br w:val="nil"/>
                    <w:tr2bl w:val="nil"/>
                  </w:tcBorders>
                  <w:vAlign w:val="center"/>
                </w:tcPr>
                <w:p w14:paraId="267A434C">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臭气浓度</w:t>
                  </w:r>
                </w:p>
              </w:tc>
              <w:tc>
                <w:tcPr>
                  <w:tcW w:w="536" w:type="pct"/>
                  <w:tcBorders>
                    <w:tl2br w:val="nil"/>
                    <w:tr2bl w:val="nil"/>
                  </w:tcBorders>
                  <w:shd w:val="clear" w:color="auto" w:fill="auto"/>
                  <w:vAlign w:val="center"/>
                </w:tcPr>
                <w:p w14:paraId="4A9F9FD8">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有组织</w:t>
                  </w:r>
                </w:p>
              </w:tc>
              <w:tc>
                <w:tcPr>
                  <w:tcW w:w="1161" w:type="pct"/>
                  <w:tcBorders>
                    <w:tl2br w:val="nil"/>
                    <w:tr2bl w:val="nil"/>
                  </w:tcBorders>
                  <w:shd w:val="clear" w:color="auto" w:fill="auto"/>
                  <w:vAlign w:val="center"/>
                </w:tcPr>
                <w:p w14:paraId="22F26E6D">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2000（无量纲）</w:t>
                  </w:r>
                </w:p>
              </w:tc>
              <w:tc>
                <w:tcPr>
                  <w:tcW w:w="1881" w:type="pct"/>
                  <w:tcBorders>
                    <w:tl2br w:val="nil"/>
                    <w:tr2bl w:val="nil"/>
                  </w:tcBorders>
                  <w:vAlign w:val="center"/>
                </w:tcPr>
                <w:p w14:paraId="0DA2537A">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《恶臭污染物排放标准》（GB14554-93）表2</w:t>
                  </w:r>
                </w:p>
              </w:tc>
            </w:tr>
            <w:tr w14:paraId="6F59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restart"/>
                  <w:tcBorders>
                    <w:tl2br w:val="nil"/>
                    <w:tr2bl w:val="nil"/>
                  </w:tcBorders>
                  <w:shd w:val="clear" w:color="auto" w:fill="auto"/>
                  <w:vAlign w:val="center"/>
                </w:tcPr>
                <w:p w14:paraId="2BBDF059">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厂区内</w:t>
                  </w:r>
                </w:p>
              </w:tc>
              <w:tc>
                <w:tcPr>
                  <w:tcW w:w="800" w:type="pct"/>
                  <w:vMerge w:val="restart"/>
                  <w:tcBorders>
                    <w:tl2br w:val="nil"/>
                    <w:tr2bl w:val="nil"/>
                  </w:tcBorders>
                  <w:shd w:val="clear" w:color="auto" w:fill="auto"/>
                  <w:vAlign w:val="center"/>
                </w:tcPr>
                <w:p w14:paraId="36261797">
                  <w:pPr>
                    <w:pStyle w:val="42"/>
                    <w:adjustRightInd w:val="0"/>
                    <w:rPr>
                      <w:rFonts w:hint="eastAsia" w:eastAsiaTheme="minorEastAsia"/>
                      <w:color w:val="auto"/>
                      <w:sz w:val="21"/>
                      <w:szCs w:val="21"/>
                      <w:lang w:val="en-US" w:eastAsia="zh-CN"/>
                    </w:rPr>
                  </w:pPr>
                  <w:r>
                    <w:rPr>
                      <w:rFonts w:hint="default" w:eastAsiaTheme="minorEastAsia"/>
                      <w:color w:val="auto"/>
                      <w:sz w:val="21"/>
                      <w:szCs w:val="21"/>
                      <w:lang w:val="en-US" w:eastAsia="zh-CN"/>
                    </w:rPr>
                    <w:t>非甲烷总烃</w:t>
                  </w:r>
                </w:p>
              </w:tc>
              <w:tc>
                <w:tcPr>
                  <w:tcW w:w="536" w:type="pct"/>
                  <w:vMerge w:val="restart"/>
                  <w:tcBorders>
                    <w:tl2br w:val="nil"/>
                    <w:tr2bl w:val="nil"/>
                  </w:tcBorders>
                  <w:shd w:val="clear" w:color="auto" w:fill="auto"/>
                  <w:vAlign w:val="center"/>
                </w:tcPr>
                <w:p w14:paraId="3C336148">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无组织</w:t>
                  </w:r>
                </w:p>
              </w:tc>
              <w:tc>
                <w:tcPr>
                  <w:tcW w:w="1161" w:type="pct"/>
                  <w:tcBorders>
                    <w:tl2br w:val="nil"/>
                    <w:tr2bl w:val="nil"/>
                  </w:tcBorders>
                  <w:shd w:val="clear" w:color="auto" w:fill="auto"/>
                  <w:vAlign w:val="center"/>
                </w:tcPr>
                <w:p w14:paraId="7DC0F66C">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监控点处1h平均浓度值10mg/m</w:t>
                  </w:r>
                  <w:r>
                    <w:rPr>
                      <w:rFonts w:hint="eastAsia" w:eastAsiaTheme="minorEastAsia"/>
                      <w:color w:val="auto"/>
                      <w:sz w:val="21"/>
                      <w:szCs w:val="21"/>
                      <w:vertAlign w:val="superscript"/>
                      <w:lang w:val="en-US" w:eastAsia="zh-CN"/>
                    </w:rPr>
                    <w:t>3</w:t>
                  </w:r>
                </w:p>
              </w:tc>
              <w:tc>
                <w:tcPr>
                  <w:tcW w:w="1881" w:type="pct"/>
                  <w:vMerge w:val="restart"/>
                  <w:tcBorders>
                    <w:tl2br w:val="nil"/>
                    <w:tr2bl w:val="nil"/>
                  </w:tcBorders>
                  <w:vAlign w:val="center"/>
                </w:tcPr>
                <w:p w14:paraId="23DD02D9">
                  <w:pPr>
                    <w:pStyle w:val="42"/>
                    <w:adjustRightInd w:val="0"/>
                    <w:rPr>
                      <w:rFonts w:hint="eastAsia" w:eastAsiaTheme="minorEastAsia"/>
                      <w:color w:val="auto"/>
                      <w:sz w:val="21"/>
                      <w:szCs w:val="21"/>
                      <w:lang w:val="en-US" w:eastAsia="zh-CN"/>
                    </w:rPr>
                  </w:pPr>
                  <w:r>
                    <w:rPr>
                      <w:rFonts w:hint="default" w:eastAsiaTheme="minorEastAsia"/>
                      <w:color w:val="auto"/>
                      <w:sz w:val="21"/>
                      <w:szCs w:val="21"/>
                      <w:lang w:val="en-US" w:eastAsia="zh-CN"/>
                    </w:rPr>
                    <w:t>《农药制造工业大气污染物排放标准》（GB39727-2020）</w:t>
                  </w:r>
                  <w:r>
                    <w:rPr>
                      <w:rFonts w:hint="eastAsia" w:eastAsiaTheme="minorEastAsia"/>
                      <w:color w:val="auto"/>
                      <w:sz w:val="21"/>
                      <w:szCs w:val="21"/>
                      <w:lang w:val="en-US" w:eastAsia="zh-CN"/>
                    </w:rPr>
                    <w:t>附录C限值要求</w:t>
                  </w:r>
                </w:p>
              </w:tc>
            </w:tr>
            <w:tr w14:paraId="0223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continue"/>
                  <w:tcBorders>
                    <w:tl2br w:val="nil"/>
                    <w:tr2bl w:val="nil"/>
                  </w:tcBorders>
                  <w:shd w:val="clear" w:color="auto" w:fill="auto"/>
                  <w:vAlign w:val="center"/>
                </w:tcPr>
                <w:p w14:paraId="2523F942">
                  <w:pPr>
                    <w:pStyle w:val="42"/>
                    <w:adjustRightInd w:val="0"/>
                    <w:rPr>
                      <w:rFonts w:hint="eastAsia" w:eastAsiaTheme="minorEastAsia"/>
                      <w:color w:val="auto"/>
                      <w:sz w:val="21"/>
                      <w:szCs w:val="21"/>
                      <w:lang w:val="en-US" w:eastAsia="zh-CN"/>
                    </w:rPr>
                  </w:pPr>
                </w:p>
              </w:tc>
              <w:tc>
                <w:tcPr>
                  <w:tcW w:w="800" w:type="pct"/>
                  <w:vMerge w:val="continue"/>
                  <w:tcBorders>
                    <w:tl2br w:val="nil"/>
                    <w:tr2bl w:val="nil"/>
                  </w:tcBorders>
                  <w:shd w:val="clear" w:color="auto" w:fill="auto"/>
                  <w:vAlign w:val="center"/>
                </w:tcPr>
                <w:p w14:paraId="1C019EDF">
                  <w:pPr>
                    <w:pStyle w:val="42"/>
                    <w:adjustRightInd w:val="0"/>
                    <w:rPr>
                      <w:rFonts w:hint="default" w:eastAsiaTheme="minorEastAsia"/>
                      <w:color w:val="auto"/>
                      <w:sz w:val="21"/>
                      <w:szCs w:val="21"/>
                      <w:lang w:val="en-US" w:eastAsia="zh-CN"/>
                    </w:rPr>
                  </w:pPr>
                </w:p>
              </w:tc>
              <w:tc>
                <w:tcPr>
                  <w:tcW w:w="536" w:type="pct"/>
                  <w:vMerge w:val="continue"/>
                  <w:tcBorders>
                    <w:tl2br w:val="nil"/>
                    <w:tr2bl w:val="nil"/>
                  </w:tcBorders>
                  <w:shd w:val="clear" w:color="auto" w:fill="auto"/>
                  <w:vAlign w:val="center"/>
                </w:tcPr>
                <w:p w14:paraId="666CEA4D">
                  <w:pPr>
                    <w:pStyle w:val="42"/>
                    <w:adjustRightInd w:val="0"/>
                    <w:rPr>
                      <w:rFonts w:hint="eastAsia" w:eastAsiaTheme="minorEastAsia"/>
                      <w:color w:val="auto"/>
                      <w:sz w:val="21"/>
                      <w:szCs w:val="21"/>
                      <w:lang w:val="en-US" w:eastAsia="zh-CN"/>
                    </w:rPr>
                  </w:pPr>
                </w:p>
              </w:tc>
              <w:tc>
                <w:tcPr>
                  <w:tcW w:w="1161" w:type="pct"/>
                  <w:tcBorders>
                    <w:tl2br w:val="nil"/>
                    <w:tr2bl w:val="nil"/>
                  </w:tcBorders>
                  <w:shd w:val="clear" w:color="auto" w:fill="auto"/>
                  <w:vAlign w:val="center"/>
                </w:tcPr>
                <w:p w14:paraId="182D0BDB">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监控点处任意一次浓度值30mg/m</w:t>
                  </w:r>
                  <w:r>
                    <w:rPr>
                      <w:rFonts w:hint="eastAsia" w:eastAsiaTheme="minorEastAsia"/>
                      <w:color w:val="auto"/>
                      <w:sz w:val="21"/>
                      <w:szCs w:val="21"/>
                      <w:vertAlign w:val="superscript"/>
                      <w:lang w:val="en-US" w:eastAsia="zh-CN"/>
                    </w:rPr>
                    <w:t>3</w:t>
                  </w:r>
                </w:p>
              </w:tc>
              <w:tc>
                <w:tcPr>
                  <w:tcW w:w="1881" w:type="pct"/>
                  <w:vMerge w:val="continue"/>
                  <w:tcBorders>
                    <w:tl2br w:val="nil"/>
                    <w:tr2bl w:val="nil"/>
                  </w:tcBorders>
                  <w:vAlign w:val="center"/>
                </w:tcPr>
                <w:p w14:paraId="234DD184">
                  <w:pPr>
                    <w:pStyle w:val="42"/>
                    <w:adjustRightInd w:val="0"/>
                    <w:rPr>
                      <w:rFonts w:hint="default" w:eastAsiaTheme="minorEastAsia"/>
                      <w:color w:val="auto"/>
                      <w:sz w:val="21"/>
                      <w:szCs w:val="21"/>
                      <w:lang w:val="en-US" w:eastAsia="zh-CN"/>
                    </w:rPr>
                  </w:pPr>
                </w:p>
              </w:tc>
            </w:tr>
            <w:tr w14:paraId="20DC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restart"/>
                  <w:tcBorders>
                    <w:tl2br w:val="nil"/>
                    <w:tr2bl w:val="nil"/>
                  </w:tcBorders>
                  <w:vAlign w:val="center"/>
                </w:tcPr>
                <w:p w14:paraId="12095D03">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厂界无组织</w:t>
                  </w:r>
                </w:p>
              </w:tc>
              <w:tc>
                <w:tcPr>
                  <w:tcW w:w="800" w:type="pct"/>
                  <w:tcBorders>
                    <w:tl2br w:val="nil"/>
                    <w:tr2bl w:val="nil"/>
                  </w:tcBorders>
                  <w:shd w:val="clear" w:color="auto" w:fill="auto"/>
                  <w:vAlign w:val="center"/>
                </w:tcPr>
                <w:p w14:paraId="45601720">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非甲烷总烃</w:t>
                  </w:r>
                </w:p>
              </w:tc>
              <w:tc>
                <w:tcPr>
                  <w:tcW w:w="536" w:type="pct"/>
                  <w:vMerge w:val="restart"/>
                  <w:tcBorders>
                    <w:tl2br w:val="nil"/>
                    <w:tr2bl w:val="nil"/>
                  </w:tcBorders>
                  <w:vAlign w:val="center"/>
                </w:tcPr>
                <w:p w14:paraId="4682F587">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无组织</w:t>
                  </w:r>
                </w:p>
              </w:tc>
              <w:tc>
                <w:tcPr>
                  <w:tcW w:w="1161" w:type="pct"/>
                  <w:tcBorders>
                    <w:tl2br w:val="nil"/>
                    <w:tr2bl w:val="nil"/>
                  </w:tcBorders>
                  <w:vAlign w:val="center"/>
                </w:tcPr>
                <w:p w14:paraId="7ECACAC5">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50mg/m</w:t>
                  </w:r>
                  <w:r>
                    <w:rPr>
                      <w:rFonts w:hint="eastAsia" w:eastAsiaTheme="minorEastAsia"/>
                      <w:color w:val="auto"/>
                      <w:sz w:val="21"/>
                      <w:szCs w:val="21"/>
                      <w:vertAlign w:val="superscript"/>
                      <w:lang w:val="en-US" w:eastAsia="zh-CN"/>
                    </w:rPr>
                    <w:t>3</w:t>
                  </w:r>
                </w:p>
              </w:tc>
              <w:tc>
                <w:tcPr>
                  <w:tcW w:w="1881" w:type="pct"/>
                  <w:vMerge w:val="restart"/>
                  <w:tcBorders>
                    <w:tl2br w:val="nil"/>
                    <w:tr2bl w:val="nil"/>
                  </w:tcBorders>
                  <w:vAlign w:val="center"/>
                </w:tcPr>
                <w:p w14:paraId="4E925425">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《大气污染物综合排放标准》（GB16297-1996）表2排放要求</w:t>
                  </w:r>
                </w:p>
              </w:tc>
            </w:tr>
            <w:tr w14:paraId="291C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continue"/>
                  <w:tcBorders>
                    <w:tl2br w:val="nil"/>
                    <w:tr2bl w:val="nil"/>
                  </w:tcBorders>
                  <w:vAlign w:val="center"/>
                </w:tcPr>
                <w:p w14:paraId="53EBED10">
                  <w:pPr>
                    <w:pStyle w:val="42"/>
                    <w:adjustRightInd w:val="0"/>
                    <w:rPr>
                      <w:rFonts w:hint="eastAsia" w:eastAsiaTheme="minorEastAsia"/>
                      <w:color w:val="auto"/>
                      <w:sz w:val="21"/>
                      <w:szCs w:val="21"/>
                      <w:lang w:val="en-US" w:eastAsia="zh-CN"/>
                    </w:rPr>
                  </w:pPr>
                </w:p>
              </w:tc>
              <w:tc>
                <w:tcPr>
                  <w:tcW w:w="800" w:type="pct"/>
                  <w:tcBorders>
                    <w:tl2br w:val="nil"/>
                    <w:tr2bl w:val="nil"/>
                  </w:tcBorders>
                  <w:shd w:val="clear" w:color="auto" w:fill="auto"/>
                  <w:vAlign w:val="center"/>
                </w:tcPr>
                <w:p w14:paraId="7C504A6E">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颗粒物</w:t>
                  </w:r>
                </w:p>
              </w:tc>
              <w:tc>
                <w:tcPr>
                  <w:tcW w:w="536" w:type="pct"/>
                  <w:vMerge w:val="continue"/>
                  <w:tcBorders>
                    <w:tl2br w:val="nil"/>
                    <w:tr2bl w:val="nil"/>
                  </w:tcBorders>
                  <w:vAlign w:val="center"/>
                </w:tcPr>
                <w:p w14:paraId="7C922D15">
                  <w:pPr>
                    <w:pStyle w:val="42"/>
                    <w:adjustRightInd w:val="0"/>
                    <w:rPr>
                      <w:rFonts w:hint="eastAsia" w:eastAsiaTheme="minorEastAsia"/>
                      <w:color w:val="auto"/>
                      <w:sz w:val="21"/>
                      <w:szCs w:val="21"/>
                      <w:lang w:val="en-US" w:eastAsia="zh-CN"/>
                    </w:rPr>
                  </w:pPr>
                </w:p>
              </w:tc>
              <w:tc>
                <w:tcPr>
                  <w:tcW w:w="1161" w:type="pct"/>
                  <w:tcBorders>
                    <w:tl2br w:val="nil"/>
                    <w:tr2bl w:val="nil"/>
                  </w:tcBorders>
                  <w:vAlign w:val="center"/>
                </w:tcPr>
                <w:p w14:paraId="5424D206">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20mg/m</w:t>
                  </w:r>
                  <w:r>
                    <w:rPr>
                      <w:rFonts w:hint="eastAsia" w:eastAsiaTheme="minorEastAsia"/>
                      <w:color w:val="auto"/>
                      <w:sz w:val="21"/>
                      <w:szCs w:val="21"/>
                      <w:vertAlign w:val="superscript"/>
                      <w:lang w:val="en-US" w:eastAsia="zh-CN"/>
                    </w:rPr>
                    <w:t>3</w:t>
                  </w:r>
                </w:p>
              </w:tc>
              <w:tc>
                <w:tcPr>
                  <w:tcW w:w="1881" w:type="pct"/>
                  <w:vMerge w:val="continue"/>
                  <w:tcBorders>
                    <w:tl2br w:val="nil"/>
                    <w:tr2bl w:val="nil"/>
                  </w:tcBorders>
                  <w:vAlign w:val="center"/>
                </w:tcPr>
                <w:p w14:paraId="0FEA4456">
                  <w:pPr>
                    <w:pStyle w:val="42"/>
                    <w:adjustRightInd w:val="0"/>
                    <w:rPr>
                      <w:rFonts w:hint="eastAsia" w:eastAsiaTheme="minorEastAsia"/>
                      <w:color w:val="auto"/>
                      <w:sz w:val="21"/>
                      <w:szCs w:val="21"/>
                      <w:lang w:val="en-US" w:eastAsia="zh-CN"/>
                    </w:rPr>
                  </w:pPr>
                </w:p>
              </w:tc>
            </w:tr>
            <w:tr w14:paraId="047F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vMerge w:val="continue"/>
                  <w:tcBorders>
                    <w:tl2br w:val="nil"/>
                    <w:tr2bl w:val="nil"/>
                  </w:tcBorders>
                  <w:vAlign w:val="center"/>
                </w:tcPr>
                <w:p w14:paraId="55D77215">
                  <w:pPr>
                    <w:pStyle w:val="42"/>
                    <w:adjustRightInd w:val="0"/>
                    <w:rPr>
                      <w:rFonts w:hint="eastAsia" w:eastAsiaTheme="minorEastAsia"/>
                      <w:color w:val="auto"/>
                      <w:sz w:val="21"/>
                      <w:szCs w:val="21"/>
                      <w:lang w:val="en-US" w:eastAsia="zh-CN"/>
                    </w:rPr>
                  </w:pPr>
                </w:p>
              </w:tc>
              <w:tc>
                <w:tcPr>
                  <w:tcW w:w="800" w:type="pct"/>
                  <w:tcBorders>
                    <w:tl2br w:val="nil"/>
                    <w:tr2bl w:val="nil"/>
                  </w:tcBorders>
                  <w:shd w:val="clear" w:color="auto" w:fill="auto"/>
                  <w:vAlign w:val="center"/>
                </w:tcPr>
                <w:p w14:paraId="4564BEA1">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臭气浓度</w:t>
                  </w:r>
                </w:p>
              </w:tc>
              <w:tc>
                <w:tcPr>
                  <w:tcW w:w="536" w:type="pct"/>
                  <w:vMerge w:val="continue"/>
                  <w:tcBorders>
                    <w:tl2br w:val="nil"/>
                    <w:tr2bl w:val="nil"/>
                  </w:tcBorders>
                  <w:vAlign w:val="center"/>
                </w:tcPr>
                <w:p w14:paraId="197FD03B">
                  <w:pPr>
                    <w:pStyle w:val="42"/>
                    <w:adjustRightInd w:val="0"/>
                    <w:rPr>
                      <w:rFonts w:hint="eastAsia" w:eastAsiaTheme="minorEastAsia"/>
                      <w:color w:val="auto"/>
                      <w:sz w:val="21"/>
                      <w:szCs w:val="21"/>
                      <w:lang w:val="en-US" w:eastAsia="zh-CN"/>
                    </w:rPr>
                  </w:pPr>
                </w:p>
              </w:tc>
              <w:tc>
                <w:tcPr>
                  <w:tcW w:w="1161" w:type="pct"/>
                  <w:tcBorders>
                    <w:tl2br w:val="nil"/>
                    <w:tr2bl w:val="nil"/>
                  </w:tcBorders>
                  <w:vAlign w:val="center"/>
                </w:tcPr>
                <w:p w14:paraId="16DAF488">
                  <w:pPr>
                    <w:pStyle w:val="42"/>
                    <w:adjustRightInd w:val="0"/>
                    <w:rPr>
                      <w:rFonts w:hint="default" w:eastAsiaTheme="minorEastAsia"/>
                      <w:color w:val="auto"/>
                      <w:sz w:val="21"/>
                      <w:szCs w:val="21"/>
                      <w:lang w:val="en-US" w:eastAsia="zh-CN"/>
                    </w:rPr>
                  </w:pPr>
                  <w:r>
                    <w:rPr>
                      <w:rFonts w:hint="eastAsia" w:eastAsiaTheme="minorEastAsia"/>
                      <w:color w:val="auto"/>
                      <w:sz w:val="21"/>
                      <w:szCs w:val="21"/>
                      <w:lang w:val="en-US" w:eastAsia="zh-CN"/>
                    </w:rPr>
                    <w:t>20（无量纲）</w:t>
                  </w:r>
                </w:p>
              </w:tc>
              <w:tc>
                <w:tcPr>
                  <w:tcW w:w="1881" w:type="pct"/>
                  <w:tcBorders>
                    <w:tl2br w:val="nil"/>
                    <w:tr2bl w:val="nil"/>
                  </w:tcBorders>
                  <w:vAlign w:val="center"/>
                </w:tcPr>
                <w:p w14:paraId="0981D1E7">
                  <w:pPr>
                    <w:pStyle w:val="42"/>
                    <w:adjustRightInd w:val="0"/>
                    <w:rPr>
                      <w:rFonts w:hint="eastAsia" w:eastAsiaTheme="minorEastAsia"/>
                      <w:color w:val="auto"/>
                      <w:sz w:val="21"/>
                      <w:szCs w:val="21"/>
                      <w:lang w:val="en-US" w:eastAsia="zh-CN"/>
                    </w:rPr>
                  </w:pPr>
                  <w:r>
                    <w:rPr>
                      <w:rFonts w:hint="eastAsia" w:eastAsiaTheme="minorEastAsia"/>
                      <w:color w:val="auto"/>
                      <w:sz w:val="21"/>
                      <w:szCs w:val="21"/>
                      <w:lang w:val="en-US" w:eastAsia="zh-CN"/>
                    </w:rPr>
                    <w:t>《恶臭污染物排放标准》（GB14554-93）表1</w:t>
                  </w:r>
                </w:p>
              </w:tc>
            </w:tr>
          </w:tbl>
          <w:p w14:paraId="1B20ADE5">
            <w:pPr>
              <w:pStyle w:val="18"/>
              <w:rPr>
                <w:rFonts w:hint="eastAsia" w:eastAsia="宋体"/>
                <w:color w:val="auto"/>
                <w:lang w:eastAsia="zh-CN"/>
              </w:rPr>
            </w:pPr>
            <w:r>
              <w:rPr>
                <w:color w:val="auto"/>
              </w:rPr>
              <w:t>食堂油烟执行《饮食业油烟排放标准（试行）》（GB18483-2001）表2所列标准限值。具体指标见表3-</w:t>
            </w:r>
            <w:r>
              <w:rPr>
                <w:rFonts w:hint="eastAsia"/>
                <w:color w:val="auto"/>
                <w:lang w:val="en-US" w:eastAsia="zh-CN"/>
              </w:rPr>
              <w:t>7</w:t>
            </w:r>
          </w:p>
          <w:p w14:paraId="25D5B329">
            <w:pPr>
              <w:autoSpaceDE w:val="0"/>
              <w:autoSpaceDN w:val="0"/>
              <w:adjustRightInd w:val="0"/>
              <w:snapToGrid w:val="0"/>
              <w:jc w:val="center"/>
              <w:rPr>
                <w:b/>
                <w:bCs/>
                <w:color w:val="auto"/>
                <w:kern w:val="0"/>
                <w:szCs w:val="21"/>
              </w:rPr>
            </w:pPr>
          </w:p>
          <w:p w14:paraId="79E9B6A3">
            <w:pPr>
              <w:autoSpaceDE w:val="0"/>
              <w:autoSpaceDN w:val="0"/>
              <w:adjustRightInd w:val="0"/>
              <w:snapToGrid w:val="0"/>
              <w:jc w:val="center"/>
              <w:rPr>
                <w:b/>
                <w:bCs/>
                <w:color w:val="auto"/>
                <w:kern w:val="0"/>
                <w:szCs w:val="21"/>
              </w:rPr>
            </w:pPr>
            <w:r>
              <w:rPr>
                <w:b/>
                <w:bCs/>
                <w:color w:val="auto"/>
                <w:kern w:val="0"/>
                <w:szCs w:val="21"/>
              </w:rPr>
              <w:t>表3-</w:t>
            </w:r>
            <w:r>
              <w:rPr>
                <w:rFonts w:hint="eastAsia"/>
                <w:b/>
                <w:bCs/>
                <w:color w:val="auto"/>
                <w:kern w:val="0"/>
                <w:szCs w:val="21"/>
                <w:lang w:val="en-US" w:eastAsia="zh-CN"/>
              </w:rPr>
              <w:t xml:space="preserve">7 </w:t>
            </w:r>
            <w:r>
              <w:rPr>
                <w:b/>
                <w:bCs/>
                <w:color w:val="auto"/>
                <w:kern w:val="0"/>
                <w:szCs w:val="21"/>
              </w:rPr>
              <w:t>饮食业油烟排放标准（试行）</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1792"/>
              <w:gridCol w:w="1792"/>
              <w:gridCol w:w="1585"/>
            </w:tblGrid>
            <w:tr w14:paraId="5BA9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14:paraId="59F910CC">
                  <w:pPr>
                    <w:pStyle w:val="42"/>
                    <w:rPr>
                      <w:color w:val="auto"/>
                      <w:sz w:val="21"/>
                      <w:szCs w:val="21"/>
                    </w:rPr>
                  </w:pPr>
                  <w:r>
                    <w:rPr>
                      <w:color w:val="auto"/>
                      <w:sz w:val="21"/>
                      <w:szCs w:val="21"/>
                    </w:rPr>
                    <w:t>规模</w:t>
                  </w:r>
                </w:p>
              </w:tc>
              <w:tc>
                <w:tcPr>
                  <w:tcW w:w="1843" w:type="dxa"/>
                </w:tcPr>
                <w:p w14:paraId="06C688DA">
                  <w:pPr>
                    <w:pStyle w:val="42"/>
                    <w:rPr>
                      <w:color w:val="auto"/>
                      <w:sz w:val="21"/>
                      <w:szCs w:val="21"/>
                    </w:rPr>
                  </w:pPr>
                  <w:r>
                    <w:rPr>
                      <w:color w:val="auto"/>
                      <w:sz w:val="21"/>
                      <w:szCs w:val="21"/>
                    </w:rPr>
                    <w:t>小型</w:t>
                  </w:r>
                </w:p>
              </w:tc>
              <w:tc>
                <w:tcPr>
                  <w:tcW w:w="1843" w:type="dxa"/>
                </w:tcPr>
                <w:p w14:paraId="744C5F6C">
                  <w:pPr>
                    <w:pStyle w:val="42"/>
                    <w:rPr>
                      <w:color w:val="auto"/>
                      <w:sz w:val="21"/>
                      <w:szCs w:val="21"/>
                    </w:rPr>
                  </w:pPr>
                  <w:r>
                    <w:rPr>
                      <w:color w:val="auto"/>
                      <w:sz w:val="21"/>
                      <w:szCs w:val="21"/>
                    </w:rPr>
                    <w:t>中型</w:t>
                  </w:r>
                </w:p>
              </w:tc>
              <w:tc>
                <w:tcPr>
                  <w:tcW w:w="1628" w:type="dxa"/>
                </w:tcPr>
                <w:p w14:paraId="3D416732">
                  <w:pPr>
                    <w:pStyle w:val="42"/>
                    <w:rPr>
                      <w:color w:val="auto"/>
                      <w:sz w:val="21"/>
                      <w:szCs w:val="21"/>
                    </w:rPr>
                  </w:pPr>
                  <w:r>
                    <w:rPr>
                      <w:color w:val="auto"/>
                      <w:sz w:val="21"/>
                      <w:szCs w:val="21"/>
                    </w:rPr>
                    <w:t>大型</w:t>
                  </w:r>
                </w:p>
              </w:tc>
            </w:tr>
            <w:tr w14:paraId="3A74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14:paraId="75905C89">
                  <w:pPr>
                    <w:pStyle w:val="42"/>
                    <w:rPr>
                      <w:color w:val="auto"/>
                      <w:sz w:val="21"/>
                      <w:szCs w:val="21"/>
                    </w:rPr>
                  </w:pPr>
                  <w:r>
                    <w:rPr>
                      <w:color w:val="auto"/>
                      <w:sz w:val="21"/>
                      <w:szCs w:val="21"/>
                    </w:rPr>
                    <w:t>最高允许排放浓度</w:t>
                  </w:r>
                  <w:r>
                    <w:rPr>
                      <w:rFonts w:hint="eastAsia"/>
                      <w:color w:val="auto"/>
                      <w:sz w:val="21"/>
                      <w:szCs w:val="21"/>
                    </w:rPr>
                    <w:t>（</w:t>
                  </w:r>
                  <w:r>
                    <w:rPr>
                      <w:color w:val="auto"/>
                      <w:sz w:val="21"/>
                      <w:szCs w:val="21"/>
                    </w:rPr>
                    <w:t>mg/m</w:t>
                  </w:r>
                  <w:r>
                    <w:rPr>
                      <w:color w:val="auto"/>
                      <w:sz w:val="21"/>
                      <w:szCs w:val="21"/>
                      <w:vertAlign w:val="superscript"/>
                    </w:rPr>
                    <w:t>3</w:t>
                  </w:r>
                  <w:r>
                    <w:rPr>
                      <w:rFonts w:hint="eastAsia"/>
                      <w:color w:val="auto"/>
                      <w:sz w:val="21"/>
                      <w:szCs w:val="21"/>
                      <w:vertAlign w:val="superscript"/>
                    </w:rPr>
                    <w:t>）</w:t>
                  </w:r>
                </w:p>
              </w:tc>
              <w:tc>
                <w:tcPr>
                  <w:tcW w:w="5314" w:type="dxa"/>
                  <w:gridSpan w:val="3"/>
                </w:tcPr>
                <w:p w14:paraId="514F9755">
                  <w:pPr>
                    <w:pStyle w:val="42"/>
                    <w:rPr>
                      <w:color w:val="auto"/>
                      <w:sz w:val="21"/>
                      <w:szCs w:val="21"/>
                    </w:rPr>
                  </w:pPr>
                  <w:r>
                    <w:rPr>
                      <w:color w:val="auto"/>
                      <w:sz w:val="21"/>
                      <w:szCs w:val="21"/>
                    </w:rPr>
                    <w:t>2.0</w:t>
                  </w:r>
                </w:p>
              </w:tc>
            </w:tr>
            <w:tr w14:paraId="0842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9" w:type="dxa"/>
                </w:tcPr>
                <w:p w14:paraId="2E66C9FD">
                  <w:pPr>
                    <w:pStyle w:val="42"/>
                    <w:rPr>
                      <w:color w:val="auto"/>
                      <w:sz w:val="21"/>
                      <w:szCs w:val="21"/>
                    </w:rPr>
                  </w:pPr>
                  <w:r>
                    <w:rPr>
                      <w:color w:val="auto"/>
                      <w:sz w:val="21"/>
                      <w:szCs w:val="21"/>
                    </w:rPr>
                    <w:t>净化设施最大去除效率</w:t>
                  </w:r>
                  <w:r>
                    <w:rPr>
                      <w:rFonts w:hint="eastAsia"/>
                      <w:color w:val="auto"/>
                      <w:sz w:val="21"/>
                      <w:szCs w:val="21"/>
                    </w:rPr>
                    <w:t>（</w:t>
                  </w:r>
                  <w:r>
                    <w:rPr>
                      <w:color w:val="auto"/>
                      <w:sz w:val="21"/>
                      <w:szCs w:val="21"/>
                    </w:rPr>
                    <w:t>%</w:t>
                  </w:r>
                  <w:r>
                    <w:rPr>
                      <w:rFonts w:hint="eastAsia"/>
                      <w:color w:val="auto"/>
                      <w:sz w:val="21"/>
                      <w:szCs w:val="21"/>
                    </w:rPr>
                    <w:t>）</w:t>
                  </w:r>
                </w:p>
              </w:tc>
              <w:tc>
                <w:tcPr>
                  <w:tcW w:w="1843" w:type="dxa"/>
                </w:tcPr>
                <w:p w14:paraId="62BE4485">
                  <w:pPr>
                    <w:pStyle w:val="42"/>
                    <w:rPr>
                      <w:color w:val="auto"/>
                      <w:sz w:val="21"/>
                      <w:szCs w:val="21"/>
                    </w:rPr>
                  </w:pPr>
                  <w:r>
                    <w:rPr>
                      <w:color w:val="auto"/>
                      <w:sz w:val="21"/>
                      <w:szCs w:val="21"/>
                    </w:rPr>
                    <w:t>60</w:t>
                  </w:r>
                </w:p>
              </w:tc>
              <w:tc>
                <w:tcPr>
                  <w:tcW w:w="1843" w:type="dxa"/>
                </w:tcPr>
                <w:p w14:paraId="3125C9FF">
                  <w:pPr>
                    <w:pStyle w:val="42"/>
                    <w:rPr>
                      <w:color w:val="auto"/>
                      <w:sz w:val="21"/>
                      <w:szCs w:val="21"/>
                    </w:rPr>
                  </w:pPr>
                  <w:r>
                    <w:rPr>
                      <w:color w:val="auto"/>
                      <w:sz w:val="21"/>
                      <w:szCs w:val="21"/>
                    </w:rPr>
                    <w:t>75</w:t>
                  </w:r>
                </w:p>
              </w:tc>
              <w:tc>
                <w:tcPr>
                  <w:tcW w:w="1628" w:type="dxa"/>
                </w:tcPr>
                <w:p w14:paraId="7B32C691">
                  <w:pPr>
                    <w:pStyle w:val="42"/>
                    <w:rPr>
                      <w:color w:val="auto"/>
                      <w:sz w:val="21"/>
                      <w:szCs w:val="21"/>
                    </w:rPr>
                  </w:pPr>
                  <w:r>
                    <w:rPr>
                      <w:color w:val="auto"/>
                      <w:sz w:val="21"/>
                      <w:szCs w:val="21"/>
                    </w:rPr>
                    <w:t>85</w:t>
                  </w:r>
                </w:p>
              </w:tc>
            </w:tr>
          </w:tbl>
          <w:p w14:paraId="03BA1AD3">
            <w:pPr>
              <w:pStyle w:val="18"/>
              <w:rPr>
                <w:b/>
                <w:bCs/>
                <w:color w:val="auto"/>
              </w:rPr>
            </w:pPr>
            <w:r>
              <w:rPr>
                <w:b/>
                <w:bCs/>
                <w:color w:val="auto"/>
              </w:rPr>
              <w:t>3、噪声</w:t>
            </w:r>
          </w:p>
          <w:p w14:paraId="4A05F0E2">
            <w:pPr>
              <w:pStyle w:val="18"/>
              <w:rPr>
                <w:color w:val="auto"/>
              </w:rPr>
            </w:pPr>
            <w:r>
              <w:rPr>
                <w:color w:val="auto"/>
              </w:rPr>
              <w:t>施工期执行《建筑施工场界环境噪声排放标准》（GB12523-20</w:t>
            </w:r>
            <w:r>
              <w:rPr>
                <w:rFonts w:hint="eastAsia"/>
                <w:color w:val="auto"/>
                <w:lang w:val="en-US" w:eastAsia="zh-CN"/>
              </w:rPr>
              <w:t>25</w:t>
            </w:r>
            <w:r>
              <w:rPr>
                <w:color w:val="auto"/>
              </w:rPr>
              <w:t>）。</w:t>
            </w:r>
          </w:p>
          <w:p w14:paraId="5A8ADE85">
            <w:pPr>
              <w:autoSpaceDE w:val="0"/>
              <w:autoSpaceDN w:val="0"/>
              <w:adjustRightInd w:val="0"/>
              <w:snapToGrid w:val="0"/>
              <w:jc w:val="center"/>
              <w:rPr>
                <w:b/>
                <w:bCs/>
                <w:color w:val="auto"/>
                <w:kern w:val="0"/>
                <w:szCs w:val="21"/>
              </w:rPr>
            </w:pPr>
            <w:r>
              <w:rPr>
                <w:b/>
                <w:bCs/>
                <w:color w:val="auto"/>
                <w:kern w:val="0"/>
                <w:szCs w:val="21"/>
              </w:rPr>
              <w:t>表3-10建筑施工场界环境噪声排放标准单位：dB(A)</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58"/>
              <w:gridCol w:w="2657"/>
              <w:gridCol w:w="2659"/>
            </w:tblGrid>
            <w:tr w14:paraId="6173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58" w:type="dxa"/>
                </w:tcPr>
                <w:p w14:paraId="77B7861E">
                  <w:pPr>
                    <w:pStyle w:val="42"/>
                    <w:rPr>
                      <w:color w:val="auto"/>
                      <w:sz w:val="21"/>
                      <w:szCs w:val="21"/>
                    </w:rPr>
                  </w:pPr>
                  <w:r>
                    <w:rPr>
                      <w:color w:val="auto"/>
                      <w:sz w:val="21"/>
                      <w:szCs w:val="21"/>
                    </w:rPr>
                    <w:t>昼间</w:t>
                  </w:r>
                </w:p>
              </w:tc>
              <w:tc>
                <w:tcPr>
                  <w:tcW w:w="2657" w:type="dxa"/>
                </w:tcPr>
                <w:p w14:paraId="08B5DFE3">
                  <w:pPr>
                    <w:pStyle w:val="42"/>
                    <w:rPr>
                      <w:color w:val="auto"/>
                      <w:sz w:val="21"/>
                      <w:szCs w:val="21"/>
                    </w:rPr>
                  </w:pPr>
                  <w:r>
                    <w:rPr>
                      <w:color w:val="auto"/>
                      <w:sz w:val="21"/>
                      <w:szCs w:val="21"/>
                    </w:rPr>
                    <w:t>夜间</w:t>
                  </w:r>
                </w:p>
              </w:tc>
              <w:tc>
                <w:tcPr>
                  <w:tcW w:w="2659" w:type="dxa"/>
                </w:tcPr>
                <w:p w14:paraId="733119AF">
                  <w:pPr>
                    <w:pStyle w:val="42"/>
                    <w:rPr>
                      <w:color w:val="auto"/>
                      <w:sz w:val="21"/>
                      <w:szCs w:val="21"/>
                    </w:rPr>
                  </w:pPr>
                  <w:r>
                    <w:rPr>
                      <w:color w:val="auto"/>
                      <w:sz w:val="21"/>
                      <w:szCs w:val="21"/>
                    </w:rPr>
                    <w:t>标准来源</w:t>
                  </w:r>
                </w:p>
              </w:tc>
            </w:tr>
            <w:tr w14:paraId="1F94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58" w:type="dxa"/>
                </w:tcPr>
                <w:p w14:paraId="010DCC68">
                  <w:pPr>
                    <w:pStyle w:val="42"/>
                    <w:rPr>
                      <w:color w:val="auto"/>
                      <w:sz w:val="21"/>
                      <w:szCs w:val="21"/>
                    </w:rPr>
                  </w:pPr>
                  <w:r>
                    <w:rPr>
                      <w:color w:val="auto"/>
                      <w:sz w:val="21"/>
                      <w:szCs w:val="21"/>
                    </w:rPr>
                    <w:t>70</w:t>
                  </w:r>
                </w:p>
              </w:tc>
              <w:tc>
                <w:tcPr>
                  <w:tcW w:w="2657" w:type="dxa"/>
                </w:tcPr>
                <w:p w14:paraId="60D0F8F7">
                  <w:pPr>
                    <w:pStyle w:val="42"/>
                    <w:rPr>
                      <w:color w:val="auto"/>
                      <w:sz w:val="21"/>
                      <w:szCs w:val="21"/>
                    </w:rPr>
                  </w:pPr>
                  <w:r>
                    <w:rPr>
                      <w:color w:val="auto"/>
                      <w:sz w:val="21"/>
                      <w:szCs w:val="21"/>
                    </w:rPr>
                    <w:t>55</w:t>
                  </w:r>
                </w:p>
              </w:tc>
              <w:tc>
                <w:tcPr>
                  <w:tcW w:w="2659" w:type="dxa"/>
                </w:tcPr>
                <w:p w14:paraId="727718AD">
                  <w:pPr>
                    <w:pStyle w:val="42"/>
                    <w:rPr>
                      <w:rFonts w:hint="default" w:eastAsia="宋体"/>
                      <w:color w:val="auto"/>
                      <w:sz w:val="21"/>
                      <w:szCs w:val="21"/>
                      <w:lang w:val="en-US" w:eastAsia="zh-CN"/>
                    </w:rPr>
                  </w:pPr>
                  <w:r>
                    <w:rPr>
                      <w:color w:val="auto"/>
                      <w:sz w:val="21"/>
                      <w:szCs w:val="21"/>
                    </w:rPr>
                    <w:t>GB12523-20</w:t>
                  </w:r>
                  <w:r>
                    <w:rPr>
                      <w:rFonts w:hint="eastAsia"/>
                      <w:color w:val="auto"/>
                      <w:sz w:val="21"/>
                      <w:szCs w:val="21"/>
                      <w:lang w:val="en-US" w:eastAsia="zh-CN"/>
                    </w:rPr>
                    <w:t>25</w:t>
                  </w:r>
                </w:p>
              </w:tc>
            </w:tr>
          </w:tbl>
          <w:p w14:paraId="53C0FE81">
            <w:pPr>
              <w:pStyle w:val="18"/>
              <w:rPr>
                <w:color w:val="auto"/>
              </w:rPr>
            </w:pPr>
            <w:r>
              <w:rPr>
                <w:color w:val="auto"/>
              </w:rPr>
              <w:t>根据《声环境质量标准》（GB3096-2008），本项目所在区域为3类声环境功能区，营运期执行《工业企业厂界环境噪声排放标准》（GB12348-2008）3类标准。</w:t>
            </w:r>
          </w:p>
          <w:p w14:paraId="607E4816">
            <w:pPr>
              <w:autoSpaceDE w:val="0"/>
              <w:autoSpaceDN w:val="0"/>
              <w:adjustRightInd w:val="0"/>
              <w:snapToGrid w:val="0"/>
              <w:jc w:val="center"/>
              <w:rPr>
                <w:b/>
                <w:bCs/>
                <w:color w:val="auto"/>
                <w:kern w:val="0"/>
                <w:szCs w:val="21"/>
              </w:rPr>
            </w:pPr>
            <w:r>
              <w:rPr>
                <w:b/>
                <w:bCs/>
                <w:color w:val="auto"/>
                <w:kern w:val="0"/>
                <w:szCs w:val="21"/>
              </w:rPr>
              <w:t>表3-</w:t>
            </w:r>
            <w:r>
              <w:rPr>
                <w:rFonts w:hint="eastAsia"/>
                <w:b/>
                <w:bCs/>
                <w:color w:val="auto"/>
                <w:kern w:val="0"/>
                <w:szCs w:val="21"/>
                <w:lang w:val="en-US" w:eastAsia="zh-CN"/>
              </w:rPr>
              <w:t>8</w:t>
            </w:r>
            <w:r>
              <w:rPr>
                <w:b/>
                <w:bCs/>
                <w:color w:val="auto"/>
                <w:kern w:val="0"/>
                <w:szCs w:val="21"/>
              </w:rPr>
              <w:t>工业企业厂界噪声排放标准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2352"/>
              <w:gridCol w:w="2863"/>
            </w:tblGrid>
            <w:tr w14:paraId="14F4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759" w:type="dxa"/>
                  <w:vAlign w:val="center"/>
                </w:tcPr>
                <w:p w14:paraId="79E05599">
                  <w:pPr>
                    <w:pStyle w:val="42"/>
                    <w:rPr>
                      <w:color w:val="auto"/>
                      <w:sz w:val="21"/>
                      <w:szCs w:val="21"/>
                    </w:rPr>
                  </w:pPr>
                  <w:r>
                    <w:rPr>
                      <w:color w:val="auto"/>
                      <w:sz w:val="21"/>
                      <w:szCs w:val="21"/>
                      <w:lang w:bidi="ar"/>
                    </w:rPr>
                    <w:t>声功能区</w:t>
                  </w:r>
                </w:p>
              </w:tc>
              <w:tc>
                <w:tcPr>
                  <w:tcW w:w="2352" w:type="dxa"/>
                  <w:vAlign w:val="center"/>
                </w:tcPr>
                <w:p w14:paraId="02D44D3D">
                  <w:pPr>
                    <w:pStyle w:val="42"/>
                    <w:rPr>
                      <w:color w:val="auto"/>
                      <w:sz w:val="21"/>
                      <w:szCs w:val="21"/>
                    </w:rPr>
                  </w:pPr>
                  <w:r>
                    <w:rPr>
                      <w:color w:val="auto"/>
                      <w:sz w:val="21"/>
                      <w:szCs w:val="21"/>
                      <w:lang w:bidi="ar"/>
                    </w:rPr>
                    <w:t>昼间</w:t>
                  </w:r>
                </w:p>
              </w:tc>
              <w:tc>
                <w:tcPr>
                  <w:tcW w:w="2863" w:type="dxa"/>
                  <w:vAlign w:val="center"/>
                </w:tcPr>
                <w:p w14:paraId="104B55E5">
                  <w:pPr>
                    <w:pStyle w:val="42"/>
                    <w:rPr>
                      <w:color w:val="auto"/>
                      <w:sz w:val="21"/>
                      <w:szCs w:val="21"/>
                    </w:rPr>
                  </w:pPr>
                  <w:r>
                    <w:rPr>
                      <w:color w:val="auto"/>
                      <w:sz w:val="21"/>
                      <w:szCs w:val="21"/>
                      <w:lang w:bidi="ar"/>
                    </w:rPr>
                    <w:t>夜间</w:t>
                  </w:r>
                </w:p>
              </w:tc>
            </w:tr>
            <w:tr w14:paraId="3F47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759" w:type="dxa"/>
                  <w:vAlign w:val="center"/>
                </w:tcPr>
                <w:p w14:paraId="4F0901B1">
                  <w:pPr>
                    <w:pStyle w:val="42"/>
                    <w:rPr>
                      <w:color w:val="auto"/>
                      <w:sz w:val="21"/>
                      <w:szCs w:val="21"/>
                    </w:rPr>
                  </w:pPr>
                  <w:r>
                    <w:rPr>
                      <w:color w:val="auto"/>
                      <w:sz w:val="21"/>
                      <w:szCs w:val="21"/>
                      <w:lang w:bidi="ar"/>
                    </w:rPr>
                    <w:t>3类dB(A)</w:t>
                  </w:r>
                </w:p>
              </w:tc>
              <w:tc>
                <w:tcPr>
                  <w:tcW w:w="2352" w:type="dxa"/>
                  <w:vAlign w:val="center"/>
                </w:tcPr>
                <w:p w14:paraId="7313E99A">
                  <w:pPr>
                    <w:pStyle w:val="42"/>
                    <w:rPr>
                      <w:color w:val="auto"/>
                      <w:sz w:val="21"/>
                      <w:szCs w:val="21"/>
                    </w:rPr>
                  </w:pPr>
                  <w:r>
                    <w:rPr>
                      <w:color w:val="auto"/>
                      <w:sz w:val="21"/>
                      <w:szCs w:val="21"/>
                      <w:lang w:bidi="ar"/>
                    </w:rPr>
                    <w:t>65</w:t>
                  </w:r>
                </w:p>
              </w:tc>
              <w:tc>
                <w:tcPr>
                  <w:tcW w:w="2863" w:type="dxa"/>
                  <w:vAlign w:val="center"/>
                </w:tcPr>
                <w:p w14:paraId="4A59087A">
                  <w:pPr>
                    <w:pStyle w:val="42"/>
                    <w:rPr>
                      <w:color w:val="auto"/>
                      <w:sz w:val="21"/>
                      <w:szCs w:val="21"/>
                    </w:rPr>
                  </w:pPr>
                  <w:r>
                    <w:rPr>
                      <w:color w:val="auto"/>
                      <w:sz w:val="21"/>
                      <w:szCs w:val="21"/>
                      <w:lang w:bidi="ar"/>
                    </w:rPr>
                    <w:t>55</w:t>
                  </w:r>
                </w:p>
              </w:tc>
            </w:tr>
          </w:tbl>
          <w:p w14:paraId="5879A911">
            <w:pPr>
              <w:pStyle w:val="18"/>
              <w:rPr>
                <w:b/>
                <w:bCs/>
                <w:color w:val="auto"/>
              </w:rPr>
            </w:pPr>
            <w:r>
              <w:rPr>
                <w:b/>
                <w:bCs/>
                <w:color w:val="auto"/>
              </w:rPr>
              <w:t>4、固废</w:t>
            </w:r>
          </w:p>
          <w:p w14:paraId="4A798246">
            <w:pPr>
              <w:pStyle w:val="18"/>
              <w:rPr>
                <w:color w:val="auto"/>
              </w:rPr>
            </w:pPr>
            <w:r>
              <w:rPr>
                <w:rFonts w:hint="eastAsia"/>
                <w:color w:val="auto"/>
              </w:rPr>
              <w:t>本项目固体废弃物执行《中华人民共和国固体废弃物污染环境防治法》的相关规定；一般工业固废：本项目设置库房式一般固废暂存间，其贮存过程应满足相应防渗漏、防雨淋、防扬尘等环境保护要求；危险废物储存执行《危险废物贮存污染控制标准》（GB18597-2023）</w:t>
            </w:r>
            <w:r>
              <w:rPr>
                <w:color w:val="auto"/>
              </w:rPr>
              <w:t>。</w:t>
            </w:r>
          </w:p>
        </w:tc>
      </w:tr>
      <w:tr w14:paraId="15C8E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1" w:hRule="atLeast"/>
          <w:jc w:val="center"/>
        </w:trPr>
        <w:tc>
          <w:tcPr>
            <w:tcW w:w="800" w:type="dxa"/>
            <w:vAlign w:val="center"/>
          </w:tcPr>
          <w:p w14:paraId="2660AFF5">
            <w:pPr>
              <w:adjustRightInd w:val="0"/>
              <w:snapToGrid w:val="0"/>
              <w:jc w:val="center"/>
              <w:rPr>
                <w:color w:val="auto"/>
                <w:kern w:val="0"/>
                <w:szCs w:val="21"/>
              </w:rPr>
            </w:pPr>
            <w:r>
              <w:rPr>
                <w:color w:val="auto"/>
                <w:kern w:val="0"/>
                <w:szCs w:val="21"/>
              </w:rPr>
              <w:t>总量</w:t>
            </w:r>
          </w:p>
          <w:p w14:paraId="329FC182">
            <w:pPr>
              <w:adjustRightInd w:val="0"/>
              <w:snapToGrid w:val="0"/>
              <w:jc w:val="center"/>
              <w:rPr>
                <w:color w:val="auto"/>
                <w:kern w:val="0"/>
                <w:szCs w:val="21"/>
              </w:rPr>
            </w:pPr>
            <w:r>
              <w:rPr>
                <w:color w:val="auto"/>
                <w:kern w:val="0"/>
                <w:szCs w:val="21"/>
              </w:rPr>
              <w:t>控制</w:t>
            </w:r>
          </w:p>
          <w:p w14:paraId="691B0AEC">
            <w:pPr>
              <w:adjustRightInd w:val="0"/>
              <w:snapToGrid w:val="0"/>
              <w:jc w:val="center"/>
              <w:rPr>
                <w:color w:val="auto"/>
                <w:kern w:val="0"/>
                <w:szCs w:val="21"/>
              </w:rPr>
            </w:pPr>
            <w:r>
              <w:rPr>
                <w:color w:val="auto"/>
                <w:kern w:val="0"/>
                <w:szCs w:val="21"/>
              </w:rPr>
              <w:t>指标</w:t>
            </w:r>
          </w:p>
        </w:tc>
        <w:tc>
          <w:tcPr>
            <w:tcW w:w="8190" w:type="dxa"/>
            <w:vAlign w:val="center"/>
          </w:tcPr>
          <w:p w14:paraId="566EC647">
            <w:pPr>
              <w:pStyle w:val="18"/>
              <w:rPr>
                <w:color w:val="auto"/>
              </w:rPr>
            </w:pPr>
            <w:r>
              <w:rPr>
                <w:color w:val="auto"/>
              </w:rPr>
              <w:t>1、废水污染物总量控制</w:t>
            </w:r>
          </w:p>
          <w:p w14:paraId="72B97AC4">
            <w:pPr>
              <w:pStyle w:val="18"/>
              <w:rPr>
                <w:color w:val="auto"/>
              </w:rPr>
            </w:pPr>
            <w:bookmarkStart w:id="16" w:name="_Hlk145580134"/>
            <w:r>
              <w:rPr>
                <w:rFonts w:hint="eastAsia"/>
                <w:color w:val="auto"/>
              </w:rPr>
              <w:t>本项目污水最终进入胡杨河经济开发区南区污水处理厂。因此水污染物总量控制指标计入胡杨河经济开发区南区污水处理厂总量控制指标内，本项目不再设置水污染物总量控制指标</w:t>
            </w:r>
            <w:r>
              <w:rPr>
                <w:color w:val="auto"/>
              </w:rPr>
              <w:t>。</w:t>
            </w:r>
          </w:p>
          <w:p w14:paraId="50A79D66">
            <w:pPr>
              <w:pStyle w:val="18"/>
              <w:rPr>
                <w:color w:val="auto"/>
              </w:rPr>
            </w:pPr>
            <w:r>
              <w:rPr>
                <w:color w:val="auto"/>
              </w:rPr>
              <w:t>2、废气污染物总量控制</w:t>
            </w:r>
          </w:p>
          <w:p w14:paraId="494E36FC">
            <w:pPr>
              <w:pStyle w:val="18"/>
              <w:rPr>
                <w:color w:val="auto"/>
              </w:rPr>
            </w:pPr>
            <w:r>
              <w:rPr>
                <w:color w:val="auto"/>
              </w:rPr>
              <w:t>本项目涉及的废气总量控制指标具体如下：</w:t>
            </w:r>
          </w:p>
          <w:p w14:paraId="58A02EB9">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表3-10本项目废气污染物核定总量控制指标</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593"/>
              <w:gridCol w:w="1593"/>
              <w:gridCol w:w="3193"/>
            </w:tblGrid>
            <w:tr w14:paraId="6CD3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99" w:type="pct"/>
                  <w:vMerge w:val="restart"/>
                  <w:vAlign w:val="center"/>
                </w:tcPr>
                <w:p w14:paraId="142D4C7F">
                  <w:pPr>
                    <w:pStyle w:val="42"/>
                    <w:rPr>
                      <w:color w:val="auto"/>
                      <w:sz w:val="21"/>
                      <w:szCs w:val="21"/>
                      <w:lang w:bidi="ar"/>
                    </w:rPr>
                  </w:pPr>
                  <w:r>
                    <w:rPr>
                      <w:color w:val="auto"/>
                      <w:sz w:val="21"/>
                      <w:szCs w:val="21"/>
                      <w:lang w:bidi="ar"/>
                    </w:rPr>
                    <w:t>污染物</w:t>
                  </w:r>
                </w:p>
              </w:tc>
              <w:tc>
                <w:tcPr>
                  <w:tcW w:w="4000" w:type="pct"/>
                  <w:gridSpan w:val="3"/>
                  <w:vAlign w:val="center"/>
                </w:tcPr>
                <w:p w14:paraId="5DC7FF0D">
                  <w:pPr>
                    <w:pStyle w:val="42"/>
                    <w:rPr>
                      <w:color w:val="auto"/>
                      <w:sz w:val="21"/>
                      <w:szCs w:val="21"/>
                      <w:lang w:bidi="ar"/>
                    </w:rPr>
                  </w:pPr>
                  <w:r>
                    <w:rPr>
                      <w:color w:val="auto"/>
                      <w:sz w:val="21"/>
                      <w:szCs w:val="21"/>
                      <w:lang w:bidi="ar"/>
                    </w:rPr>
                    <w:t>排放量（t/a）</w:t>
                  </w:r>
                </w:p>
              </w:tc>
            </w:tr>
            <w:tr w14:paraId="5888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99" w:type="pct"/>
                  <w:vMerge w:val="continue"/>
                  <w:vAlign w:val="center"/>
                </w:tcPr>
                <w:p w14:paraId="78BB7229">
                  <w:pPr>
                    <w:pStyle w:val="42"/>
                    <w:rPr>
                      <w:color w:val="auto"/>
                      <w:sz w:val="21"/>
                      <w:szCs w:val="21"/>
                      <w:lang w:bidi="ar"/>
                    </w:rPr>
                  </w:pPr>
                </w:p>
              </w:tc>
              <w:tc>
                <w:tcPr>
                  <w:tcW w:w="999" w:type="pct"/>
                  <w:vAlign w:val="center"/>
                </w:tcPr>
                <w:p w14:paraId="4A177878">
                  <w:pPr>
                    <w:pStyle w:val="42"/>
                    <w:rPr>
                      <w:color w:val="auto"/>
                      <w:sz w:val="21"/>
                      <w:szCs w:val="21"/>
                      <w:lang w:bidi="ar"/>
                    </w:rPr>
                  </w:pPr>
                  <w:r>
                    <w:rPr>
                      <w:color w:val="auto"/>
                      <w:sz w:val="21"/>
                      <w:szCs w:val="21"/>
                      <w:lang w:bidi="ar"/>
                    </w:rPr>
                    <w:t>有组织</w:t>
                  </w:r>
                </w:p>
              </w:tc>
              <w:tc>
                <w:tcPr>
                  <w:tcW w:w="999" w:type="pct"/>
                  <w:vAlign w:val="center"/>
                </w:tcPr>
                <w:p w14:paraId="01756AE4">
                  <w:pPr>
                    <w:pStyle w:val="42"/>
                    <w:rPr>
                      <w:color w:val="auto"/>
                      <w:sz w:val="21"/>
                      <w:szCs w:val="21"/>
                      <w:lang w:bidi="ar"/>
                    </w:rPr>
                  </w:pPr>
                  <w:r>
                    <w:rPr>
                      <w:color w:val="auto"/>
                      <w:sz w:val="21"/>
                      <w:szCs w:val="21"/>
                      <w:lang w:bidi="ar"/>
                    </w:rPr>
                    <w:t>无组织</w:t>
                  </w:r>
                </w:p>
              </w:tc>
              <w:tc>
                <w:tcPr>
                  <w:tcW w:w="2001" w:type="pct"/>
                  <w:vAlign w:val="center"/>
                </w:tcPr>
                <w:p w14:paraId="0ABB45A0">
                  <w:pPr>
                    <w:pStyle w:val="42"/>
                    <w:rPr>
                      <w:rFonts w:hint="eastAsia" w:eastAsia="宋体"/>
                      <w:color w:val="auto"/>
                      <w:sz w:val="21"/>
                      <w:szCs w:val="21"/>
                      <w:lang w:val="en-US" w:eastAsia="zh-CN" w:bidi="ar"/>
                    </w:rPr>
                  </w:pPr>
                  <w:r>
                    <w:rPr>
                      <w:rFonts w:hint="eastAsia"/>
                      <w:color w:val="auto"/>
                      <w:sz w:val="21"/>
                      <w:szCs w:val="21"/>
                      <w:lang w:val="en-US" w:eastAsia="zh-CN" w:bidi="ar"/>
                    </w:rPr>
                    <w:t>合计</w:t>
                  </w:r>
                </w:p>
              </w:tc>
            </w:tr>
            <w:tr w14:paraId="3842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99" w:type="pct"/>
                  <w:vAlign w:val="center"/>
                </w:tcPr>
                <w:p w14:paraId="58495BBE">
                  <w:pPr>
                    <w:pStyle w:val="42"/>
                    <w:rPr>
                      <w:color w:val="auto"/>
                      <w:sz w:val="21"/>
                      <w:szCs w:val="21"/>
                      <w:lang w:bidi="ar"/>
                    </w:rPr>
                  </w:pPr>
                  <w:r>
                    <w:rPr>
                      <w:color w:val="auto"/>
                      <w:sz w:val="21"/>
                      <w:szCs w:val="21"/>
                      <w:lang w:bidi="ar"/>
                    </w:rPr>
                    <w:t>颗粒物</w:t>
                  </w:r>
                </w:p>
              </w:tc>
              <w:tc>
                <w:tcPr>
                  <w:tcW w:w="999" w:type="pct"/>
                  <w:vAlign w:val="center"/>
                </w:tcPr>
                <w:p w14:paraId="11517B61">
                  <w:pPr>
                    <w:pStyle w:val="18"/>
                    <w:adjustRightInd w:val="0"/>
                    <w:snapToGrid w:val="0"/>
                    <w:spacing w:line="240" w:lineRule="auto"/>
                    <w:ind w:left="0" w:leftChars="0" w:firstLine="0" w:firstLineChars="0"/>
                    <w:jc w:val="center"/>
                    <w:rPr>
                      <w:color w:val="auto"/>
                      <w:sz w:val="21"/>
                      <w:szCs w:val="21"/>
                      <w:lang w:bidi="ar"/>
                    </w:rPr>
                  </w:pPr>
                  <w:r>
                    <w:rPr>
                      <w:rFonts w:hint="eastAsia"/>
                      <w:color w:val="auto"/>
                      <w:lang w:val="en-US" w:eastAsia="zh-CN"/>
                    </w:rPr>
                    <w:t>0.0016</w:t>
                  </w:r>
                </w:p>
              </w:tc>
              <w:tc>
                <w:tcPr>
                  <w:tcW w:w="999" w:type="pct"/>
                  <w:vAlign w:val="center"/>
                </w:tcPr>
                <w:p w14:paraId="7DF6F0E1">
                  <w:pPr>
                    <w:pStyle w:val="18"/>
                    <w:adjustRightInd w:val="0"/>
                    <w:snapToGrid w:val="0"/>
                    <w:spacing w:line="240" w:lineRule="auto"/>
                    <w:ind w:left="0" w:leftChars="0" w:firstLine="0" w:firstLineChars="0"/>
                    <w:jc w:val="center"/>
                    <w:rPr>
                      <w:rFonts w:hint="eastAsia"/>
                      <w:color w:val="auto"/>
                      <w:lang w:val="en-US" w:eastAsia="zh-CN"/>
                    </w:rPr>
                  </w:pPr>
                  <w:r>
                    <w:rPr>
                      <w:rFonts w:hint="eastAsia"/>
                      <w:color w:val="auto"/>
                      <w:lang w:val="en-US" w:eastAsia="zh-CN"/>
                    </w:rPr>
                    <w:t>0.4128</w:t>
                  </w:r>
                </w:p>
              </w:tc>
              <w:tc>
                <w:tcPr>
                  <w:tcW w:w="2001" w:type="pct"/>
                  <w:vAlign w:val="center"/>
                </w:tcPr>
                <w:p w14:paraId="1C46A492">
                  <w:pPr>
                    <w:pStyle w:val="18"/>
                    <w:adjustRightInd w:val="0"/>
                    <w:snapToGrid w:val="0"/>
                    <w:spacing w:line="240" w:lineRule="auto"/>
                    <w:ind w:left="0" w:leftChars="0" w:firstLine="0" w:firstLineChars="0"/>
                    <w:jc w:val="center"/>
                    <w:rPr>
                      <w:rFonts w:hint="default"/>
                      <w:color w:val="auto"/>
                      <w:lang w:val="en-US" w:eastAsia="zh-CN"/>
                    </w:rPr>
                  </w:pPr>
                  <w:r>
                    <w:rPr>
                      <w:rFonts w:hint="eastAsia"/>
                      <w:color w:val="auto"/>
                      <w:lang w:val="en-US" w:eastAsia="zh-CN"/>
                    </w:rPr>
                    <w:t>0.4144</w:t>
                  </w:r>
                </w:p>
              </w:tc>
            </w:tr>
            <w:tr w14:paraId="05E7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99" w:type="pct"/>
                  <w:vAlign w:val="center"/>
                </w:tcPr>
                <w:p w14:paraId="62D5474F">
                  <w:pPr>
                    <w:pStyle w:val="42"/>
                    <w:rPr>
                      <w:rFonts w:hint="eastAsia" w:eastAsia="宋体"/>
                      <w:color w:val="auto"/>
                      <w:sz w:val="21"/>
                      <w:szCs w:val="21"/>
                      <w:lang w:val="en-US" w:eastAsia="zh-CN" w:bidi="ar"/>
                    </w:rPr>
                  </w:pPr>
                  <w:r>
                    <w:rPr>
                      <w:rFonts w:hint="eastAsia"/>
                      <w:color w:val="auto"/>
                      <w:sz w:val="21"/>
                      <w:szCs w:val="21"/>
                      <w:lang w:val="en-US" w:eastAsia="zh-CN" w:bidi="ar"/>
                    </w:rPr>
                    <w:t>有机废气</w:t>
                  </w:r>
                </w:p>
              </w:tc>
              <w:tc>
                <w:tcPr>
                  <w:tcW w:w="999" w:type="pct"/>
                  <w:vAlign w:val="center"/>
                </w:tcPr>
                <w:p w14:paraId="7D56B6EA">
                  <w:pPr>
                    <w:pStyle w:val="18"/>
                    <w:adjustRightInd w:val="0"/>
                    <w:snapToGrid w:val="0"/>
                    <w:spacing w:line="240" w:lineRule="auto"/>
                    <w:ind w:left="0" w:leftChars="0" w:firstLine="0" w:firstLineChars="0"/>
                    <w:jc w:val="center"/>
                    <w:rPr>
                      <w:color w:val="auto"/>
                      <w:sz w:val="21"/>
                      <w:szCs w:val="21"/>
                      <w:lang w:bidi="ar"/>
                    </w:rPr>
                  </w:pPr>
                  <w:r>
                    <w:rPr>
                      <w:rFonts w:hint="eastAsia"/>
                      <w:color w:val="auto"/>
                      <w:lang w:val="en-US" w:eastAsia="zh-CN"/>
                    </w:rPr>
                    <w:t>0.3986</w:t>
                  </w:r>
                </w:p>
              </w:tc>
              <w:tc>
                <w:tcPr>
                  <w:tcW w:w="999" w:type="pct"/>
                  <w:vAlign w:val="center"/>
                </w:tcPr>
                <w:p w14:paraId="08866A7E">
                  <w:pPr>
                    <w:pStyle w:val="18"/>
                    <w:adjustRightInd w:val="0"/>
                    <w:snapToGrid w:val="0"/>
                    <w:spacing w:line="240" w:lineRule="auto"/>
                    <w:ind w:left="0" w:leftChars="0" w:firstLine="0" w:firstLineChars="0"/>
                    <w:jc w:val="center"/>
                    <w:rPr>
                      <w:rFonts w:hint="eastAsia"/>
                      <w:color w:val="auto"/>
                      <w:lang w:val="en-US" w:eastAsia="zh-CN"/>
                    </w:rPr>
                  </w:pPr>
                  <w:r>
                    <w:rPr>
                      <w:rFonts w:hint="eastAsia"/>
                      <w:color w:val="auto"/>
                      <w:lang w:val="en-US" w:eastAsia="zh-CN"/>
                    </w:rPr>
                    <w:t>0.2098</w:t>
                  </w:r>
                </w:p>
              </w:tc>
              <w:tc>
                <w:tcPr>
                  <w:tcW w:w="2001" w:type="pct"/>
                  <w:vAlign w:val="center"/>
                </w:tcPr>
                <w:p w14:paraId="1F0EC0AC">
                  <w:pPr>
                    <w:pStyle w:val="18"/>
                    <w:adjustRightInd w:val="0"/>
                    <w:snapToGrid w:val="0"/>
                    <w:spacing w:line="240" w:lineRule="auto"/>
                    <w:ind w:left="0" w:leftChars="0" w:firstLine="0" w:firstLineChars="0"/>
                    <w:jc w:val="center"/>
                    <w:rPr>
                      <w:rFonts w:hint="default"/>
                      <w:color w:val="auto"/>
                      <w:lang w:val="en-US" w:eastAsia="zh-CN"/>
                    </w:rPr>
                  </w:pPr>
                  <w:r>
                    <w:rPr>
                      <w:rFonts w:hint="eastAsia"/>
                      <w:color w:val="auto"/>
                      <w:lang w:val="en-US" w:eastAsia="zh-CN"/>
                    </w:rPr>
                    <w:t>0.6084</w:t>
                  </w:r>
                </w:p>
              </w:tc>
            </w:tr>
            <w:bookmarkEnd w:id="16"/>
          </w:tbl>
          <w:p w14:paraId="3D3F27EB">
            <w:pPr>
              <w:pStyle w:val="18"/>
              <w:rPr>
                <w:color w:val="auto"/>
              </w:rPr>
            </w:pPr>
            <w:r>
              <w:rPr>
                <w:color w:val="auto"/>
              </w:rPr>
              <w:t>以上指标供</w:t>
            </w:r>
            <w:r>
              <w:rPr>
                <w:rFonts w:hint="eastAsia"/>
                <w:color w:val="auto"/>
              </w:rPr>
              <w:t>生态环境</w:t>
            </w:r>
            <w:r>
              <w:rPr>
                <w:color w:val="auto"/>
              </w:rPr>
              <w:t>行政管理部门审定。</w:t>
            </w:r>
          </w:p>
        </w:tc>
      </w:tr>
    </w:tbl>
    <w:p w14:paraId="33D1C0F6">
      <w:pPr>
        <w:pStyle w:val="15"/>
        <w:outlineLvl w:val="0"/>
        <w:rPr>
          <w:rFonts w:ascii="Times New Roman" w:hAnsi="Times New Roman"/>
          <w:snapToGrid w:val="0"/>
          <w:sz w:val="30"/>
          <w:szCs w:val="30"/>
        </w:rPr>
      </w:pPr>
      <w:r>
        <w:rPr>
          <w:rFonts w:ascii="Times New Roman" w:hAnsi="Times New Roman"/>
          <w:snapToGrid w:val="0"/>
          <w:sz w:val="36"/>
          <w:szCs w:val="36"/>
        </w:rPr>
        <w:br w:type="page"/>
      </w:r>
      <w:r>
        <w:rPr>
          <w:rFonts w:ascii="Times New Roman" w:hAnsi="Times New Roman"/>
          <w:snapToGrid w:val="0"/>
          <w:sz w:val="30"/>
          <w:szCs w:val="30"/>
        </w:rPr>
        <w:t>四、主要环境影响和保护措施</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50FE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746" w:type="dxa"/>
            <w:tcMar>
              <w:left w:w="28" w:type="dxa"/>
              <w:right w:w="28" w:type="dxa"/>
            </w:tcMar>
            <w:vAlign w:val="center"/>
          </w:tcPr>
          <w:p w14:paraId="524CA1E9">
            <w:pPr>
              <w:adjustRightInd w:val="0"/>
              <w:snapToGrid w:val="0"/>
              <w:jc w:val="center"/>
              <w:rPr>
                <w:color w:val="auto"/>
                <w:kern w:val="0"/>
                <w:szCs w:val="21"/>
              </w:rPr>
            </w:pPr>
            <w:r>
              <w:rPr>
                <w:color w:val="auto"/>
                <w:kern w:val="0"/>
                <w:szCs w:val="21"/>
              </w:rPr>
              <w:t>施工</w:t>
            </w:r>
          </w:p>
          <w:p w14:paraId="7E16A6C7">
            <w:pPr>
              <w:adjustRightInd w:val="0"/>
              <w:snapToGrid w:val="0"/>
              <w:jc w:val="center"/>
              <w:rPr>
                <w:color w:val="auto"/>
                <w:kern w:val="0"/>
                <w:szCs w:val="21"/>
              </w:rPr>
            </w:pPr>
            <w:r>
              <w:rPr>
                <w:color w:val="auto"/>
                <w:kern w:val="0"/>
                <w:szCs w:val="21"/>
              </w:rPr>
              <w:t>期环</w:t>
            </w:r>
          </w:p>
          <w:p w14:paraId="2948FDAC">
            <w:pPr>
              <w:adjustRightInd w:val="0"/>
              <w:snapToGrid w:val="0"/>
              <w:jc w:val="center"/>
              <w:rPr>
                <w:color w:val="auto"/>
                <w:kern w:val="0"/>
                <w:szCs w:val="21"/>
              </w:rPr>
            </w:pPr>
            <w:r>
              <w:rPr>
                <w:color w:val="auto"/>
                <w:kern w:val="0"/>
                <w:szCs w:val="21"/>
              </w:rPr>
              <w:t>境保</w:t>
            </w:r>
          </w:p>
          <w:p w14:paraId="05CCE1BA">
            <w:pPr>
              <w:adjustRightInd w:val="0"/>
              <w:snapToGrid w:val="0"/>
              <w:jc w:val="center"/>
              <w:rPr>
                <w:color w:val="auto"/>
                <w:kern w:val="0"/>
                <w:szCs w:val="21"/>
              </w:rPr>
            </w:pPr>
            <w:r>
              <w:rPr>
                <w:rFonts w:hint="eastAsia"/>
                <w:color w:val="auto"/>
                <w:kern w:val="0"/>
                <w:szCs w:val="21"/>
                <w:lang w:eastAsia="zh-CN"/>
              </w:rPr>
              <w:t>举措</w:t>
            </w:r>
          </w:p>
          <w:p w14:paraId="2EC22EDC">
            <w:pPr>
              <w:adjustRightInd w:val="0"/>
              <w:snapToGrid w:val="0"/>
              <w:jc w:val="center"/>
              <w:rPr>
                <w:color w:val="auto"/>
                <w:kern w:val="0"/>
                <w:szCs w:val="21"/>
              </w:rPr>
            </w:pPr>
            <w:r>
              <w:rPr>
                <w:color w:val="auto"/>
                <w:kern w:val="0"/>
                <w:szCs w:val="21"/>
              </w:rPr>
              <w:t>施</w:t>
            </w:r>
          </w:p>
        </w:tc>
        <w:tc>
          <w:tcPr>
            <w:tcW w:w="8162" w:type="dxa"/>
            <w:vAlign w:val="center"/>
          </w:tcPr>
          <w:p w14:paraId="3F8BFCD6">
            <w:pPr>
              <w:pStyle w:val="18"/>
              <w:rPr>
                <w:color w:val="auto"/>
              </w:rPr>
            </w:pPr>
            <w:r>
              <w:rPr>
                <w:color w:val="auto"/>
              </w:rPr>
              <w:t>项目施工期对环境造成的影响主要包括：施工废气、施工废水、施工噪声和施工固体废弃物等。</w:t>
            </w:r>
          </w:p>
          <w:p w14:paraId="3F74520E">
            <w:pPr>
              <w:pStyle w:val="18"/>
              <w:rPr>
                <w:b/>
                <w:bCs/>
                <w:color w:val="auto"/>
              </w:rPr>
            </w:pPr>
            <w:r>
              <w:rPr>
                <w:rFonts w:hint="eastAsia"/>
                <w:b/>
                <w:bCs/>
                <w:color w:val="auto"/>
                <w:lang w:eastAsia="zh-CN"/>
              </w:rPr>
              <w:t>1、</w:t>
            </w:r>
            <w:r>
              <w:rPr>
                <w:b/>
                <w:bCs/>
                <w:color w:val="auto"/>
              </w:rPr>
              <w:t>大气环境影响分析</w:t>
            </w:r>
          </w:p>
          <w:p w14:paraId="0D84B256">
            <w:pPr>
              <w:pStyle w:val="18"/>
              <w:rPr>
                <w:color w:val="auto"/>
              </w:rPr>
            </w:pPr>
            <w:r>
              <w:rPr>
                <w:rFonts w:hint="eastAsia"/>
                <w:color w:val="auto"/>
              </w:rPr>
              <w:t>（1）扬尘影响分析</w:t>
            </w:r>
          </w:p>
          <w:p w14:paraId="30CD0714">
            <w:pPr>
              <w:pStyle w:val="18"/>
              <w:rPr>
                <w:color w:val="auto"/>
              </w:rPr>
            </w:pPr>
            <w:r>
              <w:rPr>
                <w:rFonts w:hint="eastAsia"/>
                <w:color w:val="auto"/>
              </w:rPr>
              <w:t>主要为扬尘污染，包括建筑基础挖掘扬尘和建筑施工扬尘。</w:t>
            </w:r>
          </w:p>
          <w:p w14:paraId="695CB566">
            <w:pPr>
              <w:pStyle w:val="18"/>
              <w:rPr>
                <w:color w:val="auto"/>
              </w:rPr>
            </w:pPr>
            <w:r>
              <w:rPr>
                <w:rFonts w:hint="eastAsia"/>
                <w:color w:val="auto"/>
              </w:rPr>
              <w:t>①建筑挖掘扬尘</w:t>
            </w:r>
          </w:p>
          <w:p w14:paraId="1E2BD86C">
            <w:pPr>
              <w:pStyle w:val="18"/>
              <w:rPr>
                <w:color w:val="auto"/>
              </w:rPr>
            </w:pPr>
            <w:r>
              <w:rPr>
                <w:rFonts w:hint="eastAsia"/>
                <w:color w:val="auto"/>
              </w:rPr>
              <w:t>根据国内外的有关研究资料，该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特别是近距离的</w:t>
            </w:r>
            <w:r>
              <w:rPr>
                <w:color w:val="auto"/>
              </w:rPr>
              <w:t>TSP</w:t>
            </w:r>
            <w:r>
              <w:rPr>
                <w:rFonts w:hint="eastAsia"/>
                <w:color w:val="auto"/>
              </w:rPr>
              <w:t>浓度超过二级标准几倍，个别情况下可以达到</w:t>
            </w:r>
            <w:r>
              <w:rPr>
                <w:color w:val="auto"/>
              </w:rPr>
              <w:t>10</w:t>
            </w:r>
            <w:r>
              <w:rPr>
                <w:rFonts w:hint="eastAsia"/>
                <w:color w:val="auto"/>
              </w:rPr>
              <w:t>倍以上；但随着距离的增加，浓度贡献衰减很快，至</w:t>
            </w:r>
            <w:r>
              <w:rPr>
                <w:color w:val="auto"/>
              </w:rPr>
              <w:t>300m</w:t>
            </w:r>
            <w:r>
              <w:rPr>
                <w:rFonts w:hint="eastAsia"/>
                <w:color w:val="auto"/>
              </w:rPr>
              <w:t>左右基本上满足二级标准。北京市环境保护科学研究院曾对</w:t>
            </w:r>
            <w:r>
              <w:rPr>
                <w:color w:val="auto"/>
              </w:rPr>
              <w:t>7</w:t>
            </w:r>
            <w:r>
              <w:rPr>
                <w:rFonts w:hint="eastAsia"/>
                <w:color w:val="auto"/>
              </w:rPr>
              <w:t>个建筑工程施工工地的扬尘情况进行了测定，在无任何防尘措施的情况下，污染范围约在</w:t>
            </w:r>
            <w:r>
              <w:rPr>
                <w:color w:val="auto"/>
              </w:rPr>
              <w:t>150m</w:t>
            </w:r>
            <w:r>
              <w:rPr>
                <w:rFonts w:hint="eastAsia"/>
                <w:color w:val="auto"/>
              </w:rPr>
              <w:t>，被影响区域的</w:t>
            </w:r>
            <w:r>
              <w:rPr>
                <w:color w:val="auto"/>
              </w:rPr>
              <w:t>TSP</w:t>
            </w:r>
            <w:r>
              <w:rPr>
                <w:rFonts w:hint="eastAsia"/>
                <w:color w:val="auto"/>
              </w:rPr>
              <w:t>浓度平均值为</w:t>
            </w:r>
            <w:r>
              <w:rPr>
                <w:color w:val="auto"/>
              </w:rPr>
              <w:t>0.491mg/m</w:t>
            </w:r>
            <w:r>
              <w:rPr>
                <w:color w:val="auto"/>
                <w:vertAlign w:val="superscript"/>
              </w:rPr>
              <w:t>3</w:t>
            </w:r>
            <w:r>
              <w:rPr>
                <w:rFonts w:hint="eastAsia"/>
                <w:color w:val="auto"/>
              </w:rPr>
              <w:t>，相当于大气环境质量标准的</w:t>
            </w:r>
            <w:r>
              <w:rPr>
                <w:color w:val="auto"/>
              </w:rPr>
              <w:t>1.6</w:t>
            </w:r>
            <w:r>
              <w:rPr>
                <w:rFonts w:hint="eastAsia"/>
                <w:color w:val="auto"/>
              </w:rPr>
              <w:t>倍，下风向</w:t>
            </w:r>
            <w:r>
              <w:rPr>
                <w:color w:val="auto"/>
              </w:rPr>
              <w:t>TSP</w:t>
            </w:r>
            <w:r>
              <w:rPr>
                <w:rFonts w:hint="eastAsia"/>
                <w:color w:val="auto"/>
              </w:rPr>
              <w:t>最大污染浓度可达对照点的</w:t>
            </w:r>
            <w:r>
              <w:rPr>
                <w:color w:val="auto"/>
              </w:rPr>
              <w:t>6.39</w:t>
            </w:r>
            <w:r>
              <w:rPr>
                <w:rFonts w:hint="eastAsia"/>
                <w:color w:val="auto"/>
              </w:rPr>
              <w:t>倍；而在有围墙防尘措施的情况下，污染范围降至</w:t>
            </w:r>
            <w:r>
              <w:rPr>
                <w:color w:val="auto"/>
              </w:rPr>
              <w:t>50m</w:t>
            </w:r>
            <w:r>
              <w:rPr>
                <w:rFonts w:hint="eastAsia"/>
                <w:color w:val="auto"/>
              </w:rPr>
              <w:t>，最高污染浓度是对照点的</w:t>
            </w:r>
            <w:r>
              <w:rPr>
                <w:color w:val="auto"/>
              </w:rPr>
              <w:t>4.04</w:t>
            </w:r>
            <w:r>
              <w:rPr>
                <w:rFonts w:hint="eastAsia"/>
                <w:color w:val="auto"/>
              </w:rPr>
              <w:t>倍，由此可见，在施工区域围墙起到防尘污染的良好效果；在采取一定的防护措施及土壤湿度较大时进行施工，在不同的风速和稳定度下，施工扬尘的浓度贡献值大幅下降，施工扬尘影响较大的区域一般在施工现场</w:t>
            </w:r>
            <w:r>
              <w:rPr>
                <w:color w:val="auto"/>
              </w:rPr>
              <w:t>50m</w:t>
            </w:r>
            <w:r>
              <w:rPr>
                <w:rFonts w:hint="eastAsia"/>
                <w:color w:val="auto"/>
              </w:rPr>
              <w:t>以内，在施工现场</w:t>
            </w:r>
            <w:r>
              <w:rPr>
                <w:color w:val="auto"/>
              </w:rPr>
              <w:t>50m</w:t>
            </w:r>
            <w:r>
              <w:rPr>
                <w:rFonts w:hint="eastAsia"/>
                <w:color w:val="auto"/>
              </w:rPr>
              <w:t>以外基本上满足二级标准。</w:t>
            </w:r>
          </w:p>
          <w:p w14:paraId="726302B2">
            <w:pPr>
              <w:pStyle w:val="18"/>
              <w:rPr>
                <w:b/>
                <w:bCs/>
                <w:color w:val="auto"/>
              </w:rPr>
            </w:pPr>
            <w:r>
              <w:rPr>
                <w:rFonts w:hint="eastAsia"/>
                <w:color w:val="auto"/>
              </w:rPr>
              <w:t>由现场</w:t>
            </w:r>
            <w:r>
              <w:rPr>
                <w:rFonts w:hint="eastAsia"/>
                <w:color w:val="auto"/>
                <w:lang w:val="en-US" w:eastAsia="zh-CN"/>
              </w:rPr>
              <w:t>勘查</w:t>
            </w:r>
            <w:r>
              <w:rPr>
                <w:rFonts w:hint="eastAsia"/>
                <w:color w:val="auto"/>
              </w:rPr>
              <w:t>可知，工程场址内地表土壤主要为卵石与砾石，分别占土壤含量的</w:t>
            </w:r>
            <w:r>
              <w:rPr>
                <w:color w:val="auto"/>
              </w:rPr>
              <w:t>55%</w:t>
            </w:r>
            <w:r>
              <w:rPr>
                <w:rFonts w:hint="eastAsia"/>
                <w:color w:val="auto"/>
              </w:rPr>
              <w:t>和</w:t>
            </w:r>
            <w:r>
              <w:rPr>
                <w:color w:val="auto"/>
              </w:rPr>
              <w:t>30%</w:t>
            </w:r>
            <w:r>
              <w:rPr>
                <w:rFonts w:hint="eastAsia"/>
                <w:color w:val="auto"/>
              </w:rPr>
              <w:t>，不易起尘，因此工程正常施工过程扬尘污染范围不会超过</w:t>
            </w:r>
            <w:r>
              <w:rPr>
                <w:color w:val="auto"/>
              </w:rPr>
              <w:t>100m</w:t>
            </w:r>
            <w:r>
              <w:rPr>
                <w:rFonts w:hint="eastAsia"/>
                <w:color w:val="auto"/>
              </w:rPr>
              <w:t>；要求建设单位采取有效的防尘抑尘措施，</w:t>
            </w:r>
            <w:r>
              <w:rPr>
                <w:rFonts w:hint="eastAsia"/>
                <w:b/>
                <w:bCs/>
                <w:color w:val="auto"/>
              </w:rPr>
              <w:t>例如保持施工场地湿度、及时洒水抑尘、设置防尘网等防尘屏挡并尽量避免在大风条件下施工，或集中在雨季施工，则能够最大限度降低施工扬尘对周围环境空气影响。</w:t>
            </w:r>
          </w:p>
          <w:p w14:paraId="017E5FCA">
            <w:pPr>
              <w:pStyle w:val="18"/>
              <w:rPr>
                <w:color w:val="auto"/>
              </w:rPr>
            </w:pPr>
            <w:r>
              <w:rPr>
                <w:rFonts w:hint="eastAsia"/>
                <w:color w:val="auto"/>
              </w:rPr>
              <w:t>②其他</w:t>
            </w:r>
          </w:p>
          <w:p w14:paraId="3892B9F7">
            <w:pPr>
              <w:pStyle w:val="18"/>
              <w:rPr>
                <w:color w:val="auto"/>
              </w:rPr>
            </w:pPr>
            <w:r>
              <w:rPr>
                <w:rFonts w:hint="eastAsia"/>
                <w:color w:val="auto"/>
              </w:rPr>
              <w:t>包括物料运输、材料堆放等产生的扬尘；其中物料运输和材料堆放产生的扬尘影响分析集中在交通影响内。项目规划采购水泥搅拌站加工好的水泥进行施工作业，由水泥搅拌车直接输送，不在场区内进行水泥搅拌，因此本项目不存在水泥搅拌作业扬尘污染影响。</w:t>
            </w:r>
          </w:p>
          <w:p w14:paraId="13E7FC35">
            <w:pPr>
              <w:pStyle w:val="18"/>
              <w:rPr>
                <w:color w:val="auto"/>
              </w:rPr>
            </w:pPr>
            <w:r>
              <w:rPr>
                <w:rFonts w:hint="eastAsia"/>
                <w:color w:val="auto"/>
              </w:rPr>
              <w:t>③影响分析</w:t>
            </w:r>
          </w:p>
          <w:p w14:paraId="607EDD63">
            <w:pPr>
              <w:pStyle w:val="18"/>
              <w:rPr>
                <w:color w:val="auto"/>
              </w:rPr>
            </w:pPr>
            <w:r>
              <w:rPr>
                <w:rFonts w:hint="eastAsia"/>
                <w:color w:val="auto"/>
              </w:rPr>
              <w:t>在严格按照要求施工并采取严格的防尘抑尘等环保措施的情况下，拟建项目施工期不会造成环境空气污染。项目施工期影响虽然很难避免但是很小；施工期影响是短暂的，随施工期结束而结束。</w:t>
            </w:r>
          </w:p>
          <w:p w14:paraId="4C551841">
            <w:pPr>
              <w:pStyle w:val="18"/>
              <w:rPr>
                <w:color w:val="auto"/>
              </w:rPr>
            </w:pPr>
            <w:r>
              <w:rPr>
                <w:rFonts w:hint="eastAsia"/>
                <w:color w:val="auto"/>
              </w:rPr>
              <w:t>④建议采取的措施</w:t>
            </w:r>
          </w:p>
          <w:p w14:paraId="0537FDFA">
            <w:pPr>
              <w:pStyle w:val="18"/>
              <w:rPr>
                <w:color w:val="auto"/>
              </w:rPr>
            </w:pPr>
            <w:r>
              <w:rPr>
                <w:rFonts w:hint="eastAsia"/>
                <w:color w:val="auto"/>
              </w:rPr>
              <w:t>Ⅰ、尽量在少风季节进行场地整平挖掘作业，避免在干燥季节、大风气象条件下施工。</w:t>
            </w:r>
          </w:p>
          <w:p w14:paraId="13016F1C">
            <w:pPr>
              <w:pStyle w:val="18"/>
              <w:rPr>
                <w:color w:val="auto"/>
              </w:rPr>
            </w:pPr>
            <w:r>
              <w:rPr>
                <w:rFonts w:hint="eastAsia"/>
                <w:color w:val="auto"/>
              </w:rPr>
              <w:t>Ⅱ、施工中建筑物应用</w:t>
            </w:r>
            <w:r>
              <w:rPr>
                <w:rFonts w:hint="eastAsia"/>
                <w:color w:val="auto"/>
                <w:lang w:eastAsia="zh-CN"/>
              </w:rPr>
              <w:t>围栏</w:t>
            </w:r>
            <w:r>
              <w:rPr>
                <w:rFonts w:hint="eastAsia"/>
                <w:color w:val="auto"/>
              </w:rPr>
              <w:t>或屏挡封闭；脚手架在拆除前，先将水平网内、脚手架上的垃圾清理干净，清理时应避免扬尘。</w:t>
            </w:r>
          </w:p>
          <w:p w14:paraId="762CDE99">
            <w:pPr>
              <w:pStyle w:val="18"/>
              <w:rPr>
                <w:color w:val="auto"/>
              </w:rPr>
            </w:pPr>
            <w:r>
              <w:rPr>
                <w:rFonts w:hint="eastAsia"/>
                <w:color w:val="auto"/>
              </w:rPr>
              <w:t>Ⅲ、合理选择砂、石灰等堆料场位置，避开人群流动较为集中的场地，不要在开阔地或露天堆放，在干燥、大风天气实施洒水，提高料堆表面含水率，减少扬尘，大风天气应避免作业，尽量避免敞开式运输。</w:t>
            </w:r>
          </w:p>
          <w:p w14:paraId="4A0D77FF">
            <w:pPr>
              <w:pStyle w:val="18"/>
              <w:rPr>
                <w:color w:val="auto"/>
              </w:rPr>
            </w:pPr>
            <w:r>
              <w:rPr>
                <w:rFonts w:hint="eastAsia"/>
                <w:color w:val="auto"/>
              </w:rPr>
              <w:t>Ⅳ、建材堆放点要相对集中，并采取一定的防尘措施，抑制扬尘量。</w:t>
            </w:r>
          </w:p>
          <w:p w14:paraId="78EFD001">
            <w:pPr>
              <w:pStyle w:val="18"/>
              <w:rPr>
                <w:color w:val="auto"/>
              </w:rPr>
            </w:pPr>
            <w:r>
              <w:rPr>
                <w:rFonts w:hint="eastAsia"/>
                <w:color w:val="auto"/>
              </w:rPr>
              <w:t>Ⅴ、在施工场地清理阶段，做到先洒水，后清扫，防止扬尘产生。</w:t>
            </w:r>
          </w:p>
          <w:p w14:paraId="725F8DA7">
            <w:pPr>
              <w:pStyle w:val="18"/>
              <w:rPr>
                <w:color w:val="auto"/>
              </w:rPr>
            </w:pPr>
            <w:r>
              <w:rPr>
                <w:rFonts w:hint="eastAsia"/>
                <w:color w:val="auto"/>
              </w:rPr>
              <w:t>Ⅵ、开挖出的土石方应加上围栏，且表面用毡布覆盖，将多余弃土及时外运。</w:t>
            </w:r>
          </w:p>
          <w:p w14:paraId="2223822C">
            <w:pPr>
              <w:pStyle w:val="18"/>
              <w:rPr>
                <w:color w:val="auto"/>
              </w:rPr>
            </w:pPr>
            <w:r>
              <w:rPr>
                <w:rFonts w:hint="eastAsia"/>
                <w:color w:val="auto"/>
              </w:rPr>
              <w:t>Ⅶ、土方工程防尘措施：在进行干燥、易起尘的土方工程作业时，应辅以洒水压尘，尽量缩短起尘操作时间。遇到四级或四级以上大风天气，应停止土方作业，同时作业处覆以防尘网。</w:t>
            </w:r>
          </w:p>
          <w:p w14:paraId="16D35377">
            <w:pPr>
              <w:pStyle w:val="18"/>
              <w:rPr>
                <w:color w:val="auto"/>
              </w:rPr>
            </w:pPr>
            <w:r>
              <w:rPr>
                <w:rFonts w:hint="eastAsia"/>
                <w:color w:val="auto"/>
              </w:rPr>
              <w:t>Ⅷ、建筑垃圾的防尘管理措施：施工工程中产生的弃土、弃料及其他建筑垃圾，应及时清运。若在工地内堆置超过一周的，则应采取下列措施之一：</w:t>
            </w:r>
            <w:r>
              <w:rPr>
                <w:color w:val="auto"/>
              </w:rPr>
              <w:t>a</w:t>
            </w:r>
            <w:r>
              <w:rPr>
                <w:rFonts w:hint="eastAsia"/>
                <w:color w:val="auto"/>
                <w:lang w:eastAsia="zh-CN"/>
              </w:rPr>
              <w:t>）</w:t>
            </w:r>
            <w:r>
              <w:rPr>
                <w:rFonts w:hint="eastAsia"/>
                <w:color w:val="auto"/>
              </w:rPr>
              <w:t>覆盖防尘布、防尘网；</w:t>
            </w:r>
            <w:r>
              <w:rPr>
                <w:color w:val="auto"/>
              </w:rPr>
              <w:t>b</w:t>
            </w:r>
            <w:r>
              <w:rPr>
                <w:rFonts w:hint="eastAsia"/>
                <w:color w:val="auto"/>
                <w:lang w:eastAsia="zh-CN"/>
              </w:rPr>
              <w:t>）</w:t>
            </w:r>
            <w:r>
              <w:rPr>
                <w:rFonts w:hint="eastAsia"/>
                <w:color w:val="auto"/>
              </w:rPr>
              <w:t>定期喷洒抑尘剂；</w:t>
            </w:r>
            <w:r>
              <w:rPr>
                <w:color w:val="auto"/>
              </w:rPr>
              <w:t>c</w:t>
            </w:r>
            <w:r>
              <w:rPr>
                <w:rFonts w:hint="eastAsia"/>
                <w:color w:val="auto"/>
                <w:lang w:eastAsia="zh-CN"/>
              </w:rPr>
              <w:t>）</w:t>
            </w:r>
            <w:r>
              <w:rPr>
                <w:rFonts w:hint="eastAsia"/>
                <w:color w:val="auto"/>
              </w:rPr>
              <w:t>定期喷水压尘；</w:t>
            </w:r>
            <w:r>
              <w:rPr>
                <w:color w:val="auto"/>
              </w:rPr>
              <w:t>d</w:t>
            </w:r>
            <w:r>
              <w:rPr>
                <w:rFonts w:hint="eastAsia"/>
                <w:color w:val="auto"/>
                <w:lang w:eastAsia="zh-CN"/>
              </w:rPr>
              <w:t>）</w:t>
            </w:r>
            <w:r>
              <w:rPr>
                <w:rFonts w:hint="eastAsia"/>
                <w:color w:val="auto"/>
              </w:rPr>
              <w:t>其他有效的防尘措施。</w:t>
            </w:r>
          </w:p>
          <w:p w14:paraId="51B21050">
            <w:pPr>
              <w:pStyle w:val="18"/>
              <w:rPr>
                <w:color w:val="auto"/>
              </w:rPr>
            </w:pPr>
            <w:r>
              <w:rPr>
                <w:rFonts w:hint="eastAsia"/>
                <w:color w:val="auto"/>
              </w:rPr>
              <w:t>Ⅸ、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w:t>
            </w:r>
            <w:r>
              <w:rPr>
                <w:color w:val="auto"/>
              </w:rPr>
              <w:t>15cm</w:t>
            </w:r>
            <w:r>
              <w:rPr>
                <w:rFonts w:hint="eastAsia"/>
                <w:color w:val="auto"/>
              </w:rPr>
              <w:t>，保证物料、渣土、垃圾等不露出。车辆应按照批准的路线和时间进行物料、渣土、垃圾的运输。</w:t>
            </w:r>
          </w:p>
          <w:p w14:paraId="2ADECA71">
            <w:pPr>
              <w:pStyle w:val="18"/>
              <w:rPr>
                <w:color w:val="auto"/>
              </w:rPr>
            </w:pPr>
            <w:r>
              <w:rPr>
                <w:rFonts w:hint="eastAsia"/>
                <w:color w:val="auto"/>
              </w:rPr>
              <w:t>Ⅹ、对于工地内裸露地面，应采取下列防尘措施之一：</w:t>
            </w:r>
            <w:r>
              <w:rPr>
                <w:color w:val="auto"/>
              </w:rPr>
              <w:t>a</w:t>
            </w:r>
            <w:r>
              <w:rPr>
                <w:rFonts w:hint="eastAsia"/>
                <w:color w:val="auto"/>
              </w:rPr>
              <w:t>）覆盖防尘布或防尘网：</w:t>
            </w:r>
            <w:r>
              <w:rPr>
                <w:color w:val="auto"/>
              </w:rPr>
              <w:t>b</w:t>
            </w:r>
            <w:r>
              <w:rPr>
                <w:rFonts w:hint="eastAsia"/>
                <w:color w:val="auto"/>
                <w:lang w:eastAsia="zh-CN"/>
              </w:rPr>
              <w:t>）</w:t>
            </w:r>
            <w:r>
              <w:rPr>
                <w:rFonts w:hint="eastAsia"/>
                <w:color w:val="auto"/>
              </w:rPr>
              <w:t>铺设礁渣、细石或其他功能相当的材料；</w:t>
            </w:r>
            <w:r>
              <w:rPr>
                <w:color w:val="auto"/>
              </w:rPr>
              <w:t>c</w:t>
            </w:r>
            <w:r>
              <w:rPr>
                <w:rFonts w:hint="eastAsia"/>
                <w:color w:val="auto"/>
                <w:lang w:eastAsia="zh-CN"/>
              </w:rPr>
              <w:t>）</w:t>
            </w:r>
            <w:r>
              <w:rPr>
                <w:rFonts w:hint="eastAsia"/>
                <w:color w:val="auto"/>
              </w:rPr>
              <w:t>植被绿化；</w:t>
            </w:r>
            <w:r>
              <w:rPr>
                <w:color w:val="auto"/>
              </w:rPr>
              <w:t>d</w:t>
            </w:r>
            <w:r>
              <w:rPr>
                <w:rFonts w:hint="eastAsia"/>
                <w:color w:val="auto"/>
              </w:rPr>
              <w:t>）晴朗天气时，扬尘严重时应加大洒水频率。</w:t>
            </w:r>
          </w:p>
          <w:p w14:paraId="74E2555F">
            <w:pPr>
              <w:pStyle w:val="18"/>
              <w:rPr>
                <w:color w:val="auto"/>
              </w:rPr>
            </w:pPr>
            <w:r>
              <w:rPr>
                <w:rFonts w:hint="eastAsia"/>
                <w:color w:val="auto"/>
              </w:rPr>
              <w:t>Ⅺ、工地应设专职人员负责扬尘控制措施的实施和监督。由专人负责逸散性材料、垃圾、渣土、裸地等密闭、覆盖、洒水作业以及车辆清洗作业等，并记录扬尘控制措施的实施情况。</w:t>
            </w:r>
          </w:p>
          <w:p w14:paraId="3B6E28E1">
            <w:pPr>
              <w:pStyle w:val="18"/>
              <w:rPr>
                <w:color w:val="auto"/>
              </w:rPr>
            </w:pPr>
            <w:r>
              <w:rPr>
                <w:rFonts w:hint="eastAsia"/>
                <w:color w:val="auto"/>
              </w:rPr>
              <w:t>（2）</w:t>
            </w:r>
            <w:r>
              <w:rPr>
                <w:color w:val="auto"/>
              </w:rPr>
              <w:t>机械及运输车辆尾气</w:t>
            </w:r>
          </w:p>
          <w:p w14:paraId="54341CD3">
            <w:pPr>
              <w:pStyle w:val="18"/>
              <w:rPr>
                <w:rFonts w:hint="eastAsia"/>
                <w:color w:val="auto"/>
              </w:rPr>
            </w:pPr>
            <w:r>
              <w:rPr>
                <w:rFonts w:hint="eastAsia"/>
                <w:color w:val="auto"/>
              </w:rPr>
              <w:t>项目建设施工中使用大量的施工机械、材料运输车辆，使区域内尾气排放有所增加，主要污染因子为</w:t>
            </w:r>
            <w:r>
              <w:rPr>
                <w:color w:val="auto"/>
              </w:rPr>
              <w:t>CO</w:t>
            </w:r>
            <w:r>
              <w:rPr>
                <w:rFonts w:hint="eastAsia"/>
                <w:color w:val="auto"/>
              </w:rPr>
              <w:t>、</w:t>
            </w:r>
            <w:r>
              <w:rPr>
                <w:color w:val="auto"/>
              </w:rPr>
              <w:t>HC</w:t>
            </w:r>
            <w:r>
              <w:rPr>
                <w:rFonts w:hint="eastAsia"/>
                <w:color w:val="auto"/>
              </w:rPr>
              <w:t>、</w:t>
            </w:r>
            <w:r>
              <w:rPr>
                <w:color w:val="auto"/>
              </w:rPr>
              <w:t>NOx</w:t>
            </w:r>
            <w:r>
              <w:rPr>
                <w:rFonts w:hint="eastAsia"/>
                <w:color w:val="auto"/>
              </w:rPr>
              <w:t>等。施工机械所排放的废气在空间上和时间上具有较集中的特点，在</w:t>
            </w:r>
            <w:r>
              <w:rPr>
                <w:rFonts w:hint="eastAsia"/>
                <w:color w:val="auto"/>
                <w:lang w:eastAsia="zh-CN"/>
              </w:rPr>
              <w:t>局部</w:t>
            </w:r>
            <w:r>
              <w:rPr>
                <w:rFonts w:hint="eastAsia"/>
                <w:color w:val="auto"/>
              </w:rPr>
              <w:t>范围内污染物的浓度较高。在施工现场，会有如挖掘机、载重卡车等施工机械大量进入。据交通</w:t>
            </w:r>
            <w:r>
              <w:rPr>
                <w:rFonts w:hint="eastAsia"/>
                <w:color w:val="auto"/>
                <w:lang w:val="en-US" w:eastAsia="zh-CN"/>
              </w:rPr>
              <w:t>运输</w:t>
            </w:r>
            <w:r>
              <w:rPr>
                <w:rFonts w:hint="eastAsia"/>
                <w:color w:val="auto"/>
              </w:rPr>
              <w:t>部公路研究所的测算，以载重卡车为例，测得每辆卡车的尾气中含</w:t>
            </w:r>
            <w:r>
              <w:rPr>
                <w:color w:val="auto"/>
              </w:rPr>
              <w:t>CO</w:t>
            </w:r>
            <w:r>
              <w:rPr>
                <w:rFonts w:hint="eastAsia"/>
                <w:color w:val="auto"/>
              </w:rPr>
              <w:t>：</w:t>
            </w:r>
            <w:r>
              <w:rPr>
                <w:color w:val="auto"/>
              </w:rPr>
              <w:t>37.23g/km·</w:t>
            </w:r>
            <w:r>
              <w:rPr>
                <w:rFonts w:hint="eastAsia"/>
                <w:color w:val="auto"/>
              </w:rPr>
              <w:t>辆，</w:t>
            </w:r>
            <w:r>
              <w:rPr>
                <w:color w:val="auto"/>
              </w:rPr>
              <w:t>CnHm</w:t>
            </w:r>
            <w:r>
              <w:rPr>
                <w:rFonts w:hint="eastAsia"/>
                <w:color w:val="auto"/>
              </w:rPr>
              <w:t>：</w:t>
            </w:r>
            <w:r>
              <w:rPr>
                <w:color w:val="auto"/>
              </w:rPr>
              <w:t>15.98g/km·</w:t>
            </w:r>
            <w:r>
              <w:rPr>
                <w:rFonts w:hint="eastAsia"/>
                <w:color w:val="auto"/>
              </w:rPr>
              <w:t>辆，</w:t>
            </w:r>
            <w:r>
              <w:rPr>
                <w:color w:val="auto"/>
              </w:rPr>
              <w:t>NO</w:t>
            </w:r>
            <w:r>
              <w:rPr>
                <w:color w:val="auto"/>
                <w:vertAlign w:val="subscript"/>
              </w:rPr>
              <w:t>X</w:t>
            </w:r>
            <w:r>
              <w:rPr>
                <w:rFonts w:hint="eastAsia"/>
                <w:color w:val="auto"/>
              </w:rPr>
              <w:t>：</w:t>
            </w:r>
            <w:r>
              <w:rPr>
                <w:color w:val="auto"/>
              </w:rPr>
              <w:t>16.83g/km·</w:t>
            </w:r>
            <w:r>
              <w:rPr>
                <w:rFonts w:hint="eastAsia"/>
                <w:color w:val="auto"/>
              </w:rPr>
              <w:t>辆。这些施工机械所排放的废气以无组织面源的形式排放，会对城区的大气环境造成不利影响，但施工结束后，废气影响也随之消失，不会造成长期的影响。</w:t>
            </w:r>
          </w:p>
          <w:p w14:paraId="32E89B86">
            <w:pPr>
              <w:pStyle w:val="18"/>
              <w:rPr>
                <w:b/>
                <w:bCs/>
                <w:color w:val="auto"/>
              </w:rPr>
            </w:pPr>
            <w:r>
              <w:rPr>
                <w:rFonts w:hint="eastAsia"/>
                <w:b/>
                <w:bCs/>
                <w:color w:val="auto"/>
                <w:lang w:eastAsia="zh-CN"/>
              </w:rPr>
              <w:t>2、</w:t>
            </w:r>
            <w:r>
              <w:rPr>
                <w:b/>
                <w:bCs/>
                <w:color w:val="auto"/>
              </w:rPr>
              <w:t>水环境影响分析</w:t>
            </w:r>
          </w:p>
          <w:p w14:paraId="3EED5B81">
            <w:pPr>
              <w:pStyle w:val="18"/>
              <w:rPr>
                <w:color w:val="auto"/>
              </w:rPr>
            </w:pPr>
            <w:r>
              <w:rPr>
                <w:rFonts w:hint="eastAsia"/>
                <w:color w:val="auto"/>
              </w:rPr>
              <w:t>施工期的废水主要来自建筑施工废水和部分工人的</w:t>
            </w:r>
            <w:r>
              <w:rPr>
                <w:rFonts w:hint="eastAsia"/>
                <w:color w:val="auto"/>
                <w:lang w:eastAsia="zh-CN"/>
              </w:rPr>
              <w:t>生活污水</w:t>
            </w:r>
            <w:r>
              <w:rPr>
                <w:rFonts w:hint="eastAsia"/>
                <w:color w:val="auto"/>
              </w:rPr>
              <w:t>。建筑废水主要来自施工过程中的混凝土养护等施工工序，废水量不大。建筑施工废水多为无机废水，除悬浮物含量较高外，一般不含有毒有害物质，修建临时沉淀池，处理后回用，不外排；生活污水设环保厕所，因此施工期的废水对周围环境的影响不大，并随着施工期的完成而消除。</w:t>
            </w:r>
          </w:p>
          <w:p w14:paraId="51268B67">
            <w:pPr>
              <w:pStyle w:val="18"/>
              <w:rPr>
                <w:color w:val="auto"/>
              </w:rPr>
            </w:pPr>
            <w:r>
              <w:rPr>
                <w:rFonts w:hint="eastAsia"/>
                <w:color w:val="auto"/>
              </w:rPr>
              <w:t>废水影响减缓措施：</w:t>
            </w:r>
          </w:p>
          <w:p w14:paraId="3D11DE3D">
            <w:pPr>
              <w:pStyle w:val="18"/>
              <w:rPr>
                <w:color w:val="auto"/>
              </w:rPr>
            </w:pPr>
            <w:r>
              <w:rPr>
                <w:rFonts w:hint="eastAsia"/>
                <w:color w:val="auto"/>
              </w:rPr>
              <w:t>（</w:t>
            </w:r>
            <w:r>
              <w:rPr>
                <w:color w:val="auto"/>
              </w:rPr>
              <w:t>1</w:t>
            </w:r>
            <w:r>
              <w:rPr>
                <w:rFonts w:hint="eastAsia"/>
                <w:color w:val="auto"/>
              </w:rPr>
              <w:t>）针对施工期施工人员日常生活排放的生活</w:t>
            </w:r>
            <w:r>
              <w:rPr>
                <w:rFonts w:hint="eastAsia"/>
                <w:color w:val="auto"/>
                <w:lang w:val="en-US" w:eastAsia="zh-CN"/>
              </w:rPr>
              <w:t>污水</w:t>
            </w:r>
            <w:r>
              <w:rPr>
                <w:rFonts w:hint="eastAsia"/>
                <w:color w:val="auto"/>
              </w:rPr>
              <w:t>，建设临时环保厕所。</w:t>
            </w:r>
          </w:p>
          <w:p w14:paraId="4A75F7CF">
            <w:pPr>
              <w:pStyle w:val="18"/>
              <w:rPr>
                <w:color w:val="auto"/>
              </w:rPr>
            </w:pPr>
            <w:r>
              <w:rPr>
                <w:rFonts w:hint="eastAsia"/>
                <w:color w:val="auto"/>
              </w:rPr>
              <w:t>（</w:t>
            </w:r>
            <w:r>
              <w:rPr>
                <w:color w:val="auto"/>
              </w:rPr>
              <w:t>2</w:t>
            </w:r>
            <w:r>
              <w:rPr>
                <w:rFonts w:hint="eastAsia"/>
                <w:color w:val="auto"/>
              </w:rPr>
              <w:t>）针对施工过程产生的工程废水，施工期主要道路应采用砼或</w:t>
            </w:r>
            <w:r>
              <w:rPr>
                <w:rFonts w:hint="eastAsia"/>
                <w:color w:val="auto"/>
                <w:lang w:eastAsia="zh-CN"/>
              </w:rPr>
              <w:t>其他</w:t>
            </w:r>
            <w:r>
              <w:rPr>
                <w:rFonts w:hint="eastAsia"/>
                <w:color w:val="auto"/>
              </w:rPr>
              <w:t>硬化处理，场地四周敷设排水沟（管），并修建临时沉淀池，将含</w:t>
            </w:r>
            <w:r>
              <w:rPr>
                <w:color w:val="auto"/>
              </w:rPr>
              <w:t>SS</w:t>
            </w:r>
            <w:r>
              <w:rPr>
                <w:rFonts w:hint="eastAsia"/>
                <w:color w:val="auto"/>
              </w:rPr>
              <w:t>、微量机油的雨水以及进出施工场地的车辆清洗废水排入防渗储存池进行沉淀澄清处理后回用，不能随意排放。</w:t>
            </w:r>
          </w:p>
          <w:p w14:paraId="67E53AC7">
            <w:pPr>
              <w:pStyle w:val="18"/>
              <w:rPr>
                <w:color w:val="auto"/>
              </w:rPr>
            </w:pPr>
            <w:r>
              <w:rPr>
                <w:rFonts w:hint="eastAsia"/>
                <w:color w:val="auto"/>
                <w:lang w:eastAsia="zh-CN"/>
              </w:rPr>
              <w:t>3.</w:t>
            </w:r>
            <w:r>
              <w:rPr>
                <w:color w:val="auto"/>
              </w:rPr>
              <w:t>声环境影响分析</w:t>
            </w:r>
          </w:p>
          <w:p w14:paraId="4258EBFC">
            <w:pPr>
              <w:pStyle w:val="18"/>
              <w:rPr>
                <w:color w:val="auto"/>
              </w:rPr>
            </w:pPr>
            <w:r>
              <w:rPr>
                <w:color w:val="auto"/>
              </w:rPr>
              <w:t>本项目施工期噪声主要为</w:t>
            </w:r>
            <w:r>
              <w:rPr>
                <w:rFonts w:hint="eastAsia"/>
                <w:color w:val="auto"/>
              </w:rPr>
              <w:t>场地基础挖掘、主体建筑施工建设碰撞和运输噪声等</w:t>
            </w:r>
            <w:r>
              <w:rPr>
                <w:color w:val="auto"/>
              </w:rPr>
              <w:t>，均为间歇声源，噪声值在95~105dB（A）之间。自然环境中噪声随着距离的衰减按下式计算：</w:t>
            </w:r>
          </w:p>
          <w:p w14:paraId="01ADBFF2">
            <w:pPr>
              <w:pStyle w:val="18"/>
              <w:rPr>
                <w:color w:val="auto"/>
              </w:rPr>
            </w:pPr>
            <w:r>
              <w:rPr>
                <w:color w:val="auto"/>
              </w:rPr>
              <w:t>L</w:t>
            </w:r>
            <w:r>
              <w:rPr>
                <w:rFonts w:hint="eastAsia"/>
                <w:color w:val="auto"/>
                <w:lang w:eastAsia="zh-CN"/>
              </w:rPr>
              <w:t>(</w:t>
            </w:r>
            <w:r>
              <w:rPr>
                <w:color w:val="auto"/>
              </w:rPr>
              <w:t>r</w:t>
            </w:r>
            <w:r>
              <w:rPr>
                <w:rFonts w:hint="eastAsia"/>
                <w:color w:val="auto"/>
                <w:lang w:eastAsia="zh-CN"/>
              </w:rPr>
              <w:t>)</w:t>
            </w:r>
            <w:r>
              <w:rPr>
                <w:color w:val="auto"/>
              </w:rPr>
              <w:t>=L</w:t>
            </w:r>
            <w:r>
              <w:rPr>
                <w:rFonts w:hint="eastAsia"/>
                <w:color w:val="auto"/>
                <w:lang w:eastAsia="zh-CN"/>
              </w:rPr>
              <w:t>(</w:t>
            </w:r>
            <w:r>
              <w:rPr>
                <w:color w:val="auto"/>
              </w:rPr>
              <w:t>r0</w:t>
            </w:r>
            <w:r>
              <w:rPr>
                <w:rFonts w:hint="eastAsia"/>
                <w:color w:val="auto"/>
                <w:lang w:eastAsia="zh-CN"/>
              </w:rPr>
              <w:t>)</w:t>
            </w:r>
            <w:r>
              <w:rPr>
                <w:color w:val="auto"/>
              </w:rPr>
              <w:t>-20Lg</w:t>
            </w:r>
            <w:r>
              <w:rPr>
                <w:rFonts w:hint="eastAsia"/>
                <w:color w:val="auto"/>
                <w:lang w:eastAsia="zh-CN"/>
              </w:rPr>
              <w:t>(</w:t>
            </w:r>
            <w:r>
              <w:rPr>
                <w:color w:val="auto"/>
              </w:rPr>
              <w:t>r/r0</w:t>
            </w:r>
            <w:r>
              <w:rPr>
                <w:rFonts w:hint="eastAsia"/>
                <w:color w:val="auto"/>
                <w:lang w:eastAsia="zh-CN"/>
              </w:rPr>
              <w:t>)</w:t>
            </w:r>
          </w:p>
          <w:p w14:paraId="0B25388D">
            <w:pPr>
              <w:pStyle w:val="18"/>
              <w:rPr>
                <w:color w:val="auto"/>
              </w:rPr>
            </w:pPr>
            <w:r>
              <w:rPr>
                <w:color w:val="auto"/>
              </w:rPr>
              <w:t>式中：Lp—评价点噪声预测值，分贝；</w:t>
            </w:r>
          </w:p>
          <w:p w14:paraId="24E634FD">
            <w:pPr>
              <w:pStyle w:val="18"/>
              <w:rPr>
                <w:color w:val="auto"/>
              </w:rPr>
            </w:pPr>
            <w:r>
              <w:rPr>
                <w:color w:val="auto"/>
              </w:rPr>
              <w:t>Lp0—位置P0处的声级，分贝；</w:t>
            </w:r>
          </w:p>
          <w:p w14:paraId="1C7A3344">
            <w:pPr>
              <w:pStyle w:val="18"/>
              <w:rPr>
                <w:color w:val="auto"/>
              </w:rPr>
            </w:pPr>
            <w:r>
              <w:rPr>
                <w:color w:val="auto"/>
              </w:rPr>
              <w:t>R—预测点距声源距离，米；</w:t>
            </w:r>
          </w:p>
          <w:p w14:paraId="4CDEED78">
            <w:pPr>
              <w:pStyle w:val="18"/>
              <w:rPr>
                <w:color w:val="auto"/>
              </w:rPr>
            </w:pPr>
            <w:r>
              <w:rPr>
                <w:color w:val="auto"/>
              </w:rPr>
              <w:t>r0—为参考点距离声源距离，米；</w:t>
            </w:r>
          </w:p>
          <w:p w14:paraId="78D12D14">
            <w:pPr>
              <w:pStyle w:val="18"/>
              <w:rPr>
                <w:color w:val="auto"/>
              </w:rPr>
            </w:pPr>
            <w:r>
              <w:rPr>
                <w:color w:val="auto"/>
              </w:rPr>
              <w:t>各种施工设备在施工时随距离的衰减见表</w:t>
            </w:r>
            <w:r>
              <w:rPr>
                <w:rFonts w:hint="eastAsia"/>
                <w:color w:val="auto"/>
              </w:rPr>
              <w:t>4-1</w:t>
            </w:r>
            <w:r>
              <w:rPr>
                <w:color w:val="auto"/>
              </w:rPr>
              <w:t>。</w:t>
            </w:r>
          </w:p>
          <w:p w14:paraId="72575E72">
            <w:pPr>
              <w:rPr>
                <w:color w:val="auto"/>
              </w:rPr>
            </w:pPr>
          </w:p>
          <w:p w14:paraId="6B5075B7">
            <w:pPr>
              <w:rPr>
                <w:color w:val="auto"/>
              </w:rPr>
            </w:pPr>
          </w:p>
          <w:p w14:paraId="034C6C09">
            <w:pPr>
              <w:rPr>
                <w:color w:val="auto"/>
              </w:rPr>
            </w:pPr>
          </w:p>
          <w:p w14:paraId="36177A73">
            <w:pPr>
              <w:shd w:val="clear" w:color="auto" w:fill="FFFFFF" w:themeFill="background1"/>
              <w:autoSpaceDE w:val="0"/>
              <w:autoSpaceDN w:val="0"/>
              <w:adjustRightInd w:val="0"/>
              <w:snapToGrid w:val="0"/>
              <w:ind w:firstLine="422"/>
              <w:jc w:val="center"/>
              <w:rPr>
                <w:rFonts w:hint="default"/>
                <w:b/>
                <w:bCs/>
                <w:color w:val="auto"/>
                <w:kern w:val="0"/>
                <w:szCs w:val="21"/>
                <w:lang w:val="en-US" w:eastAsia="zh-CN"/>
              </w:rPr>
            </w:pPr>
            <w:r>
              <w:rPr>
                <w:rFonts w:hint="default"/>
                <w:b/>
                <w:bCs/>
                <w:color w:val="auto"/>
                <w:kern w:val="0"/>
                <w:szCs w:val="21"/>
                <w:lang w:val="en-US" w:eastAsia="zh-CN"/>
              </w:rPr>
              <w:t>表</w:t>
            </w:r>
            <w:r>
              <w:rPr>
                <w:rFonts w:hint="eastAsia"/>
                <w:b/>
                <w:bCs/>
                <w:color w:val="auto"/>
                <w:kern w:val="0"/>
                <w:szCs w:val="21"/>
                <w:lang w:val="en-US" w:eastAsia="zh-CN"/>
              </w:rPr>
              <w:t>4-1</w:t>
            </w:r>
            <w:r>
              <w:rPr>
                <w:rFonts w:hint="default"/>
                <w:b/>
                <w:bCs/>
                <w:color w:val="auto"/>
                <w:kern w:val="0"/>
                <w:szCs w:val="21"/>
                <w:lang w:val="en-US" w:eastAsia="zh-CN"/>
              </w:rPr>
              <w:t>施工设备噪声的衰减单位：dB(A)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349"/>
              <w:gridCol w:w="630"/>
              <w:gridCol w:w="629"/>
              <w:gridCol w:w="694"/>
              <w:gridCol w:w="692"/>
              <w:gridCol w:w="692"/>
              <w:gridCol w:w="692"/>
              <w:gridCol w:w="692"/>
              <w:gridCol w:w="692"/>
              <w:gridCol w:w="687"/>
            </w:tblGrid>
            <w:tr w14:paraId="598E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Merge w:val="restart"/>
                  <w:vAlign w:val="center"/>
                </w:tcPr>
                <w:p w14:paraId="4BCFBE84">
                  <w:pPr>
                    <w:jc w:val="center"/>
                    <w:rPr>
                      <w:rFonts w:hint="eastAsia"/>
                      <w:color w:val="auto"/>
                    </w:rPr>
                  </w:pPr>
                  <w:r>
                    <w:rPr>
                      <w:rFonts w:hint="eastAsia"/>
                      <w:color w:val="auto"/>
                    </w:rPr>
                    <w:t>序号</w:t>
                  </w:r>
                </w:p>
              </w:tc>
              <w:tc>
                <w:tcPr>
                  <w:tcW w:w="849" w:type="pct"/>
                  <w:vMerge w:val="restart"/>
                  <w:vAlign w:val="center"/>
                </w:tcPr>
                <w:p w14:paraId="62BFCB96">
                  <w:pPr>
                    <w:jc w:val="center"/>
                    <w:rPr>
                      <w:rFonts w:hint="eastAsia"/>
                      <w:color w:val="auto"/>
                    </w:rPr>
                  </w:pPr>
                  <w:r>
                    <w:rPr>
                      <w:rFonts w:hint="eastAsia"/>
                      <w:color w:val="auto"/>
                    </w:rPr>
                    <w:t>声源</w:t>
                  </w:r>
                </w:p>
                <w:p w14:paraId="579B850D">
                  <w:pPr>
                    <w:jc w:val="center"/>
                    <w:rPr>
                      <w:rFonts w:hint="eastAsia"/>
                      <w:color w:val="auto"/>
                    </w:rPr>
                  </w:pPr>
                  <w:r>
                    <w:rPr>
                      <w:rFonts w:hint="eastAsia"/>
                      <w:color w:val="auto"/>
                    </w:rPr>
                    <w:t>名称</w:t>
                  </w:r>
                </w:p>
              </w:tc>
              <w:tc>
                <w:tcPr>
                  <w:tcW w:w="396" w:type="pct"/>
                  <w:vMerge w:val="restart"/>
                  <w:vAlign w:val="center"/>
                </w:tcPr>
                <w:p w14:paraId="1D7A3DDC">
                  <w:pPr>
                    <w:jc w:val="center"/>
                    <w:rPr>
                      <w:rFonts w:hint="eastAsia"/>
                      <w:color w:val="auto"/>
                    </w:rPr>
                  </w:pPr>
                  <w:r>
                    <w:rPr>
                      <w:rFonts w:hint="eastAsia"/>
                      <w:color w:val="auto"/>
                    </w:rPr>
                    <w:t>噪声</w:t>
                  </w:r>
                </w:p>
                <w:p w14:paraId="3CC7B53D">
                  <w:pPr>
                    <w:jc w:val="center"/>
                    <w:rPr>
                      <w:rFonts w:hint="eastAsia"/>
                      <w:color w:val="auto"/>
                    </w:rPr>
                  </w:pPr>
                  <w:r>
                    <w:rPr>
                      <w:rFonts w:hint="eastAsia"/>
                      <w:color w:val="auto"/>
                    </w:rPr>
                    <w:t>强度</w:t>
                  </w:r>
                </w:p>
              </w:tc>
              <w:tc>
                <w:tcPr>
                  <w:tcW w:w="3446" w:type="pct"/>
                  <w:gridSpan w:val="8"/>
                  <w:vAlign w:val="center"/>
                </w:tcPr>
                <w:p w14:paraId="5AED89E7">
                  <w:pPr>
                    <w:jc w:val="center"/>
                    <w:rPr>
                      <w:rFonts w:hint="eastAsia"/>
                      <w:color w:val="auto"/>
                    </w:rPr>
                  </w:pPr>
                  <w:r>
                    <w:rPr>
                      <w:rFonts w:hint="eastAsia"/>
                      <w:color w:val="auto"/>
                    </w:rPr>
                    <w:t>距声源不同距离处的噪声值</w:t>
                  </w:r>
                </w:p>
              </w:tc>
            </w:tr>
            <w:tr w14:paraId="007B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Merge w:val="continue"/>
                  <w:vAlign w:val="center"/>
                </w:tcPr>
                <w:p w14:paraId="5755E2B1">
                  <w:pPr>
                    <w:jc w:val="center"/>
                    <w:rPr>
                      <w:rFonts w:hint="eastAsia"/>
                      <w:color w:val="auto"/>
                    </w:rPr>
                  </w:pPr>
                </w:p>
              </w:tc>
              <w:tc>
                <w:tcPr>
                  <w:tcW w:w="849" w:type="pct"/>
                  <w:vMerge w:val="continue"/>
                  <w:vAlign w:val="center"/>
                </w:tcPr>
                <w:p w14:paraId="15615582">
                  <w:pPr>
                    <w:jc w:val="center"/>
                    <w:rPr>
                      <w:rFonts w:hint="eastAsia"/>
                      <w:color w:val="auto"/>
                    </w:rPr>
                  </w:pPr>
                </w:p>
              </w:tc>
              <w:tc>
                <w:tcPr>
                  <w:tcW w:w="396" w:type="pct"/>
                  <w:vMerge w:val="continue"/>
                  <w:vAlign w:val="center"/>
                </w:tcPr>
                <w:p w14:paraId="609A2DEC">
                  <w:pPr>
                    <w:jc w:val="center"/>
                    <w:rPr>
                      <w:rFonts w:hint="eastAsia"/>
                      <w:color w:val="auto"/>
                    </w:rPr>
                  </w:pPr>
                </w:p>
              </w:tc>
              <w:tc>
                <w:tcPr>
                  <w:tcW w:w="396" w:type="pct"/>
                  <w:vAlign w:val="center"/>
                </w:tcPr>
                <w:p w14:paraId="744152F1">
                  <w:pPr>
                    <w:jc w:val="center"/>
                    <w:rPr>
                      <w:rFonts w:hint="eastAsia"/>
                      <w:color w:val="auto"/>
                    </w:rPr>
                  </w:pPr>
                  <w:r>
                    <w:rPr>
                      <w:rFonts w:hint="eastAsia"/>
                      <w:color w:val="auto"/>
                    </w:rPr>
                    <w:t>20m</w:t>
                  </w:r>
                </w:p>
              </w:tc>
              <w:tc>
                <w:tcPr>
                  <w:tcW w:w="437" w:type="pct"/>
                  <w:vAlign w:val="center"/>
                </w:tcPr>
                <w:p w14:paraId="0ABD59FD">
                  <w:pPr>
                    <w:jc w:val="center"/>
                    <w:rPr>
                      <w:rFonts w:hint="eastAsia"/>
                      <w:color w:val="auto"/>
                    </w:rPr>
                  </w:pPr>
                  <w:r>
                    <w:rPr>
                      <w:rFonts w:hint="eastAsia"/>
                      <w:color w:val="auto"/>
                    </w:rPr>
                    <w:t>40m</w:t>
                  </w:r>
                </w:p>
              </w:tc>
              <w:tc>
                <w:tcPr>
                  <w:tcW w:w="435" w:type="pct"/>
                  <w:vAlign w:val="center"/>
                </w:tcPr>
                <w:p w14:paraId="29023514">
                  <w:pPr>
                    <w:jc w:val="center"/>
                    <w:rPr>
                      <w:rFonts w:hint="eastAsia"/>
                      <w:color w:val="auto"/>
                    </w:rPr>
                  </w:pPr>
                  <w:r>
                    <w:rPr>
                      <w:rFonts w:hint="eastAsia"/>
                      <w:color w:val="auto"/>
                    </w:rPr>
                    <w:t>60m</w:t>
                  </w:r>
                </w:p>
              </w:tc>
              <w:tc>
                <w:tcPr>
                  <w:tcW w:w="435" w:type="pct"/>
                  <w:vAlign w:val="center"/>
                </w:tcPr>
                <w:p w14:paraId="1B2157DB">
                  <w:pPr>
                    <w:jc w:val="center"/>
                    <w:rPr>
                      <w:rFonts w:hint="eastAsia"/>
                      <w:color w:val="auto"/>
                    </w:rPr>
                  </w:pPr>
                  <w:r>
                    <w:rPr>
                      <w:rFonts w:hint="eastAsia"/>
                      <w:color w:val="auto"/>
                    </w:rPr>
                    <w:t>80m</w:t>
                  </w:r>
                </w:p>
              </w:tc>
              <w:tc>
                <w:tcPr>
                  <w:tcW w:w="435" w:type="pct"/>
                  <w:vAlign w:val="center"/>
                </w:tcPr>
                <w:p w14:paraId="76EC292E">
                  <w:pPr>
                    <w:jc w:val="center"/>
                    <w:rPr>
                      <w:rFonts w:hint="eastAsia"/>
                      <w:color w:val="auto"/>
                    </w:rPr>
                  </w:pPr>
                  <w:r>
                    <w:rPr>
                      <w:rFonts w:hint="eastAsia"/>
                      <w:color w:val="auto"/>
                    </w:rPr>
                    <w:t>100m</w:t>
                  </w:r>
                </w:p>
              </w:tc>
              <w:tc>
                <w:tcPr>
                  <w:tcW w:w="435" w:type="pct"/>
                  <w:vAlign w:val="center"/>
                </w:tcPr>
                <w:p w14:paraId="275BD295">
                  <w:pPr>
                    <w:jc w:val="center"/>
                    <w:rPr>
                      <w:rFonts w:hint="eastAsia"/>
                      <w:color w:val="auto"/>
                    </w:rPr>
                  </w:pPr>
                  <w:r>
                    <w:rPr>
                      <w:rFonts w:hint="eastAsia"/>
                      <w:color w:val="auto"/>
                    </w:rPr>
                    <w:t>150m</w:t>
                  </w:r>
                </w:p>
              </w:tc>
              <w:tc>
                <w:tcPr>
                  <w:tcW w:w="435" w:type="pct"/>
                  <w:vAlign w:val="center"/>
                </w:tcPr>
                <w:p w14:paraId="3B3A9FBD">
                  <w:pPr>
                    <w:jc w:val="center"/>
                    <w:rPr>
                      <w:rFonts w:hint="eastAsia"/>
                      <w:color w:val="auto"/>
                    </w:rPr>
                  </w:pPr>
                  <w:r>
                    <w:rPr>
                      <w:rFonts w:hint="eastAsia"/>
                      <w:color w:val="auto"/>
                    </w:rPr>
                    <w:t>300m</w:t>
                  </w:r>
                </w:p>
              </w:tc>
              <w:tc>
                <w:tcPr>
                  <w:tcW w:w="432" w:type="pct"/>
                  <w:vAlign w:val="center"/>
                </w:tcPr>
                <w:p w14:paraId="21ED9082">
                  <w:pPr>
                    <w:jc w:val="center"/>
                    <w:rPr>
                      <w:rFonts w:hint="eastAsia"/>
                      <w:color w:val="auto"/>
                    </w:rPr>
                  </w:pPr>
                  <w:r>
                    <w:rPr>
                      <w:rFonts w:hint="eastAsia"/>
                      <w:color w:val="auto"/>
                    </w:rPr>
                    <w:t>500m</w:t>
                  </w:r>
                </w:p>
              </w:tc>
            </w:tr>
            <w:tr w14:paraId="57C5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374B00AE">
                  <w:pPr>
                    <w:jc w:val="center"/>
                    <w:rPr>
                      <w:rFonts w:hint="eastAsia"/>
                      <w:color w:val="auto"/>
                    </w:rPr>
                  </w:pPr>
                  <w:r>
                    <w:rPr>
                      <w:rFonts w:hint="eastAsia"/>
                      <w:color w:val="auto"/>
                    </w:rPr>
                    <w:t>1</w:t>
                  </w:r>
                </w:p>
              </w:tc>
              <w:tc>
                <w:tcPr>
                  <w:tcW w:w="849" w:type="pct"/>
                  <w:vAlign w:val="center"/>
                </w:tcPr>
                <w:p w14:paraId="0BC2D408">
                  <w:pPr>
                    <w:jc w:val="center"/>
                    <w:rPr>
                      <w:rFonts w:hint="eastAsia"/>
                      <w:color w:val="auto"/>
                    </w:rPr>
                  </w:pPr>
                  <w:r>
                    <w:rPr>
                      <w:rFonts w:hint="eastAsia"/>
                      <w:color w:val="auto"/>
                    </w:rPr>
                    <w:t>挖掘机</w:t>
                  </w:r>
                </w:p>
              </w:tc>
              <w:tc>
                <w:tcPr>
                  <w:tcW w:w="396" w:type="pct"/>
                  <w:vAlign w:val="center"/>
                </w:tcPr>
                <w:p w14:paraId="4D3B93D1">
                  <w:pPr>
                    <w:jc w:val="center"/>
                    <w:rPr>
                      <w:rFonts w:hint="eastAsia"/>
                      <w:color w:val="auto"/>
                    </w:rPr>
                  </w:pPr>
                  <w:r>
                    <w:rPr>
                      <w:rFonts w:hint="eastAsia"/>
                      <w:color w:val="auto"/>
                    </w:rPr>
                    <w:t>87</w:t>
                  </w:r>
                </w:p>
              </w:tc>
              <w:tc>
                <w:tcPr>
                  <w:tcW w:w="396" w:type="pct"/>
                  <w:vAlign w:val="center"/>
                </w:tcPr>
                <w:p w14:paraId="4C943B73">
                  <w:pPr>
                    <w:jc w:val="center"/>
                    <w:rPr>
                      <w:rFonts w:hint="eastAsia"/>
                      <w:color w:val="auto"/>
                    </w:rPr>
                  </w:pPr>
                  <w:r>
                    <w:rPr>
                      <w:rFonts w:hint="eastAsia"/>
                      <w:color w:val="auto"/>
                    </w:rPr>
                    <w:t>61</w:t>
                  </w:r>
                </w:p>
              </w:tc>
              <w:tc>
                <w:tcPr>
                  <w:tcW w:w="437" w:type="pct"/>
                  <w:vAlign w:val="center"/>
                </w:tcPr>
                <w:p w14:paraId="7EB0B4DF">
                  <w:pPr>
                    <w:jc w:val="center"/>
                    <w:rPr>
                      <w:rFonts w:hint="eastAsia"/>
                      <w:color w:val="auto"/>
                    </w:rPr>
                  </w:pPr>
                  <w:r>
                    <w:rPr>
                      <w:rFonts w:hint="eastAsia"/>
                      <w:color w:val="auto"/>
                    </w:rPr>
                    <w:t>55</w:t>
                  </w:r>
                </w:p>
              </w:tc>
              <w:tc>
                <w:tcPr>
                  <w:tcW w:w="435" w:type="pct"/>
                  <w:vAlign w:val="center"/>
                </w:tcPr>
                <w:p w14:paraId="559F7A65">
                  <w:pPr>
                    <w:jc w:val="center"/>
                    <w:rPr>
                      <w:rFonts w:hint="eastAsia"/>
                      <w:color w:val="auto"/>
                    </w:rPr>
                  </w:pPr>
                  <w:r>
                    <w:rPr>
                      <w:rFonts w:hint="eastAsia"/>
                      <w:color w:val="auto"/>
                    </w:rPr>
                    <w:t>51</w:t>
                  </w:r>
                </w:p>
              </w:tc>
              <w:tc>
                <w:tcPr>
                  <w:tcW w:w="435" w:type="pct"/>
                  <w:vAlign w:val="center"/>
                </w:tcPr>
                <w:p w14:paraId="7F80BA44">
                  <w:pPr>
                    <w:jc w:val="center"/>
                    <w:rPr>
                      <w:rFonts w:hint="eastAsia"/>
                      <w:color w:val="auto"/>
                    </w:rPr>
                  </w:pPr>
                  <w:r>
                    <w:rPr>
                      <w:rFonts w:hint="eastAsia"/>
                      <w:color w:val="auto"/>
                    </w:rPr>
                    <w:t>49</w:t>
                  </w:r>
                </w:p>
              </w:tc>
              <w:tc>
                <w:tcPr>
                  <w:tcW w:w="435" w:type="pct"/>
                  <w:vAlign w:val="center"/>
                </w:tcPr>
                <w:p w14:paraId="45E925B6">
                  <w:pPr>
                    <w:jc w:val="center"/>
                    <w:rPr>
                      <w:rFonts w:hint="eastAsia"/>
                      <w:color w:val="auto"/>
                    </w:rPr>
                  </w:pPr>
                  <w:r>
                    <w:rPr>
                      <w:rFonts w:hint="eastAsia"/>
                      <w:color w:val="auto"/>
                    </w:rPr>
                    <w:t>47</w:t>
                  </w:r>
                </w:p>
              </w:tc>
              <w:tc>
                <w:tcPr>
                  <w:tcW w:w="435" w:type="pct"/>
                  <w:vAlign w:val="center"/>
                </w:tcPr>
                <w:p w14:paraId="64A5803E">
                  <w:pPr>
                    <w:jc w:val="center"/>
                    <w:rPr>
                      <w:rFonts w:hint="eastAsia"/>
                      <w:color w:val="auto"/>
                    </w:rPr>
                  </w:pPr>
                  <w:r>
                    <w:rPr>
                      <w:rFonts w:hint="eastAsia"/>
                      <w:color w:val="auto"/>
                    </w:rPr>
                    <w:t>43</w:t>
                  </w:r>
                </w:p>
              </w:tc>
              <w:tc>
                <w:tcPr>
                  <w:tcW w:w="435" w:type="pct"/>
                  <w:vAlign w:val="center"/>
                </w:tcPr>
                <w:p w14:paraId="33A7AC3F">
                  <w:pPr>
                    <w:jc w:val="center"/>
                    <w:rPr>
                      <w:rFonts w:hint="eastAsia"/>
                      <w:color w:val="auto"/>
                    </w:rPr>
                  </w:pPr>
                  <w:r>
                    <w:rPr>
                      <w:rFonts w:hint="eastAsia"/>
                      <w:color w:val="auto"/>
                    </w:rPr>
                    <w:t>38</w:t>
                  </w:r>
                </w:p>
              </w:tc>
              <w:tc>
                <w:tcPr>
                  <w:tcW w:w="432" w:type="pct"/>
                  <w:vAlign w:val="center"/>
                </w:tcPr>
                <w:p w14:paraId="582D187C">
                  <w:pPr>
                    <w:jc w:val="center"/>
                    <w:rPr>
                      <w:rFonts w:hint="eastAsia"/>
                      <w:color w:val="auto"/>
                    </w:rPr>
                  </w:pPr>
                  <w:r>
                    <w:rPr>
                      <w:rFonts w:hint="eastAsia"/>
                      <w:color w:val="auto"/>
                    </w:rPr>
                    <w:t>33</w:t>
                  </w:r>
                </w:p>
              </w:tc>
            </w:tr>
            <w:tr w14:paraId="560A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645215E7">
                  <w:pPr>
                    <w:jc w:val="center"/>
                    <w:rPr>
                      <w:rFonts w:hint="eastAsia"/>
                      <w:color w:val="auto"/>
                    </w:rPr>
                  </w:pPr>
                  <w:r>
                    <w:rPr>
                      <w:rFonts w:hint="eastAsia"/>
                      <w:color w:val="auto"/>
                    </w:rPr>
                    <w:t>2</w:t>
                  </w:r>
                </w:p>
              </w:tc>
              <w:tc>
                <w:tcPr>
                  <w:tcW w:w="849" w:type="pct"/>
                  <w:vAlign w:val="center"/>
                </w:tcPr>
                <w:p w14:paraId="09A64474">
                  <w:pPr>
                    <w:jc w:val="center"/>
                    <w:rPr>
                      <w:rFonts w:hint="eastAsia"/>
                      <w:color w:val="auto"/>
                    </w:rPr>
                  </w:pPr>
                  <w:r>
                    <w:rPr>
                      <w:rFonts w:hint="eastAsia"/>
                      <w:color w:val="auto"/>
                    </w:rPr>
                    <w:t>装载机</w:t>
                  </w:r>
                </w:p>
              </w:tc>
              <w:tc>
                <w:tcPr>
                  <w:tcW w:w="396" w:type="pct"/>
                  <w:vAlign w:val="center"/>
                </w:tcPr>
                <w:p w14:paraId="1ED253D4">
                  <w:pPr>
                    <w:jc w:val="center"/>
                    <w:rPr>
                      <w:rFonts w:hint="eastAsia"/>
                      <w:color w:val="auto"/>
                    </w:rPr>
                  </w:pPr>
                  <w:r>
                    <w:rPr>
                      <w:rFonts w:hint="eastAsia"/>
                      <w:color w:val="auto"/>
                    </w:rPr>
                    <w:t>86</w:t>
                  </w:r>
                </w:p>
              </w:tc>
              <w:tc>
                <w:tcPr>
                  <w:tcW w:w="396" w:type="pct"/>
                  <w:vAlign w:val="center"/>
                </w:tcPr>
                <w:p w14:paraId="646D5727">
                  <w:pPr>
                    <w:jc w:val="center"/>
                    <w:rPr>
                      <w:rFonts w:hint="eastAsia"/>
                      <w:color w:val="auto"/>
                    </w:rPr>
                  </w:pPr>
                  <w:r>
                    <w:rPr>
                      <w:rFonts w:hint="eastAsia"/>
                      <w:color w:val="auto"/>
                    </w:rPr>
                    <w:t>60</w:t>
                  </w:r>
                </w:p>
              </w:tc>
              <w:tc>
                <w:tcPr>
                  <w:tcW w:w="437" w:type="pct"/>
                  <w:vAlign w:val="center"/>
                </w:tcPr>
                <w:p w14:paraId="3FC9CE6C">
                  <w:pPr>
                    <w:jc w:val="center"/>
                    <w:rPr>
                      <w:rFonts w:hint="eastAsia"/>
                      <w:color w:val="auto"/>
                    </w:rPr>
                  </w:pPr>
                  <w:r>
                    <w:rPr>
                      <w:rFonts w:hint="eastAsia"/>
                      <w:color w:val="auto"/>
                    </w:rPr>
                    <w:t>54</w:t>
                  </w:r>
                </w:p>
              </w:tc>
              <w:tc>
                <w:tcPr>
                  <w:tcW w:w="435" w:type="pct"/>
                  <w:vAlign w:val="center"/>
                </w:tcPr>
                <w:p w14:paraId="2C197C27">
                  <w:pPr>
                    <w:jc w:val="center"/>
                    <w:rPr>
                      <w:rFonts w:hint="eastAsia"/>
                      <w:color w:val="auto"/>
                    </w:rPr>
                  </w:pPr>
                  <w:r>
                    <w:rPr>
                      <w:rFonts w:hint="eastAsia"/>
                      <w:color w:val="auto"/>
                    </w:rPr>
                    <w:t>50</w:t>
                  </w:r>
                </w:p>
              </w:tc>
              <w:tc>
                <w:tcPr>
                  <w:tcW w:w="435" w:type="pct"/>
                  <w:vAlign w:val="center"/>
                </w:tcPr>
                <w:p w14:paraId="30CB7992">
                  <w:pPr>
                    <w:jc w:val="center"/>
                    <w:rPr>
                      <w:rFonts w:hint="eastAsia"/>
                      <w:color w:val="auto"/>
                    </w:rPr>
                  </w:pPr>
                  <w:r>
                    <w:rPr>
                      <w:rFonts w:hint="eastAsia"/>
                      <w:color w:val="auto"/>
                    </w:rPr>
                    <w:t>48</w:t>
                  </w:r>
                </w:p>
              </w:tc>
              <w:tc>
                <w:tcPr>
                  <w:tcW w:w="435" w:type="pct"/>
                  <w:vAlign w:val="center"/>
                </w:tcPr>
                <w:p w14:paraId="2FB5B3DA">
                  <w:pPr>
                    <w:jc w:val="center"/>
                    <w:rPr>
                      <w:rFonts w:hint="eastAsia"/>
                      <w:color w:val="auto"/>
                    </w:rPr>
                  </w:pPr>
                  <w:r>
                    <w:rPr>
                      <w:rFonts w:hint="eastAsia"/>
                      <w:color w:val="auto"/>
                    </w:rPr>
                    <w:t>46</w:t>
                  </w:r>
                </w:p>
              </w:tc>
              <w:tc>
                <w:tcPr>
                  <w:tcW w:w="435" w:type="pct"/>
                  <w:vAlign w:val="center"/>
                </w:tcPr>
                <w:p w14:paraId="22281433">
                  <w:pPr>
                    <w:jc w:val="center"/>
                    <w:rPr>
                      <w:rFonts w:hint="eastAsia"/>
                      <w:color w:val="auto"/>
                    </w:rPr>
                  </w:pPr>
                  <w:r>
                    <w:rPr>
                      <w:rFonts w:hint="eastAsia"/>
                      <w:color w:val="auto"/>
                    </w:rPr>
                    <w:t>42</w:t>
                  </w:r>
                </w:p>
              </w:tc>
              <w:tc>
                <w:tcPr>
                  <w:tcW w:w="435" w:type="pct"/>
                  <w:vAlign w:val="center"/>
                </w:tcPr>
                <w:p w14:paraId="114A59F0">
                  <w:pPr>
                    <w:jc w:val="center"/>
                    <w:rPr>
                      <w:rFonts w:hint="eastAsia"/>
                      <w:color w:val="auto"/>
                    </w:rPr>
                  </w:pPr>
                  <w:r>
                    <w:rPr>
                      <w:rFonts w:hint="eastAsia"/>
                      <w:color w:val="auto"/>
                    </w:rPr>
                    <w:t>37</w:t>
                  </w:r>
                </w:p>
              </w:tc>
              <w:tc>
                <w:tcPr>
                  <w:tcW w:w="432" w:type="pct"/>
                  <w:vAlign w:val="center"/>
                </w:tcPr>
                <w:p w14:paraId="730D1E65">
                  <w:pPr>
                    <w:jc w:val="center"/>
                    <w:rPr>
                      <w:rFonts w:hint="eastAsia"/>
                      <w:color w:val="auto"/>
                    </w:rPr>
                  </w:pPr>
                  <w:r>
                    <w:rPr>
                      <w:rFonts w:hint="eastAsia"/>
                      <w:color w:val="auto"/>
                    </w:rPr>
                    <w:t>32</w:t>
                  </w:r>
                </w:p>
              </w:tc>
            </w:tr>
            <w:tr w14:paraId="263B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761F9FAD">
                  <w:pPr>
                    <w:jc w:val="center"/>
                    <w:rPr>
                      <w:rFonts w:hint="eastAsia"/>
                      <w:color w:val="auto"/>
                    </w:rPr>
                  </w:pPr>
                  <w:r>
                    <w:rPr>
                      <w:rFonts w:hint="eastAsia"/>
                      <w:color w:val="auto"/>
                    </w:rPr>
                    <w:t>3</w:t>
                  </w:r>
                </w:p>
              </w:tc>
              <w:tc>
                <w:tcPr>
                  <w:tcW w:w="849" w:type="pct"/>
                  <w:vAlign w:val="center"/>
                </w:tcPr>
                <w:p w14:paraId="7F998B25">
                  <w:pPr>
                    <w:jc w:val="center"/>
                    <w:rPr>
                      <w:rFonts w:hint="eastAsia"/>
                      <w:color w:val="auto"/>
                    </w:rPr>
                  </w:pPr>
                  <w:r>
                    <w:rPr>
                      <w:rFonts w:hint="eastAsia"/>
                      <w:color w:val="auto"/>
                    </w:rPr>
                    <w:t>推土机</w:t>
                  </w:r>
                </w:p>
              </w:tc>
              <w:tc>
                <w:tcPr>
                  <w:tcW w:w="396" w:type="pct"/>
                  <w:vAlign w:val="center"/>
                </w:tcPr>
                <w:p w14:paraId="28185AB1">
                  <w:pPr>
                    <w:jc w:val="center"/>
                    <w:rPr>
                      <w:rFonts w:hint="eastAsia"/>
                      <w:color w:val="auto"/>
                    </w:rPr>
                  </w:pPr>
                  <w:r>
                    <w:rPr>
                      <w:rFonts w:hint="eastAsia"/>
                      <w:color w:val="auto"/>
                    </w:rPr>
                    <w:t>80</w:t>
                  </w:r>
                </w:p>
              </w:tc>
              <w:tc>
                <w:tcPr>
                  <w:tcW w:w="396" w:type="pct"/>
                  <w:vAlign w:val="center"/>
                </w:tcPr>
                <w:p w14:paraId="2255C852">
                  <w:pPr>
                    <w:jc w:val="center"/>
                    <w:rPr>
                      <w:rFonts w:hint="eastAsia"/>
                      <w:color w:val="auto"/>
                    </w:rPr>
                  </w:pPr>
                  <w:r>
                    <w:rPr>
                      <w:rFonts w:hint="eastAsia"/>
                      <w:color w:val="auto"/>
                    </w:rPr>
                    <w:t>54</w:t>
                  </w:r>
                </w:p>
              </w:tc>
              <w:tc>
                <w:tcPr>
                  <w:tcW w:w="437" w:type="pct"/>
                  <w:vAlign w:val="center"/>
                </w:tcPr>
                <w:p w14:paraId="461E2113">
                  <w:pPr>
                    <w:jc w:val="center"/>
                    <w:rPr>
                      <w:rFonts w:hint="eastAsia"/>
                      <w:color w:val="auto"/>
                    </w:rPr>
                  </w:pPr>
                  <w:r>
                    <w:rPr>
                      <w:rFonts w:hint="eastAsia"/>
                      <w:color w:val="auto"/>
                    </w:rPr>
                    <w:t>48</w:t>
                  </w:r>
                </w:p>
              </w:tc>
              <w:tc>
                <w:tcPr>
                  <w:tcW w:w="435" w:type="pct"/>
                  <w:vAlign w:val="center"/>
                </w:tcPr>
                <w:p w14:paraId="5521D3C2">
                  <w:pPr>
                    <w:jc w:val="center"/>
                    <w:rPr>
                      <w:rFonts w:hint="eastAsia"/>
                      <w:color w:val="auto"/>
                    </w:rPr>
                  </w:pPr>
                  <w:r>
                    <w:rPr>
                      <w:rFonts w:hint="eastAsia"/>
                      <w:color w:val="auto"/>
                    </w:rPr>
                    <w:t>44</w:t>
                  </w:r>
                </w:p>
              </w:tc>
              <w:tc>
                <w:tcPr>
                  <w:tcW w:w="435" w:type="pct"/>
                  <w:vAlign w:val="center"/>
                </w:tcPr>
                <w:p w14:paraId="63018A2A">
                  <w:pPr>
                    <w:jc w:val="center"/>
                    <w:rPr>
                      <w:rFonts w:hint="eastAsia"/>
                      <w:color w:val="auto"/>
                    </w:rPr>
                  </w:pPr>
                  <w:r>
                    <w:rPr>
                      <w:rFonts w:hint="eastAsia"/>
                      <w:color w:val="auto"/>
                    </w:rPr>
                    <w:t>42</w:t>
                  </w:r>
                </w:p>
              </w:tc>
              <w:tc>
                <w:tcPr>
                  <w:tcW w:w="435" w:type="pct"/>
                  <w:vAlign w:val="center"/>
                </w:tcPr>
                <w:p w14:paraId="427BECBF">
                  <w:pPr>
                    <w:jc w:val="center"/>
                    <w:rPr>
                      <w:rFonts w:hint="eastAsia"/>
                      <w:color w:val="auto"/>
                    </w:rPr>
                  </w:pPr>
                  <w:r>
                    <w:rPr>
                      <w:rFonts w:hint="eastAsia"/>
                      <w:color w:val="auto"/>
                    </w:rPr>
                    <w:t>40</w:t>
                  </w:r>
                </w:p>
              </w:tc>
              <w:tc>
                <w:tcPr>
                  <w:tcW w:w="435" w:type="pct"/>
                  <w:vAlign w:val="center"/>
                </w:tcPr>
                <w:p w14:paraId="2261B62F">
                  <w:pPr>
                    <w:jc w:val="center"/>
                    <w:rPr>
                      <w:rFonts w:hint="eastAsia"/>
                      <w:color w:val="auto"/>
                    </w:rPr>
                  </w:pPr>
                  <w:r>
                    <w:rPr>
                      <w:rFonts w:hint="eastAsia"/>
                      <w:color w:val="auto"/>
                    </w:rPr>
                    <w:t>36</w:t>
                  </w:r>
                </w:p>
              </w:tc>
              <w:tc>
                <w:tcPr>
                  <w:tcW w:w="435" w:type="pct"/>
                  <w:vAlign w:val="center"/>
                </w:tcPr>
                <w:p w14:paraId="46E28886">
                  <w:pPr>
                    <w:jc w:val="center"/>
                    <w:rPr>
                      <w:rFonts w:hint="eastAsia"/>
                      <w:color w:val="auto"/>
                    </w:rPr>
                  </w:pPr>
                  <w:r>
                    <w:rPr>
                      <w:rFonts w:hint="eastAsia"/>
                      <w:color w:val="auto"/>
                    </w:rPr>
                    <w:t>30</w:t>
                  </w:r>
                </w:p>
              </w:tc>
              <w:tc>
                <w:tcPr>
                  <w:tcW w:w="432" w:type="pct"/>
                  <w:vAlign w:val="center"/>
                </w:tcPr>
                <w:p w14:paraId="685E05F6">
                  <w:pPr>
                    <w:jc w:val="center"/>
                    <w:rPr>
                      <w:rFonts w:hint="eastAsia"/>
                      <w:color w:val="auto"/>
                    </w:rPr>
                  </w:pPr>
                  <w:r>
                    <w:rPr>
                      <w:rFonts w:hint="eastAsia"/>
                      <w:color w:val="auto"/>
                    </w:rPr>
                    <w:t>26</w:t>
                  </w:r>
                </w:p>
              </w:tc>
            </w:tr>
            <w:tr w14:paraId="3B1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53265B43">
                  <w:pPr>
                    <w:jc w:val="center"/>
                    <w:rPr>
                      <w:rFonts w:hint="eastAsia"/>
                      <w:color w:val="auto"/>
                    </w:rPr>
                  </w:pPr>
                  <w:r>
                    <w:rPr>
                      <w:rFonts w:hint="eastAsia"/>
                      <w:color w:val="auto"/>
                    </w:rPr>
                    <w:t>4</w:t>
                  </w:r>
                </w:p>
              </w:tc>
              <w:tc>
                <w:tcPr>
                  <w:tcW w:w="849" w:type="pct"/>
                  <w:vAlign w:val="center"/>
                </w:tcPr>
                <w:p w14:paraId="55391CCD">
                  <w:pPr>
                    <w:jc w:val="center"/>
                    <w:rPr>
                      <w:rFonts w:hint="eastAsia"/>
                      <w:color w:val="auto"/>
                    </w:rPr>
                  </w:pPr>
                  <w:r>
                    <w:rPr>
                      <w:rFonts w:hint="eastAsia"/>
                      <w:color w:val="auto"/>
                    </w:rPr>
                    <w:t>电焊机</w:t>
                  </w:r>
                </w:p>
              </w:tc>
              <w:tc>
                <w:tcPr>
                  <w:tcW w:w="396" w:type="pct"/>
                  <w:vAlign w:val="center"/>
                </w:tcPr>
                <w:p w14:paraId="2442EA72">
                  <w:pPr>
                    <w:jc w:val="center"/>
                    <w:rPr>
                      <w:rFonts w:hint="eastAsia"/>
                      <w:color w:val="auto"/>
                    </w:rPr>
                  </w:pPr>
                  <w:r>
                    <w:rPr>
                      <w:rFonts w:hint="eastAsia"/>
                      <w:color w:val="auto"/>
                    </w:rPr>
                    <w:t>90</w:t>
                  </w:r>
                </w:p>
              </w:tc>
              <w:tc>
                <w:tcPr>
                  <w:tcW w:w="396" w:type="pct"/>
                  <w:vAlign w:val="center"/>
                </w:tcPr>
                <w:p w14:paraId="6E671821">
                  <w:pPr>
                    <w:jc w:val="center"/>
                    <w:rPr>
                      <w:rFonts w:hint="eastAsia"/>
                      <w:color w:val="auto"/>
                    </w:rPr>
                  </w:pPr>
                  <w:r>
                    <w:rPr>
                      <w:rFonts w:hint="eastAsia"/>
                      <w:color w:val="auto"/>
                    </w:rPr>
                    <w:t>64</w:t>
                  </w:r>
                </w:p>
              </w:tc>
              <w:tc>
                <w:tcPr>
                  <w:tcW w:w="437" w:type="pct"/>
                  <w:vAlign w:val="center"/>
                </w:tcPr>
                <w:p w14:paraId="5B4A9FE7">
                  <w:pPr>
                    <w:jc w:val="center"/>
                    <w:rPr>
                      <w:rFonts w:hint="eastAsia"/>
                      <w:color w:val="auto"/>
                    </w:rPr>
                  </w:pPr>
                  <w:r>
                    <w:rPr>
                      <w:rFonts w:hint="eastAsia"/>
                      <w:color w:val="auto"/>
                    </w:rPr>
                    <w:t>58</w:t>
                  </w:r>
                </w:p>
              </w:tc>
              <w:tc>
                <w:tcPr>
                  <w:tcW w:w="435" w:type="pct"/>
                  <w:vAlign w:val="center"/>
                </w:tcPr>
                <w:p w14:paraId="2678C1EB">
                  <w:pPr>
                    <w:jc w:val="center"/>
                    <w:rPr>
                      <w:rFonts w:hint="eastAsia"/>
                      <w:color w:val="auto"/>
                    </w:rPr>
                  </w:pPr>
                  <w:r>
                    <w:rPr>
                      <w:rFonts w:hint="eastAsia"/>
                      <w:color w:val="auto"/>
                    </w:rPr>
                    <w:t>54</w:t>
                  </w:r>
                </w:p>
              </w:tc>
              <w:tc>
                <w:tcPr>
                  <w:tcW w:w="435" w:type="pct"/>
                  <w:vAlign w:val="center"/>
                </w:tcPr>
                <w:p w14:paraId="1D360EB5">
                  <w:pPr>
                    <w:jc w:val="center"/>
                    <w:rPr>
                      <w:rFonts w:hint="eastAsia"/>
                      <w:color w:val="auto"/>
                    </w:rPr>
                  </w:pPr>
                  <w:r>
                    <w:rPr>
                      <w:rFonts w:hint="eastAsia"/>
                      <w:color w:val="auto"/>
                    </w:rPr>
                    <w:t>52</w:t>
                  </w:r>
                </w:p>
              </w:tc>
              <w:tc>
                <w:tcPr>
                  <w:tcW w:w="435" w:type="pct"/>
                  <w:vAlign w:val="center"/>
                </w:tcPr>
                <w:p w14:paraId="38FE5F71">
                  <w:pPr>
                    <w:jc w:val="center"/>
                    <w:rPr>
                      <w:rFonts w:hint="eastAsia"/>
                      <w:color w:val="auto"/>
                    </w:rPr>
                  </w:pPr>
                  <w:r>
                    <w:rPr>
                      <w:rFonts w:hint="eastAsia"/>
                      <w:color w:val="auto"/>
                    </w:rPr>
                    <w:t>50</w:t>
                  </w:r>
                </w:p>
              </w:tc>
              <w:tc>
                <w:tcPr>
                  <w:tcW w:w="435" w:type="pct"/>
                  <w:vAlign w:val="center"/>
                </w:tcPr>
                <w:p w14:paraId="19529E0D">
                  <w:pPr>
                    <w:jc w:val="center"/>
                    <w:rPr>
                      <w:rFonts w:hint="eastAsia"/>
                      <w:color w:val="auto"/>
                    </w:rPr>
                  </w:pPr>
                  <w:r>
                    <w:rPr>
                      <w:rFonts w:hint="eastAsia"/>
                      <w:color w:val="auto"/>
                    </w:rPr>
                    <w:t>46</w:t>
                  </w:r>
                </w:p>
              </w:tc>
              <w:tc>
                <w:tcPr>
                  <w:tcW w:w="435" w:type="pct"/>
                  <w:vAlign w:val="center"/>
                </w:tcPr>
                <w:p w14:paraId="238D42E3">
                  <w:pPr>
                    <w:jc w:val="center"/>
                    <w:rPr>
                      <w:rFonts w:hint="eastAsia"/>
                      <w:color w:val="auto"/>
                    </w:rPr>
                  </w:pPr>
                  <w:r>
                    <w:rPr>
                      <w:rFonts w:hint="eastAsia"/>
                      <w:color w:val="auto"/>
                    </w:rPr>
                    <w:t>40</w:t>
                  </w:r>
                </w:p>
              </w:tc>
              <w:tc>
                <w:tcPr>
                  <w:tcW w:w="432" w:type="pct"/>
                  <w:vAlign w:val="center"/>
                </w:tcPr>
                <w:p w14:paraId="6036455D">
                  <w:pPr>
                    <w:jc w:val="center"/>
                    <w:rPr>
                      <w:rFonts w:hint="eastAsia"/>
                      <w:color w:val="auto"/>
                    </w:rPr>
                  </w:pPr>
                  <w:r>
                    <w:rPr>
                      <w:rFonts w:hint="eastAsia"/>
                      <w:color w:val="auto"/>
                    </w:rPr>
                    <w:t>36</w:t>
                  </w:r>
                </w:p>
              </w:tc>
            </w:tr>
            <w:tr w14:paraId="3A9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3456134A">
                  <w:pPr>
                    <w:jc w:val="center"/>
                    <w:rPr>
                      <w:rFonts w:hint="eastAsia"/>
                      <w:color w:val="auto"/>
                    </w:rPr>
                  </w:pPr>
                  <w:r>
                    <w:rPr>
                      <w:rFonts w:hint="eastAsia"/>
                      <w:color w:val="auto"/>
                    </w:rPr>
                    <w:t>5</w:t>
                  </w:r>
                </w:p>
              </w:tc>
              <w:tc>
                <w:tcPr>
                  <w:tcW w:w="849" w:type="pct"/>
                  <w:vAlign w:val="center"/>
                </w:tcPr>
                <w:p w14:paraId="299296FC">
                  <w:pPr>
                    <w:jc w:val="center"/>
                    <w:rPr>
                      <w:rFonts w:hint="eastAsia"/>
                      <w:color w:val="auto"/>
                    </w:rPr>
                  </w:pPr>
                  <w:r>
                    <w:rPr>
                      <w:rFonts w:hint="eastAsia"/>
                      <w:color w:val="auto"/>
                    </w:rPr>
                    <w:t>混凝土罐车</w:t>
                  </w:r>
                </w:p>
              </w:tc>
              <w:tc>
                <w:tcPr>
                  <w:tcW w:w="396" w:type="pct"/>
                  <w:vAlign w:val="center"/>
                </w:tcPr>
                <w:p w14:paraId="1580A09A">
                  <w:pPr>
                    <w:jc w:val="center"/>
                    <w:rPr>
                      <w:rFonts w:hint="eastAsia"/>
                      <w:color w:val="auto"/>
                    </w:rPr>
                  </w:pPr>
                  <w:r>
                    <w:rPr>
                      <w:rFonts w:hint="eastAsia"/>
                      <w:color w:val="auto"/>
                    </w:rPr>
                    <w:t>85</w:t>
                  </w:r>
                </w:p>
              </w:tc>
              <w:tc>
                <w:tcPr>
                  <w:tcW w:w="396" w:type="pct"/>
                  <w:vAlign w:val="center"/>
                </w:tcPr>
                <w:p w14:paraId="5A58A44D">
                  <w:pPr>
                    <w:jc w:val="center"/>
                    <w:rPr>
                      <w:rFonts w:hint="eastAsia"/>
                      <w:color w:val="auto"/>
                    </w:rPr>
                  </w:pPr>
                  <w:r>
                    <w:rPr>
                      <w:rFonts w:hint="eastAsia"/>
                      <w:color w:val="auto"/>
                    </w:rPr>
                    <w:t>59</w:t>
                  </w:r>
                </w:p>
              </w:tc>
              <w:tc>
                <w:tcPr>
                  <w:tcW w:w="437" w:type="pct"/>
                  <w:vAlign w:val="center"/>
                </w:tcPr>
                <w:p w14:paraId="3DFEC833">
                  <w:pPr>
                    <w:jc w:val="center"/>
                    <w:rPr>
                      <w:rFonts w:hint="eastAsia"/>
                      <w:color w:val="auto"/>
                    </w:rPr>
                  </w:pPr>
                  <w:r>
                    <w:rPr>
                      <w:rFonts w:hint="eastAsia"/>
                      <w:color w:val="auto"/>
                    </w:rPr>
                    <w:t>53</w:t>
                  </w:r>
                </w:p>
              </w:tc>
              <w:tc>
                <w:tcPr>
                  <w:tcW w:w="435" w:type="pct"/>
                  <w:vAlign w:val="center"/>
                </w:tcPr>
                <w:p w14:paraId="065F4232">
                  <w:pPr>
                    <w:jc w:val="center"/>
                    <w:rPr>
                      <w:rFonts w:hint="eastAsia"/>
                      <w:color w:val="auto"/>
                    </w:rPr>
                  </w:pPr>
                  <w:r>
                    <w:rPr>
                      <w:rFonts w:hint="eastAsia"/>
                      <w:color w:val="auto"/>
                    </w:rPr>
                    <w:t>49</w:t>
                  </w:r>
                </w:p>
              </w:tc>
              <w:tc>
                <w:tcPr>
                  <w:tcW w:w="435" w:type="pct"/>
                  <w:vAlign w:val="center"/>
                </w:tcPr>
                <w:p w14:paraId="05871DD7">
                  <w:pPr>
                    <w:jc w:val="center"/>
                    <w:rPr>
                      <w:rFonts w:hint="eastAsia"/>
                      <w:color w:val="auto"/>
                    </w:rPr>
                  </w:pPr>
                  <w:r>
                    <w:rPr>
                      <w:rFonts w:hint="eastAsia"/>
                      <w:color w:val="auto"/>
                    </w:rPr>
                    <w:t>47</w:t>
                  </w:r>
                </w:p>
              </w:tc>
              <w:tc>
                <w:tcPr>
                  <w:tcW w:w="435" w:type="pct"/>
                  <w:vAlign w:val="center"/>
                </w:tcPr>
                <w:p w14:paraId="3D012DB4">
                  <w:pPr>
                    <w:jc w:val="center"/>
                    <w:rPr>
                      <w:rFonts w:hint="eastAsia"/>
                      <w:color w:val="auto"/>
                    </w:rPr>
                  </w:pPr>
                  <w:r>
                    <w:rPr>
                      <w:rFonts w:hint="eastAsia"/>
                      <w:color w:val="auto"/>
                    </w:rPr>
                    <w:t>45</w:t>
                  </w:r>
                </w:p>
              </w:tc>
              <w:tc>
                <w:tcPr>
                  <w:tcW w:w="435" w:type="pct"/>
                  <w:vAlign w:val="center"/>
                </w:tcPr>
                <w:p w14:paraId="0EA59A48">
                  <w:pPr>
                    <w:jc w:val="center"/>
                    <w:rPr>
                      <w:rFonts w:hint="eastAsia"/>
                      <w:color w:val="auto"/>
                    </w:rPr>
                  </w:pPr>
                  <w:r>
                    <w:rPr>
                      <w:rFonts w:hint="eastAsia"/>
                      <w:color w:val="auto"/>
                    </w:rPr>
                    <w:t>41</w:t>
                  </w:r>
                </w:p>
              </w:tc>
              <w:tc>
                <w:tcPr>
                  <w:tcW w:w="435" w:type="pct"/>
                  <w:vAlign w:val="center"/>
                </w:tcPr>
                <w:p w14:paraId="7AD49DBE">
                  <w:pPr>
                    <w:jc w:val="center"/>
                    <w:rPr>
                      <w:rFonts w:hint="eastAsia"/>
                      <w:color w:val="auto"/>
                    </w:rPr>
                  </w:pPr>
                  <w:r>
                    <w:rPr>
                      <w:rFonts w:hint="eastAsia"/>
                      <w:color w:val="auto"/>
                    </w:rPr>
                    <w:t>35</w:t>
                  </w:r>
                </w:p>
              </w:tc>
              <w:tc>
                <w:tcPr>
                  <w:tcW w:w="432" w:type="pct"/>
                  <w:vAlign w:val="center"/>
                </w:tcPr>
                <w:p w14:paraId="47EE5AE0">
                  <w:pPr>
                    <w:jc w:val="center"/>
                    <w:rPr>
                      <w:rFonts w:hint="eastAsia"/>
                      <w:color w:val="auto"/>
                    </w:rPr>
                  </w:pPr>
                  <w:r>
                    <w:rPr>
                      <w:rFonts w:hint="eastAsia"/>
                      <w:color w:val="auto"/>
                    </w:rPr>
                    <w:t>31</w:t>
                  </w:r>
                </w:p>
              </w:tc>
            </w:tr>
            <w:tr w14:paraId="0DE3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7F6B4FCF">
                  <w:pPr>
                    <w:jc w:val="center"/>
                    <w:rPr>
                      <w:rFonts w:hint="eastAsia"/>
                      <w:color w:val="auto"/>
                    </w:rPr>
                  </w:pPr>
                  <w:r>
                    <w:rPr>
                      <w:rFonts w:hint="eastAsia"/>
                      <w:color w:val="auto"/>
                    </w:rPr>
                    <w:t>6</w:t>
                  </w:r>
                </w:p>
              </w:tc>
              <w:tc>
                <w:tcPr>
                  <w:tcW w:w="849" w:type="pct"/>
                  <w:vAlign w:val="center"/>
                </w:tcPr>
                <w:p w14:paraId="04FE54FE">
                  <w:pPr>
                    <w:jc w:val="center"/>
                    <w:rPr>
                      <w:rFonts w:hint="eastAsia"/>
                      <w:color w:val="auto"/>
                    </w:rPr>
                  </w:pPr>
                  <w:r>
                    <w:rPr>
                      <w:rFonts w:hint="eastAsia"/>
                      <w:color w:val="auto"/>
                    </w:rPr>
                    <w:t>电锯</w:t>
                  </w:r>
                </w:p>
              </w:tc>
              <w:tc>
                <w:tcPr>
                  <w:tcW w:w="396" w:type="pct"/>
                  <w:vAlign w:val="center"/>
                </w:tcPr>
                <w:p w14:paraId="3FE4B9E4">
                  <w:pPr>
                    <w:jc w:val="center"/>
                    <w:rPr>
                      <w:rFonts w:hint="eastAsia"/>
                      <w:color w:val="auto"/>
                    </w:rPr>
                  </w:pPr>
                  <w:r>
                    <w:rPr>
                      <w:rFonts w:hint="eastAsia"/>
                      <w:color w:val="auto"/>
                    </w:rPr>
                    <w:t>102</w:t>
                  </w:r>
                </w:p>
              </w:tc>
              <w:tc>
                <w:tcPr>
                  <w:tcW w:w="396" w:type="pct"/>
                  <w:vAlign w:val="center"/>
                </w:tcPr>
                <w:p w14:paraId="2BCF7185">
                  <w:pPr>
                    <w:jc w:val="center"/>
                    <w:rPr>
                      <w:rFonts w:hint="eastAsia"/>
                      <w:color w:val="auto"/>
                    </w:rPr>
                  </w:pPr>
                  <w:r>
                    <w:rPr>
                      <w:rFonts w:hint="eastAsia"/>
                      <w:color w:val="auto"/>
                    </w:rPr>
                    <w:t>76</w:t>
                  </w:r>
                </w:p>
              </w:tc>
              <w:tc>
                <w:tcPr>
                  <w:tcW w:w="437" w:type="pct"/>
                  <w:vAlign w:val="center"/>
                </w:tcPr>
                <w:p w14:paraId="26C5024F">
                  <w:pPr>
                    <w:jc w:val="center"/>
                    <w:rPr>
                      <w:rFonts w:hint="eastAsia"/>
                      <w:color w:val="auto"/>
                    </w:rPr>
                  </w:pPr>
                  <w:r>
                    <w:rPr>
                      <w:rFonts w:hint="eastAsia"/>
                      <w:color w:val="auto"/>
                    </w:rPr>
                    <w:t>70</w:t>
                  </w:r>
                </w:p>
              </w:tc>
              <w:tc>
                <w:tcPr>
                  <w:tcW w:w="435" w:type="pct"/>
                  <w:vAlign w:val="center"/>
                </w:tcPr>
                <w:p w14:paraId="638329BF">
                  <w:pPr>
                    <w:jc w:val="center"/>
                    <w:rPr>
                      <w:rFonts w:hint="eastAsia"/>
                      <w:color w:val="auto"/>
                    </w:rPr>
                  </w:pPr>
                  <w:r>
                    <w:rPr>
                      <w:rFonts w:hint="eastAsia"/>
                      <w:color w:val="auto"/>
                    </w:rPr>
                    <w:t>66</w:t>
                  </w:r>
                </w:p>
              </w:tc>
              <w:tc>
                <w:tcPr>
                  <w:tcW w:w="435" w:type="pct"/>
                  <w:vAlign w:val="center"/>
                </w:tcPr>
                <w:p w14:paraId="3CCA99D7">
                  <w:pPr>
                    <w:jc w:val="center"/>
                    <w:rPr>
                      <w:rFonts w:hint="eastAsia"/>
                      <w:color w:val="auto"/>
                    </w:rPr>
                  </w:pPr>
                  <w:r>
                    <w:rPr>
                      <w:rFonts w:hint="eastAsia"/>
                      <w:color w:val="auto"/>
                    </w:rPr>
                    <w:t>64</w:t>
                  </w:r>
                </w:p>
              </w:tc>
              <w:tc>
                <w:tcPr>
                  <w:tcW w:w="435" w:type="pct"/>
                  <w:vAlign w:val="center"/>
                </w:tcPr>
                <w:p w14:paraId="64EE03EE">
                  <w:pPr>
                    <w:jc w:val="center"/>
                    <w:rPr>
                      <w:rFonts w:hint="eastAsia"/>
                      <w:color w:val="auto"/>
                    </w:rPr>
                  </w:pPr>
                  <w:r>
                    <w:rPr>
                      <w:rFonts w:hint="eastAsia"/>
                      <w:color w:val="auto"/>
                    </w:rPr>
                    <w:t>62</w:t>
                  </w:r>
                </w:p>
              </w:tc>
              <w:tc>
                <w:tcPr>
                  <w:tcW w:w="435" w:type="pct"/>
                  <w:vAlign w:val="center"/>
                </w:tcPr>
                <w:p w14:paraId="382F44C2">
                  <w:pPr>
                    <w:jc w:val="center"/>
                    <w:rPr>
                      <w:rFonts w:hint="eastAsia"/>
                      <w:color w:val="auto"/>
                    </w:rPr>
                  </w:pPr>
                  <w:r>
                    <w:rPr>
                      <w:rFonts w:hint="eastAsia"/>
                      <w:color w:val="auto"/>
                    </w:rPr>
                    <w:t>58</w:t>
                  </w:r>
                </w:p>
              </w:tc>
              <w:tc>
                <w:tcPr>
                  <w:tcW w:w="435" w:type="pct"/>
                  <w:vAlign w:val="center"/>
                </w:tcPr>
                <w:p w14:paraId="70BBB58D">
                  <w:pPr>
                    <w:jc w:val="center"/>
                    <w:rPr>
                      <w:rFonts w:hint="eastAsia"/>
                      <w:color w:val="auto"/>
                    </w:rPr>
                  </w:pPr>
                  <w:r>
                    <w:rPr>
                      <w:rFonts w:hint="eastAsia"/>
                      <w:color w:val="auto"/>
                    </w:rPr>
                    <w:t>52</w:t>
                  </w:r>
                </w:p>
              </w:tc>
              <w:tc>
                <w:tcPr>
                  <w:tcW w:w="432" w:type="pct"/>
                  <w:vAlign w:val="center"/>
                </w:tcPr>
                <w:p w14:paraId="1D08088B">
                  <w:pPr>
                    <w:jc w:val="center"/>
                    <w:rPr>
                      <w:rFonts w:hint="eastAsia"/>
                      <w:color w:val="auto"/>
                    </w:rPr>
                  </w:pPr>
                  <w:r>
                    <w:rPr>
                      <w:rFonts w:hint="eastAsia"/>
                      <w:color w:val="auto"/>
                    </w:rPr>
                    <w:t>48</w:t>
                  </w:r>
                </w:p>
              </w:tc>
            </w:tr>
            <w:tr w14:paraId="2A76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6EC10343">
                  <w:pPr>
                    <w:jc w:val="center"/>
                    <w:rPr>
                      <w:rFonts w:hint="eastAsia"/>
                      <w:color w:val="auto"/>
                    </w:rPr>
                  </w:pPr>
                  <w:r>
                    <w:rPr>
                      <w:rFonts w:hint="eastAsia"/>
                      <w:color w:val="auto"/>
                    </w:rPr>
                    <w:t>7</w:t>
                  </w:r>
                </w:p>
              </w:tc>
              <w:tc>
                <w:tcPr>
                  <w:tcW w:w="849" w:type="pct"/>
                  <w:vAlign w:val="center"/>
                </w:tcPr>
                <w:p w14:paraId="1DC276C3">
                  <w:pPr>
                    <w:jc w:val="center"/>
                    <w:rPr>
                      <w:rFonts w:hint="eastAsia"/>
                      <w:color w:val="auto"/>
                    </w:rPr>
                  </w:pPr>
                  <w:r>
                    <w:rPr>
                      <w:rFonts w:hint="eastAsia"/>
                      <w:color w:val="auto"/>
                    </w:rPr>
                    <w:t>手工钻</w:t>
                  </w:r>
                </w:p>
              </w:tc>
              <w:tc>
                <w:tcPr>
                  <w:tcW w:w="396" w:type="pct"/>
                  <w:vAlign w:val="center"/>
                </w:tcPr>
                <w:p w14:paraId="575D5034">
                  <w:pPr>
                    <w:jc w:val="center"/>
                    <w:rPr>
                      <w:rFonts w:hint="eastAsia"/>
                      <w:color w:val="auto"/>
                    </w:rPr>
                  </w:pPr>
                  <w:r>
                    <w:rPr>
                      <w:rFonts w:hint="eastAsia"/>
                      <w:color w:val="auto"/>
                    </w:rPr>
                    <w:t>102</w:t>
                  </w:r>
                </w:p>
              </w:tc>
              <w:tc>
                <w:tcPr>
                  <w:tcW w:w="396" w:type="pct"/>
                  <w:vAlign w:val="center"/>
                </w:tcPr>
                <w:p w14:paraId="2E8714F9">
                  <w:pPr>
                    <w:jc w:val="center"/>
                    <w:rPr>
                      <w:rFonts w:hint="eastAsia"/>
                      <w:color w:val="auto"/>
                    </w:rPr>
                  </w:pPr>
                  <w:r>
                    <w:rPr>
                      <w:rFonts w:hint="eastAsia"/>
                      <w:color w:val="auto"/>
                    </w:rPr>
                    <w:t>76</w:t>
                  </w:r>
                </w:p>
              </w:tc>
              <w:tc>
                <w:tcPr>
                  <w:tcW w:w="437" w:type="pct"/>
                  <w:vAlign w:val="center"/>
                </w:tcPr>
                <w:p w14:paraId="72459F06">
                  <w:pPr>
                    <w:jc w:val="center"/>
                    <w:rPr>
                      <w:rFonts w:hint="eastAsia"/>
                      <w:color w:val="auto"/>
                    </w:rPr>
                  </w:pPr>
                  <w:r>
                    <w:rPr>
                      <w:rFonts w:hint="eastAsia"/>
                      <w:color w:val="auto"/>
                    </w:rPr>
                    <w:t>70</w:t>
                  </w:r>
                </w:p>
              </w:tc>
              <w:tc>
                <w:tcPr>
                  <w:tcW w:w="435" w:type="pct"/>
                  <w:vAlign w:val="center"/>
                </w:tcPr>
                <w:p w14:paraId="6E13C32A">
                  <w:pPr>
                    <w:jc w:val="center"/>
                    <w:rPr>
                      <w:rFonts w:hint="eastAsia"/>
                      <w:color w:val="auto"/>
                    </w:rPr>
                  </w:pPr>
                  <w:r>
                    <w:rPr>
                      <w:rFonts w:hint="eastAsia"/>
                      <w:color w:val="auto"/>
                    </w:rPr>
                    <w:t>66</w:t>
                  </w:r>
                </w:p>
              </w:tc>
              <w:tc>
                <w:tcPr>
                  <w:tcW w:w="435" w:type="pct"/>
                  <w:vAlign w:val="center"/>
                </w:tcPr>
                <w:p w14:paraId="509B801C">
                  <w:pPr>
                    <w:jc w:val="center"/>
                    <w:rPr>
                      <w:rFonts w:hint="eastAsia"/>
                      <w:color w:val="auto"/>
                    </w:rPr>
                  </w:pPr>
                  <w:r>
                    <w:rPr>
                      <w:rFonts w:hint="eastAsia"/>
                      <w:color w:val="auto"/>
                    </w:rPr>
                    <w:t>64</w:t>
                  </w:r>
                </w:p>
              </w:tc>
              <w:tc>
                <w:tcPr>
                  <w:tcW w:w="435" w:type="pct"/>
                  <w:vAlign w:val="center"/>
                </w:tcPr>
                <w:p w14:paraId="2BC2172A">
                  <w:pPr>
                    <w:jc w:val="center"/>
                    <w:rPr>
                      <w:rFonts w:hint="eastAsia"/>
                      <w:color w:val="auto"/>
                    </w:rPr>
                  </w:pPr>
                  <w:r>
                    <w:rPr>
                      <w:rFonts w:hint="eastAsia"/>
                      <w:color w:val="auto"/>
                    </w:rPr>
                    <w:t>62</w:t>
                  </w:r>
                </w:p>
              </w:tc>
              <w:tc>
                <w:tcPr>
                  <w:tcW w:w="435" w:type="pct"/>
                  <w:vAlign w:val="center"/>
                </w:tcPr>
                <w:p w14:paraId="153D3107">
                  <w:pPr>
                    <w:jc w:val="center"/>
                    <w:rPr>
                      <w:rFonts w:hint="eastAsia"/>
                      <w:color w:val="auto"/>
                    </w:rPr>
                  </w:pPr>
                  <w:r>
                    <w:rPr>
                      <w:rFonts w:hint="eastAsia"/>
                      <w:color w:val="auto"/>
                    </w:rPr>
                    <w:t>58</w:t>
                  </w:r>
                </w:p>
              </w:tc>
              <w:tc>
                <w:tcPr>
                  <w:tcW w:w="435" w:type="pct"/>
                  <w:vAlign w:val="center"/>
                </w:tcPr>
                <w:p w14:paraId="483FEC40">
                  <w:pPr>
                    <w:jc w:val="center"/>
                    <w:rPr>
                      <w:rFonts w:hint="eastAsia"/>
                      <w:color w:val="auto"/>
                    </w:rPr>
                  </w:pPr>
                  <w:r>
                    <w:rPr>
                      <w:rFonts w:hint="eastAsia"/>
                      <w:color w:val="auto"/>
                    </w:rPr>
                    <w:t>52</w:t>
                  </w:r>
                </w:p>
              </w:tc>
              <w:tc>
                <w:tcPr>
                  <w:tcW w:w="432" w:type="pct"/>
                  <w:vAlign w:val="center"/>
                </w:tcPr>
                <w:p w14:paraId="12EBE57D">
                  <w:pPr>
                    <w:jc w:val="center"/>
                    <w:rPr>
                      <w:rFonts w:hint="eastAsia"/>
                      <w:color w:val="auto"/>
                    </w:rPr>
                  </w:pPr>
                  <w:r>
                    <w:rPr>
                      <w:rFonts w:hint="eastAsia"/>
                      <w:color w:val="auto"/>
                    </w:rPr>
                    <w:t>48</w:t>
                  </w:r>
                </w:p>
              </w:tc>
            </w:tr>
            <w:tr w14:paraId="68FE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6" w:type="pct"/>
                  <w:vAlign w:val="center"/>
                </w:tcPr>
                <w:p w14:paraId="4109AAF4">
                  <w:pPr>
                    <w:jc w:val="center"/>
                    <w:rPr>
                      <w:rFonts w:hint="eastAsia"/>
                      <w:color w:val="auto"/>
                    </w:rPr>
                  </w:pPr>
                  <w:r>
                    <w:rPr>
                      <w:rFonts w:hint="eastAsia"/>
                      <w:color w:val="auto"/>
                    </w:rPr>
                    <w:t>8</w:t>
                  </w:r>
                </w:p>
              </w:tc>
              <w:tc>
                <w:tcPr>
                  <w:tcW w:w="849" w:type="pct"/>
                  <w:vAlign w:val="center"/>
                </w:tcPr>
                <w:p w14:paraId="27206E8C">
                  <w:pPr>
                    <w:jc w:val="center"/>
                    <w:rPr>
                      <w:rFonts w:hint="eastAsia"/>
                      <w:color w:val="auto"/>
                    </w:rPr>
                  </w:pPr>
                  <w:r>
                    <w:rPr>
                      <w:rFonts w:hint="eastAsia"/>
                      <w:color w:val="auto"/>
                    </w:rPr>
                    <w:t>云石机</w:t>
                  </w:r>
                </w:p>
              </w:tc>
              <w:tc>
                <w:tcPr>
                  <w:tcW w:w="396" w:type="pct"/>
                  <w:vAlign w:val="center"/>
                </w:tcPr>
                <w:p w14:paraId="583C8C7A">
                  <w:pPr>
                    <w:jc w:val="center"/>
                    <w:rPr>
                      <w:rFonts w:hint="eastAsia"/>
                      <w:color w:val="auto"/>
                    </w:rPr>
                  </w:pPr>
                  <w:r>
                    <w:rPr>
                      <w:rFonts w:hint="eastAsia"/>
                      <w:color w:val="auto"/>
                    </w:rPr>
                    <w:t>105</w:t>
                  </w:r>
                </w:p>
              </w:tc>
              <w:tc>
                <w:tcPr>
                  <w:tcW w:w="396" w:type="pct"/>
                  <w:vAlign w:val="center"/>
                </w:tcPr>
                <w:p w14:paraId="3812B858">
                  <w:pPr>
                    <w:jc w:val="center"/>
                    <w:rPr>
                      <w:rFonts w:hint="eastAsia"/>
                      <w:color w:val="auto"/>
                    </w:rPr>
                  </w:pPr>
                  <w:r>
                    <w:rPr>
                      <w:rFonts w:hint="eastAsia"/>
                      <w:color w:val="auto"/>
                    </w:rPr>
                    <w:t>79</w:t>
                  </w:r>
                </w:p>
              </w:tc>
              <w:tc>
                <w:tcPr>
                  <w:tcW w:w="437" w:type="pct"/>
                  <w:vAlign w:val="center"/>
                </w:tcPr>
                <w:p w14:paraId="04BEEBC3">
                  <w:pPr>
                    <w:jc w:val="center"/>
                    <w:rPr>
                      <w:rFonts w:hint="eastAsia"/>
                      <w:color w:val="auto"/>
                    </w:rPr>
                  </w:pPr>
                  <w:r>
                    <w:rPr>
                      <w:rFonts w:hint="eastAsia"/>
                      <w:color w:val="auto"/>
                    </w:rPr>
                    <w:t>73</w:t>
                  </w:r>
                </w:p>
              </w:tc>
              <w:tc>
                <w:tcPr>
                  <w:tcW w:w="435" w:type="pct"/>
                  <w:vAlign w:val="center"/>
                </w:tcPr>
                <w:p w14:paraId="0B41DEFC">
                  <w:pPr>
                    <w:jc w:val="center"/>
                    <w:rPr>
                      <w:rFonts w:hint="eastAsia"/>
                      <w:color w:val="auto"/>
                    </w:rPr>
                  </w:pPr>
                  <w:r>
                    <w:rPr>
                      <w:rFonts w:hint="eastAsia"/>
                      <w:color w:val="auto"/>
                    </w:rPr>
                    <w:t>69</w:t>
                  </w:r>
                </w:p>
              </w:tc>
              <w:tc>
                <w:tcPr>
                  <w:tcW w:w="435" w:type="pct"/>
                  <w:vAlign w:val="center"/>
                </w:tcPr>
                <w:p w14:paraId="4620CDC9">
                  <w:pPr>
                    <w:jc w:val="center"/>
                    <w:rPr>
                      <w:rFonts w:hint="eastAsia"/>
                      <w:color w:val="auto"/>
                    </w:rPr>
                  </w:pPr>
                  <w:r>
                    <w:rPr>
                      <w:rFonts w:hint="eastAsia"/>
                      <w:color w:val="auto"/>
                    </w:rPr>
                    <w:t>67</w:t>
                  </w:r>
                </w:p>
              </w:tc>
              <w:tc>
                <w:tcPr>
                  <w:tcW w:w="435" w:type="pct"/>
                  <w:vAlign w:val="center"/>
                </w:tcPr>
                <w:p w14:paraId="54DC60A6">
                  <w:pPr>
                    <w:jc w:val="center"/>
                    <w:rPr>
                      <w:rFonts w:hint="eastAsia"/>
                      <w:color w:val="auto"/>
                    </w:rPr>
                  </w:pPr>
                  <w:r>
                    <w:rPr>
                      <w:rFonts w:hint="eastAsia"/>
                      <w:color w:val="auto"/>
                    </w:rPr>
                    <w:t>65</w:t>
                  </w:r>
                </w:p>
              </w:tc>
              <w:tc>
                <w:tcPr>
                  <w:tcW w:w="435" w:type="pct"/>
                  <w:vAlign w:val="center"/>
                </w:tcPr>
                <w:p w14:paraId="79F7FA93">
                  <w:pPr>
                    <w:jc w:val="center"/>
                    <w:rPr>
                      <w:rFonts w:hint="eastAsia"/>
                      <w:color w:val="auto"/>
                    </w:rPr>
                  </w:pPr>
                  <w:r>
                    <w:rPr>
                      <w:rFonts w:hint="eastAsia"/>
                      <w:color w:val="auto"/>
                    </w:rPr>
                    <w:t>61</w:t>
                  </w:r>
                </w:p>
              </w:tc>
              <w:tc>
                <w:tcPr>
                  <w:tcW w:w="435" w:type="pct"/>
                  <w:vAlign w:val="center"/>
                </w:tcPr>
                <w:p w14:paraId="3E90E26F">
                  <w:pPr>
                    <w:jc w:val="center"/>
                    <w:rPr>
                      <w:rFonts w:hint="eastAsia"/>
                      <w:color w:val="auto"/>
                    </w:rPr>
                  </w:pPr>
                  <w:r>
                    <w:rPr>
                      <w:rFonts w:hint="eastAsia"/>
                      <w:color w:val="auto"/>
                    </w:rPr>
                    <w:t>55</w:t>
                  </w:r>
                </w:p>
              </w:tc>
              <w:tc>
                <w:tcPr>
                  <w:tcW w:w="432" w:type="pct"/>
                  <w:vAlign w:val="center"/>
                </w:tcPr>
                <w:p w14:paraId="092BE168">
                  <w:pPr>
                    <w:jc w:val="center"/>
                    <w:rPr>
                      <w:rFonts w:hint="eastAsia"/>
                      <w:color w:val="auto"/>
                    </w:rPr>
                  </w:pPr>
                  <w:r>
                    <w:rPr>
                      <w:rFonts w:hint="eastAsia"/>
                      <w:color w:val="auto"/>
                    </w:rPr>
                    <w:t>51</w:t>
                  </w:r>
                </w:p>
              </w:tc>
            </w:tr>
          </w:tbl>
          <w:p w14:paraId="672F66B2">
            <w:pPr>
              <w:pStyle w:val="18"/>
              <w:rPr>
                <w:color w:val="auto"/>
              </w:rPr>
            </w:pPr>
            <w:r>
              <w:rPr>
                <w:color w:val="auto"/>
              </w:rPr>
              <w:t>根据上表结果，项目施工阶段的昼间噪声在地块边界（以施工点与地块边界的距离为40m计）均能达到《建筑施工场界环境噪声排放标准》（GB12523-2011）中所规定的标准；各施工阶段在夜间均超出标准。为了减轻本工程施工期噪声的环境影响，本次评价要求施工单位采取以下控制措施：</w:t>
            </w:r>
          </w:p>
          <w:p w14:paraId="10EC28D4">
            <w:pPr>
              <w:pStyle w:val="18"/>
              <w:rPr>
                <w:color w:val="auto"/>
              </w:rPr>
            </w:pPr>
            <w:r>
              <w:rPr>
                <w:color w:val="auto"/>
              </w:rPr>
              <w:t>（</w:t>
            </w:r>
            <w:r>
              <w:rPr>
                <w:rFonts w:hint="eastAsia"/>
                <w:color w:val="auto"/>
              </w:rPr>
              <w:t>1</w:t>
            </w:r>
            <w:r>
              <w:rPr>
                <w:color w:val="auto"/>
              </w:rPr>
              <w:t>）</w:t>
            </w:r>
            <w:r>
              <w:rPr>
                <w:rFonts w:hint="eastAsia"/>
                <w:color w:val="auto"/>
              </w:rPr>
              <w:t>对</w:t>
            </w:r>
            <w:r>
              <w:rPr>
                <w:color w:val="auto"/>
              </w:rPr>
              <w:t>于高噪声设备，需采取临时隔音围护结构。合理配置各种机械的摆放位置，将施工现场的固定振动源相对集中，以减少振动干扰的范围；</w:t>
            </w:r>
          </w:p>
          <w:p w14:paraId="1BB14C33">
            <w:pPr>
              <w:pStyle w:val="18"/>
              <w:rPr>
                <w:color w:val="auto"/>
              </w:rPr>
            </w:pPr>
            <w:r>
              <w:rPr>
                <w:color w:val="auto"/>
              </w:rPr>
              <w:t>（2）选择低噪声的机械设备，尽量减少振动面的振幅；闲置的机械设备等予以关闭。</w:t>
            </w:r>
          </w:p>
          <w:p w14:paraId="5927444B">
            <w:pPr>
              <w:pStyle w:val="18"/>
              <w:rPr>
                <w:color w:val="auto"/>
              </w:rPr>
            </w:pPr>
            <w:r>
              <w:rPr>
                <w:color w:val="auto"/>
              </w:rPr>
              <w:t>（3）加强运输车辆的管理，材料等运输尽量在白天进行，并控制车辆鸣笛；</w:t>
            </w:r>
          </w:p>
          <w:p w14:paraId="151BE751">
            <w:pPr>
              <w:pStyle w:val="18"/>
              <w:rPr>
                <w:color w:val="auto"/>
              </w:rPr>
            </w:pPr>
            <w:r>
              <w:rPr>
                <w:rFonts w:hint="eastAsia"/>
                <w:color w:val="auto"/>
              </w:rPr>
              <w:t>（4）夜间施工必须取得夜间施工许可证方可施工。</w:t>
            </w:r>
          </w:p>
          <w:p w14:paraId="176500A3">
            <w:pPr>
              <w:pStyle w:val="18"/>
              <w:rPr>
                <w:color w:val="auto"/>
              </w:rPr>
            </w:pPr>
            <w:r>
              <w:rPr>
                <w:color w:val="auto"/>
              </w:rPr>
              <w:t>通过采取以上措施，本项目噪声可以达到《建筑施工场界环境噪声排放标准》（GB12523-2011）中相关标准限值，即昼间70dB</w:t>
            </w:r>
            <w:r>
              <w:rPr>
                <w:rFonts w:hint="eastAsia"/>
                <w:color w:val="auto"/>
                <w:lang w:eastAsia="zh-CN"/>
              </w:rPr>
              <w:t>（</w:t>
            </w:r>
            <w:r>
              <w:rPr>
                <w:color w:val="auto"/>
              </w:rPr>
              <w:t>A</w:t>
            </w:r>
            <w:r>
              <w:rPr>
                <w:rFonts w:hint="eastAsia"/>
                <w:color w:val="auto"/>
                <w:lang w:eastAsia="zh-CN"/>
              </w:rPr>
              <w:t>）</w:t>
            </w:r>
            <w:r>
              <w:rPr>
                <w:color w:val="auto"/>
              </w:rPr>
              <w:t>，夜间55dB</w:t>
            </w:r>
            <w:r>
              <w:rPr>
                <w:rFonts w:hint="eastAsia"/>
                <w:color w:val="auto"/>
                <w:lang w:eastAsia="zh-CN"/>
              </w:rPr>
              <w:t>（</w:t>
            </w:r>
            <w:r>
              <w:rPr>
                <w:color w:val="auto"/>
              </w:rPr>
              <w:t>A</w:t>
            </w:r>
            <w:r>
              <w:rPr>
                <w:rFonts w:hint="eastAsia"/>
                <w:color w:val="auto"/>
                <w:lang w:eastAsia="zh-CN"/>
              </w:rPr>
              <w:t>）</w:t>
            </w:r>
            <w:r>
              <w:rPr>
                <w:color w:val="auto"/>
              </w:rPr>
              <w:t>；因此，施工期噪声对周围声环境的影响不大。</w:t>
            </w:r>
          </w:p>
          <w:p w14:paraId="314E6A26">
            <w:pPr>
              <w:pStyle w:val="18"/>
              <w:rPr>
                <w:color w:val="auto"/>
              </w:rPr>
            </w:pPr>
            <w:r>
              <w:rPr>
                <w:rFonts w:hint="eastAsia"/>
                <w:color w:val="auto"/>
                <w:lang w:eastAsia="zh-CN"/>
              </w:rPr>
              <w:t>4.</w:t>
            </w:r>
            <w:r>
              <w:rPr>
                <w:color w:val="auto"/>
              </w:rPr>
              <w:t>固体废物环境影响分析</w:t>
            </w:r>
          </w:p>
          <w:p w14:paraId="1724B4BB">
            <w:pPr>
              <w:pStyle w:val="18"/>
              <w:rPr>
                <w:color w:val="auto"/>
              </w:rPr>
            </w:pPr>
            <w:r>
              <w:rPr>
                <w:rFonts w:hint="eastAsia"/>
                <w:color w:val="auto"/>
              </w:rPr>
              <w:t>本项目施工期固体废物主要为建筑垃圾和施工人员的生活垃圾。大量建筑垃圾的堆放不仅影响项目区景观，而且还容易引起扬尘等环境问题，为避免这些问题的出现，对施工中产生的固体废物必须及时处理。施工期的建筑垃圾</w:t>
            </w:r>
            <w:r>
              <w:rPr>
                <w:rFonts w:hint="eastAsia"/>
                <w:color w:val="auto"/>
                <w:lang w:val="en-US" w:eastAsia="zh-CN"/>
              </w:rPr>
              <w:t>收集后交由政府部门在指定区域进行处理</w:t>
            </w:r>
            <w:r>
              <w:rPr>
                <w:rFonts w:hint="eastAsia"/>
                <w:color w:val="auto"/>
              </w:rPr>
              <w:t>。</w:t>
            </w:r>
          </w:p>
          <w:p w14:paraId="42868BBD">
            <w:pPr>
              <w:pStyle w:val="18"/>
              <w:rPr>
                <w:color w:val="auto"/>
              </w:rPr>
            </w:pPr>
            <w:r>
              <w:rPr>
                <w:color w:val="auto"/>
              </w:rPr>
              <w:t>项目施工期施工人员</w:t>
            </w:r>
            <w:r>
              <w:rPr>
                <w:rFonts w:hint="eastAsia"/>
                <w:color w:val="auto"/>
              </w:rPr>
              <w:t>50</w:t>
            </w:r>
            <w:r>
              <w:rPr>
                <w:color w:val="auto"/>
              </w:rPr>
              <w:t>人，施工人员产生的生活垃圾按每人每天0.5kg计算，则每天将产生生活垃圾0.0</w:t>
            </w:r>
            <w:r>
              <w:rPr>
                <w:rFonts w:hint="eastAsia"/>
                <w:color w:val="auto"/>
              </w:rPr>
              <w:t>25t</w:t>
            </w:r>
            <w:r>
              <w:rPr>
                <w:color w:val="auto"/>
              </w:rPr>
              <w:t>，工程建设期间共产生生活垃圾</w:t>
            </w:r>
            <w:r>
              <w:rPr>
                <w:rFonts w:hint="eastAsia"/>
                <w:color w:val="auto"/>
                <w:lang w:val="en-US" w:eastAsia="zh-CN"/>
              </w:rPr>
              <w:t>9.125</w:t>
            </w:r>
            <w:r>
              <w:rPr>
                <w:color w:val="auto"/>
              </w:rPr>
              <w:t>t。施工期生活垃圾集中存放后委托环卫部门清运处理。通过采取以上措施，施工期固体废物得以合理处置，对周边环境影响较小</w:t>
            </w:r>
            <w:r>
              <w:rPr>
                <w:rFonts w:hint="eastAsia"/>
                <w:color w:val="auto"/>
              </w:rPr>
              <w:t>，满足环境保护的要求</w:t>
            </w:r>
            <w:r>
              <w:rPr>
                <w:color w:val="auto"/>
              </w:rPr>
              <w:t>。</w:t>
            </w:r>
          </w:p>
          <w:p w14:paraId="68733A2E">
            <w:pPr>
              <w:pStyle w:val="18"/>
              <w:rPr>
                <w:color w:val="auto"/>
              </w:rPr>
            </w:pPr>
            <w:r>
              <w:rPr>
                <w:rFonts w:hint="eastAsia"/>
                <w:color w:val="auto"/>
                <w:lang w:eastAsia="zh-CN"/>
              </w:rPr>
              <w:t>5.</w:t>
            </w:r>
            <w:r>
              <w:rPr>
                <w:rFonts w:hint="eastAsia"/>
                <w:color w:val="auto"/>
              </w:rPr>
              <w:t>生态</w:t>
            </w:r>
            <w:r>
              <w:rPr>
                <w:color w:val="auto"/>
              </w:rPr>
              <w:t>环境影响分析</w:t>
            </w:r>
          </w:p>
          <w:p w14:paraId="0DA57FE2">
            <w:pPr>
              <w:pStyle w:val="18"/>
              <w:rPr>
                <w:color w:val="auto"/>
              </w:rPr>
            </w:pPr>
            <w:r>
              <w:rPr>
                <w:rFonts w:hint="eastAsia"/>
                <w:color w:val="auto"/>
              </w:rPr>
              <w:t>施工期对土壤环境的影响主要是永久性占用土地，对土壤的机械扰动造成土壤物理特征和结构的改变。</w:t>
            </w:r>
          </w:p>
          <w:p w14:paraId="453DC317">
            <w:pPr>
              <w:pStyle w:val="18"/>
              <w:rPr>
                <w:color w:val="auto"/>
              </w:rPr>
            </w:pPr>
            <w:r>
              <w:rPr>
                <w:rFonts w:hint="eastAsia"/>
                <w:color w:val="auto"/>
              </w:rPr>
              <w:t>各类管线（给排水管道、电力线路等）的开挖敷设等基础设施建设的临时用地，也将对土壤环境造成影响，主要表现在地基开挖，设施修筑及地面的平整紧压等对土壤的扰动和堆积覆盖。本项目所在地对生态环境造成的影响通过绿化进行补偿。</w:t>
            </w:r>
          </w:p>
        </w:tc>
      </w:tr>
      <w:tr w14:paraId="1B283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1F0281D1">
            <w:pPr>
              <w:adjustRightInd w:val="0"/>
              <w:snapToGrid w:val="0"/>
              <w:jc w:val="center"/>
              <w:rPr>
                <w:bCs/>
                <w:color w:val="auto"/>
                <w:szCs w:val="21"/>
              </w:rPr>
            </w:pPr>
            <w:r>
              <w:rPr>
                <w:bCs/>
                <w:color w:val="auto"/>
                <w:szCs w:val="21"/>
              </w:rPr>
              <w:t>运营</w:t>
            </w:r>
          </w:p>
          <w:p w14:paraId="67C769F5">
            <w:pPr>
              <w:adjustRightInd w:val="0"/>
              <w:snapToGrid w:val="0"/>
              <w:jc w:val="center"/>
              <w:rPr>
                <w:bCs/>
                <w:color w:val="auto"/>
                <w:szCs w:val="21"/>
              </w:rPr>
            </w:pPr>
            <w:r>
              <w:rPr>
                <w:bCs/>
                <w:color w:val="auto"/>
                <w:szCs w:val="21"/>
              </w:rPr>
              <w:t>期环</w:t>
            </w:r>
          </w:p>
          <w:p w14:paraId="42B9B8F9">
            <w:pPr>
              <w:adjustRightInd w:val="0"/>
              <w:snapToGrid w:val="0"/>
              <w:jc w:val="center"/>
              <w:rPr>
                <w:bCs/>
                <w:color w:val="auto"/>
                <w:szCs w:val="21"/>
              </w:rPr>
            </w:pPr>
            <w:r>
              <w:rPr>
                <w:bCs/>
                <w:color w:val="auto"/>
                <w:szCs w:val="21"/>
              </w:rPr>
              <w:t>境影</w:t>
            </w:r>
          </w:p>
          <w:p w14:paraId="29A3E1FF">
            <w:pPr>
              <w:adjustRightInd w:val="0"/>
              <w:snapToGrid w:val="0"/>
              <w:jc w:val="center"/>
              <w:rPr>
                <w:bCs/>
                <w:color w:val="auto"/>
                <w:szCs w:val="21"/>
              </w:rPr>
            </w:pPr>
            <w:r>
              <w:rPr>
                <w:bCs/>
                <w:color w:val="auto"/>
                <w:szCs w:val="21"/>
              </w:rPr>
              <w:t>响和</w:t>
            </w:r>
          </w:p>
          <w:p w14:paraId="62878146">
            <w:pPr>
              <w:adjustRightInd w:val="0"/>
              <w:snapToGrid w:val="0"/>
              <w:jc w:val="center"/>
              <w:rPr>
                <w:bCs/>
                <w:color w:val="auto"/>
                <w:szCs w:val="21"/>
              </w:rPr>
            </w:pPr>
            <w:r>
              <w:rPr>
                <w:bCs/>
                <w:color w:val="auto"/>
                <w:szCs w:val="21"/>
              </w:rPr>
              <w:t>保护</w:t>
            </w:r>
          </w:p>
          <w:p w14:paraId="7D7A5AAF">
            <w:pPr>
              <w:adjustRightInd w:val="0"/>
              <w:snapToGrid w:val="0"/>
              <w:jc w:val="center"/>
              <w:rPr>
                <w:bCs/>
                <w:color w:val="auto"/>
                <w:szCs w:val="21"/>
              </w:rPr>
            </w:pPr>
            <w:r>
              <w:rPr>
                <w:bCs/>
                <w:color w:val="auto"/>
                <w:szCs w:val="21"/>
              </w:rPr>
              <w:t>措施</w:t>
            </w:r>
          </w:p>
        </w:tc>
        <w:tc>
          <w:tcPr>
            <w:tcW w:w="8162" w:type="dxa"/>
            <w:vAlign w:val="center"/>
          </w:tcPr>
          <w:p w14:paraId="79AB74EF">
            <w:pPr>
              <w:pStyle w:val="18"/>
              <w:ind w:firstLine="422"/>
              <w:rPr>
                <w:b/>
                <w:bCs/>
                <w:color w:val="auto"/>
              </w:rPr>
            </w:pPr>
            <w:bookmarkStart w:id="17" w:name="_Hlk141197031"/>
            <w:bookmarkStart w:id="18" w:name="_Hlk141198765"/>
            <w:bookmarkStart w:id="19" w:name="_Hlk205240045"/>
            <w:r>
              <w:rPr>
                <w:rFonts w:hint="eastAsia"/>
                <w:b/>
                <w:bCs/>
                <w:color w:val="auto"/>
                <w:lang w:val="en-US" w:eastAsia="zh-CN"/>
              </w:rPr>
              <w:t>1、</w:t>
            </w:r>
            <w:r>
              <w:rPr>
                <w:b/>
                <w:bCs/>
                <w:color w:val="auto"/>
              </w:rPr>
              <w:t>大气环境影响和保护措施</w:t>
            </w:r>
          </w:p>
          <w:bookmarkEnd w:id="17"/>
          <w:bookmarkEnd w:id="18"/>
          <w:p w14:paraId="2802FB6C">
            <w:pPr>
              <w:pStyle w:val="18"/>
              <w:rPr>
                <w:rFonts w:hint="eastAsia"/>
                <w:color w:val="auto"/>
                <w:lang w:val="en-US" w:eastAsia="zh-CN"/>
              </w:rPr>
            </w:pPr>
            <w:bookmarkStart w:id="20" w:name="_Hlk161150428"/>
            <w:r>
              <w:rPr>
                <w:rFonts w:hint="eastAsia"/>
                <w:color w:val="auto"/>
                <w:lang w:val="en-US" w:eastAsia="zh-CN"/>
              </w:rPr>
              <w:t>本项目农药主要生产工艺是将各农药原药、各类助剂等原辅料经投料、搅拌混合后进行分装，生产过程中无化学反应。</w:t>
            </w:r>
          </w:p>
          <w:p w14:paraId="06D2A5B9">
            <w:pPr>
              <w:pStyle w:val="18"/>
              <w:rPr>
                <w:rFonts w:hint="eastAsia" w:cs="Times New Roman"/>
                <w:b/>
                <w:bCs/>
                <w:color w:val="auto"/>
                <w:sz w:val="21"/>
                <w:szCs w:val="21"/>
                <w:lang w:val="en-US" w:eastAsia="zh-CN"/>
              </w:rPr>
            </w:pPr>
            <w:r>
              <w:rPr>
                <w:rFonts w:hint="eastAsia"/>
                <w:b/>
                <w:bCs/>
                <w:color w:val="auto"/>
                <w:lang w:val="en-US" w:eastAsia="zh-CN"/>
              </w:rPr>
              <w:t>（1）</w:t>
            </w:r>
            <w:r>
              <w:rPr>
                <w:rFonts w:hint="eastAsia" w:ascii="Times New Roman" w:hAnsi="Times New Roman" w:eastAsia="宋体" w:cs="Times New Roman"/>
                <w:b/>
                <w:bCs/>
                <w:color w:val="auto"/>
                <w:sz w:val="21"/>
                <w:szCs w:val="21"/>
                <w:lang w:val="en-US" w:eastAsia="zh-CN"/>
              </w:rPr>
              <w:t>可湿性粉剂生产线</w:t>
            </w:r>
            <w:r>
              <w:rPr>
                <w:rFonts w:hint="eastAsia" w:cs="Times New Roman"/>
                <w:b/>
                <w:bCs/>
                <w:color w:val="auto"/>
                <w:sz w:val="21"/>
                <w:szCs w:val="21"/>
                <w:lang w:val="en-US" w:eastAsia="zh-CN"/>
              </w:rPr>
              <w:t>废气（1#车间）</w:t>
            </w:r>
          </w:p>
          <w:p w14:paraId="642EB1E1">
            <w:pPr>
              <w:pStyle w:val="18"/>
              <w:rPr>
                <w:rFonts w:hint="default" w:cs="Times New Roman"/>
                <w:b/>
                <w:bCs/>
                <w:color w:val="auto"/>
                <w:sz w:val="21"/>
                <w:szCs w:val="21"/>
                <w:lang w:val="en-US" w:eastAsia="zh-CN"/>
              </w:rPr>
            </w:pPr>
            <w:r>
              <w:rPr>
                <w:rFonts w:hint="eastAsia" w:cs="Times New Roman"/>
                <w:b/>
                <w:bCs/>
                <w:color w:val="auto"/>
                <w:sz w:val="21"/>
                <w:szCs w:val="21"/>
                <w:lang w:val="en-US" w:eastAsia="zh-CN"/>
              </w:rPr>
              <w:t>可湿性粉剂生产位于1#车间，生产过程为全干式，无溶剂，采用的原料为啶虫脒、十二烷基苯磺酸钠、轻钙，均属于稳定性不易挥发的原料，生产过程中主要为投料、气流粉碎、包装过程中产生的粉尘，污染因子为颗粒物，混合过程为全密闭，无废气产生。</w:t>
            </w:r>
          </w:p>
          <w:p w14:paraId="1A7FC8EF">
            <w:pPr>
              <w:pStyle w:val="18"/>
              <w:rPr>
                <w:rFonts w:hint="default" w:cs="Times New Roman"/>
                <w:b/>
                <w:bCs/>
                <w:color w:val="auto"/>
                <w:sz w:val="21"/>
                <w:szCs w:val="21"/>
                <w:lang w:val="en-US" w:eastAsia="zh-CN"/>
              </w:rPr>
            </w:pPr>
            <w:r>
              <w:rPr>
                <w:rFonts w:hint="eastAsia" w:cs="Times New Roman"/>
                <w:b/>
                <w:bCs/>
                <w:color w:val="auto"/>
                <w:sz w:val="21"/>
                <w:szCs w:val="21"/>
                <w:lang w:val="en-US" w:eastAsia="zh-CN"/>
              </w:rPr>
              <w:t>①投料、包装过程的粉尘</w:t>
            </w:r>
          </w:p>
          <w:p w14:paraId="4D577381">
            <w:pPr>
              <w:pStyle w:val="18"/>
              <w:rPr>
                <w:rFonts w:hint="default" w:cs="Times New Roman"/>
                <w:color w:val="auto"/>
                <w:sz w:val="21"/>
                <w:szCs w:val="21"/>
                <w:lang w:val="en-US" w:eastAsia="zh-CN"/>
              </w:rPr>
            </w:pPr>
            <w:r>
              <w:rPr>
                <w:rFonts w:hint="default" w:cs="Times New Roman"/>
                <w:color w:val="auto"/>
                <w:sz w:val="21"/>
                <w:szCs w:val="21"/>
                <w:lang w:val="en-US" w:eastAsia="zh-CN"/>
              </w:rPr>
              <w:t>在投料、包装过程中，固体状、粉末状物料会产生少量粉尘废气，筛分后物料出料时也有粉尘产生，根据企业现有项目投料颗粒物源强类比，并参照《逸散性工业粉尘控制技术》（美国俄亥俄州环境保护局和污染工程分公司编著）逸散尘的排放因子</w:t>
            </w:r>
            <w:r>
              <w:rPr>
                <w:rFonts w:hint="eastAsia" w:cs="Times New Roman"/>
                <w:color w:val="auto"/>
                <w:sz w:val="21"/>
                <w:szCs w:val="21"/>
                <w:lang w:val="en-US" w:eastAsia="zh-CN"/>
              </w:rPr>
              <w:t>，</w:t>
            </w:r>
            <w:r>
              <w:rPr>
                <w:rFonts w:hint="default" w:cs="Times New Roman"/>
                <w:color w:val="auto"/>
                <w:sz w:val="21"/>
                <w:szCs w:val="21"/>
                <w:lang w:val="en-US" w:eastAsia="zh-CN"/>
              </w:rPr>
              <w:t>下料颗粒物产污系数取0.3kg/t固体物料；包装过程中颗粒物产污系数取1.2kg/t固体物料</w:t>
            </w:r>
            <w:r>
              <w:rPr>
                <w:rFonts w:hint="eastAsia" w:cs="Times New Roman"/>
                <w:color w:val="auto"/>
                <w:sz w:val="21"/>
                <w:szCs w:val="21"/>
                <w:lang w:val="en-US" w:eastAsia="zh-CN"/>
              </w:rPr>
              <w:t>。本项目可湿性粉剂生产线总固体物料为200t/a，因此投料包装过程中产生的粉尘量为0.300t/a。</w:t>
            </w:r>
          </w:p>
          <w:p w14:paraId="42793B79">
            <w:pPr>
              <w:pStyle w:val="18"/>
              <w:rPr>
                <w:rFonts w:hint="eastAsia"/>
                <w:b/>
                <w:bCs/>
                <w:color w:val="auto"/>
                <w:lang w:val="en-US" w:eastAsia="zh-CN"/>
              </w:rPr>
            </w:pPr>
            <w:r>
              <w:rPr>
                <w:rFonts w:hint="eastAsia"/>
                <w:b/>
                <w:bCs/>
                <w:color w:val="auto"/>
                <w:lang w:val="en-US" w:eastAsia="zh-CN"/>
              </w:rPr>
              <w:t>②气流粉碎过程的粉尘</w:t>
            </w:r>
          </w:p>
          <w:p w14:paraId="2187B5D7">
            <w:pPr>
              <w:pStyle w:val="18"/>
              <w:rPr>
                <w:rFonts w:hint="eastAsia"/>
                <w:color w:val="auto"/>
                <w:lang w:val="en-US" w:eastAsia="zh-CN"/>
              </w:rPr>
            </w:pPr>
            <w:r>
              <w:rPr>
                <w:rFonts w:hint="eastAsia"/>
                <w:color w:val="auto"/>
                <w:lang w:val="en-US" w:eastAsia="zh-CN"/>
              </w:rPr>
              <w:t>粉碎参考类比《排放源统计调查产排污核算方法和系数手册》（公告2021年第24号）（工艺过程一致）中3099其他非金属矿物制品制造行业中钙粉的破碎粉尘（工艺过程相似，且原料均为粉料）产生量（1.13千克/吨-产品），则粉碎过程中产生的粉尘量为0.226</w:t>
            </w:r>
            <w:r>
              <w:rPr>
                <w:rFonts w:hint="eastAsia" w:cs="Times New Roman"/>
                <w:color w:val="auto"/>
                <w:sz w:val="21"/>
                <w:szCs w:val="21"/>
                <w:lang w:val="en-US" w:eastAsia="zh-CN"/>
              </w:rPr>
              <w:t>t/a</w:t>
            </w:r>
            <w:r>
              <w:rPr>
                <w:rFonts w:hint="eastAsia"/>
                <w:color w:val="auto"/>
                <w:lang w:val="en-US" w:eastAsia="zh-CN"/>
              </w:rPr>
              <w:t>。</w:t>
            </w:r>
          </w:p>
          <w:p w14:paraId="137078AD">
            <w:pPr>
              <w:pStyle w:val="18"/>
              <w:rPr>
                <w:rFonts w:hint="eastAsia"/>
                <w:color w:val="auto"/>
                <w:lang w:val="en-US" w:eastAsia="zh-CN"/>
              </w:rPr>
            </w:pPr>
            <w:r>
              <w:rPr>
                <w:rFonts w:hint="eastAsia" w:cs="Times New Roman"/>
                <w:color w:val="auto"/>
                <w:sz w:val="21"/>
                <w:szCs w:val="21"/>
                <w:lang w:val="en-US" w:eastAsia="zh-CN"/>
              </w:rPr>
              <w:t>投料、包装和气流粉碎过程</w:t>
            </w:r>
            <w:r>
              <w:rPr>
                <w:rFonts w:hint="eastAsia"/>
                <w:color w:val="auto"/>
                <w:lang w:val="en-US" w:eastAsia="zh-CN"/>
              </w:rPr>
              <w:t>产生的粉尘废气经由设备上方设置的集气罩收集后（粉尘收集率为30%）经生产线配备的布袋除尘器处理，处理效率99%，15m排气筒排放（DA001）。</w:t>
            </w:r>
          </w:p>
          <w:p w14:paraId="0EBE27DD">
            <w:pPr>
              <w:pStyle w:val="18"/>
              <w:ind w:firstLine="422"/>
              <w:rPr>
                <w:b/>
                <w:bCs/>
                <w:color w:val="auto"/>
              </w:rPr>
            </w:pPr>
            <w:r>
              <w:rPr>
                <w:rFonts w:hint="eastAsia"/>
                <w:b/>
                <w:bCs/>
                <w:color w:val="auto"/>
              </w:rPr>
              <w:t>本项目设置</w:t>
            </w:r>
            <w:r>
              <w:rPr>
                <w:rFonts w:hint="eastAsia"/>
                <w:b/>
                <w:bCs/>
                <w:color w:val="auto"/>
                <w:lang w:val="en-US" w:eastAsia="zh-CN"/>
              </w:rPr>
              <w:t>混料罐1台、灌装机1台、气流粉碎机1台</w:t>
            </w:r>
            <w:r>
              <w:rPr>
                <w:rFonts w:hint="eastAsia"/>
                <w:b/>
                <w:bCs/>
                <w:color w:val="auto"/>
              </w:rPr>
              <w:t>；以上均进口设置集气罩，集气罩设计风量核算：根据集气罩风量计算公式参考《简明通风设计手册》中上吸式排风罩的风量计算公式，算得出集气罩所需的设计风量。</w:t>
            </w:r>
          </w:p>
          <w:p w14:paraId="41B1DD49">
            <w:pPr>
              <w:pStyle w:val="18"/>
              <w:ind w:firstLine="420"/>
              <w:rPr>
                <w:color w:val="auto"/>
              </w:rPr>
            </w:pPr>
            <w:r>
              <w:rPr>
                <w:color w:val="auto"/>
              </w:rPr>
              <w:t>Q=3600×K×P×H×V0</w:t>
            </w:r>
          </w:p>
          <w:p w14:paraId="65D00DF0">
            <w:pPr>
              <w:pStyle w:val="18"/>
              <w:ind w:firstLine="420"/>
              <w:rPr>
                <w:color w:val="auto"/>
              </w:rPr>
            </w:pPr>
            <w:r>
              <w:rPr>
                <w:rFonts w:hint="eastAsia"/>
                <w:color w:val="auto"/>
              </w:rPr>
              <w:t>式中：</w:t>
            </w:r>
          </w:p>
          <w:p w14:paraId="52A77C19">
            <w:pPr>
              <w:pStyle w:val="18"/>
              <w:ind w:firstLine="420"/>
              <w:rPr>
                <w:color w:val="auto"/>
              </w:rPr>
            </w:pPr>
            <w:r>
              <w:rPr>
                <w:rFonts w:hint="eastAsia"/>
                <w:color w:val="auto"/>
              </w:rPr>
              <w:t>Q—设计风量，m</w:t>
            </w:r>
            <w:r>
              <w:rPr>
                <w:rFonts w:hint="eastAsia"/>
                <w:color w:val="auto"/>
                <w:vertAlign w:val="superscript"/>
              </w:rPr>
              <w:t>3</w:t>
            </w:r>
            <w:r>
              <w:rPr>
                <w:rFonts w:hint="eastAsia"/>
                <w:color w:val="auto"/>
              </w:rPr>
              <w:t>/h</w:t>
            </w:r>
          </w:p>
          <w:p w14:paraId="4A955330">
            <w:pPr>
              <w:pStyle w:val="18"/>
              <w:ind w:firstLine="420"/>
              <w:rPr>
                <w:color w:val="auto"/>
              </w:rPr>
            </w:pPr>
            <w:r>
              <w:rPr>
                <w:rFonts w:hint="eastAsia"/>
                <w:color w:val="auto"/>
              </w:rPr>
              <w:t>K—考虑沿高度分布不均匀的安全系数，取1.4；</w:t>
            </w:r>
          </w:p>
          <w:p w14:paraId="29F4D197">
            <w:pPr>
              <w:pStyle w:val="18"/>
              <w:ind w:firstLine="420"/>
              <w:rPr>
                <w:color w:val="auto"/>
              </w:rPr>
            </w:pPr>
            <w:r>
              <w:rPr>
                <w:rFonts w:hint="eastAsia"/>
                <w:color w:val="auto"/>
              </w:rPr>
              <w:t>P—排风罩敞开面周长，m</w:t>
            </w:r>
          </w:p>
          <w:p w14:paraId="635851DD">
            <w:pPr>
              <w:pStyle w:val="18"/>
              <w:ind w:firstLine="420"/>
              <w:rPr>
                <w:color w:val="auto"/>
              </w:rPr>
            </w:pPr>
            <w:r>
              <w:rPr>
                <w:rFonts w:hint="eastAsia"/>
                <w:color w:val="auto"/>
              </w:rPr>
              <w:t>H—罩口至废气源距离，m，取0.2m；</w:t>
            </w:r>
          </w:p>
          <w:p w14:paraId="17036ED2">
            <w:pPr>
              <w:pStyle w:val="18"/>
              <w:ind w:firstLine="420"/>
              <w:rPr>
                <w:color w:val="auto"/>
              </w:rPr>
            </w:pPr>
            <w:r>
              <w:rPr>
                <w:rFonts w:hint="eastAsia"/>
                <w:color w:val="auto"/>
              </w:rPr>
              <w:t>V0—边缘控制点控制风速，m/s，取0.5m/s。</w:t>
            </w:r>
          </w:p>
          <w:p w14:paraId="1BB76916">
            <w:pPr>
              <w:pStyle w:val="18"/>
              <w:ind w:firstLine="420"/>
              <w:rPr>
                <w:color w:val="auto"/>
              </w:rPr>
            </w:pPr>
            <w:r>
              <w:rPr>
                <w:rFonts w:hint="eastAsia"/>
                <w:color w:val="auto"/>
              </w:rPr>
              <w:t>根据《环境工程设计技术手册》（2002年版），在废气扩散速度较低、稳定的状态下，集气罩罩面风速宜≥0.5m/s，本次取值0.5m/s。</w:t>
            </w:r>
          </w:p>
          <w:p w14:paraId="58F13DF9">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表4-2风量及集气罩设置情况一览表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44"/>
              <w:gridCol w:w="1365"/>
              <w:gridCol w:w="1119"/>
              <w:gridCol w:w="1379"/>
              <w:gridCol w:w="948"/>
              <w:gridCol w:w="1132"/>
            </w:tblGrid>
            <w:tr w14:paraId="1006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1" w:type="dxa"/>
                  <w:vAlign w:val="center"/>
                </w:tcPr>
                <w:p w14:paraId="39C432F7">
                  <w:pPr>
                    <w:jc w:val="center"/>
                    <w:rPr>
                      <w:color w:val="auto"/>
                    </w:rPr>
                  </w:pPr>
                  <w:r>
                    <w:rPr>
                      <w:rFonts w:hint="eastAsia"/>
                      <w:color w:val="auto"/>
                    </w:rPr>
                    <w:t>工序</w:t>
                  </w:r>
                </w:p>
              </w:tc>
              <w:tc>
                <w:tcPr>
                  <w:tcW w:w="1134" w:type="dxa"/>
                  <w:vAlign w:val="center"/>
                </w:tcPr>
                <w:p w14:paraId="25B55A51">
                  <w:pPr>
                    <w:jc w:val="center"/>
                    <w:rPr>
                      <w:color w:val="auto"/>
                    </w:rPr>
                  </w:pPr>
                  <w:r>
                    <w:rPr>
                      <w:rFonts w:hint="eastAsia"/>
                      <w:color w:val="auto"/>
                    </w:rPr>
                    <w:t>设备</w:t>
                  </w:r>
                </w:p>
              </w:tc>
              <w:tc>
                <w:tcPr>
                  <w:tcW w:w="1353" w:type="dxa"/>
                  <w:vAlign w:val="center"/>
                </w:tcPr>
                <w:p w14:paraId="092D82D6">
                  <w:pPr>
                    <w:jc w:val="center"/>
                    <w:rPr>
                      <w:color w:val="auto"/>
                    </w:rPr>
                  </w:pPr>
                  <w:r>
                    <w:rPr>
                      <w:rFonts w:hint="eastAsia"/>
                      <w:color w:val="auto"/>
                    </w:rPr>
                    <w:t>收集方案</w:t>
                  </w:r>
                </w:p>
              </w:tc>
              <w:tc>
                <w:tcPr>
                  <w:tcW w:w="1109" w:type="dxa"/>
                  <w:vAlign w:val="center"/>
                </w:tcPr>
                <w:p w14:paraId="47FB73B4">
                  <w:pPr>
                    <w:jc w:val="center"/>
                    <w:rPr>
                      <w:color w:val="auto"/>
                    </w:rPr>
                  </w:pPr>
                  <w:r>
                    <w:rPr>
                      <w:rFonts w:hint="eastAsia"/>
                      <w:color w:val="auto"/>
                    </w:rPr>
                    <w:t>具体位置</w:t>
                  </w:r>
                </w:p>
              </w:tc>
              <w:tc>
                <w:tcPr>
                  <w:tcW w:w="1366" w:type="dxa"/>
                  <w:vAlign w:val="center"/>
                </w:tcPr>
                <w:p w14:paraId="2301BB84">
                  <w:pPr>
                    <w:jc w:val="center"/>
                    <w:rPr>
                      <w:color w:val="auto"/>
                    </w:rPr>
                  </w:pPr>
                  <w:r>
                    <w:rPr>
                      <w:rFonts w:hint="eastAsia"/>
                      <w:color w:val="auto"/>
                    </w:rPr>
                    <w:t>尺寸</w:t>
                  </w:r>
                </w:p>
              </w:tc>
              <w:tc>
                <w:tcPr>
                  <w:tcW w:w="939" w:type="dxa"/>
                  <w:vAlign w:val="center"/>
                </w:tcPr>
                <w:p w14:paraId="63A64C15">
                  <w:pPr>
                    <w:jc w:val="center"/>
                    <w:rPr>
                      <w:color w:val="auto"/>
                    </w:rPr>
                  </w:pPr>
                  <w:r>
                    <w:rPr>
                      <w:rFonts w:hint="eastAsia"/>
                      <w:color w:val="auto"/>
                    </w:rPr>
                    <w:t>数量（个）</w:t>
                  </w:r>
                </w:p>
              </w:tc>
              <w:tc>
                <w:tcPr>
                  <w:tcW w:w="1122" w:type="dxa"/>
                  <w:vAlign w:val="center"/>
                </w:tcPr>
                <w:p w14:paraId="508E95CC">
                  <w:pPr>
                    <w:jc w:val="center"/>
                    <w:rPr>
                      <w:color w:val="auto"/>
                    </w:rPr>
                  </w:pPr>
                  <w:r>
                    <w:rPr>
                      <w:rFonts w:hint="eastAsia"/>
                      <w:color w:val="auto"/>
                    </w:rPr>
                    <w:t>所需风量</w:t>
                  </w:r>
                </w:p>
                <w:p w14:paraId="5EB261A4">
                  <w:pPr>
                    <w:jc w:val="center"/>
                    <w:rPr>
                      <w:color w:val="auto"/>
                    </w:rPr>
                  </w:pPr>
                  <w:r>
                    <w:rPr>
                      <w:rFonts w:hint="eastAsia"/>
                      <w:color w:val="auto"/>
                      <w:lang w:eastAsia="zh-CN"/>
                    </w:rPr>
                    <w:t>(</w:t>
                  </w:r>
                  <w:r>
                    <w:rPr>
                      <w:rFonts w:hint="eastAsia"/>
                      <w:color w:val="auto"/>
                    </w:rPr>
                    <w:t>m</w:t>
                  </w:r>
                  <w:r>
                    <w:rPr>
                      <w:rFonts w:hint="eastAsia"/>
                      <w:color w:val="auto"/>
                      <w:vertAlign w:val="superscript"/>
                    </w:rPr>
                    <w:t>3</w:t>
                  </w:r>
                  <w:r>
                    <w:rPr>
                      <w:rFonts w:hint="eastAsia"/>
                      <w:color w:val="auto"/>
                    </w:rPr>
                    <w:t>/h）</w:t>
                  </w:r>
                </w:p>
              </w:tc>
            </w:tr>
            <w:tr w14:paraId="7738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3437754E">
                  <w:pPr>
                    <w:jc w:val="center"/>
                    <w:rPr>
                      <w:rFonts w:hint="eastAsia" w:eastAsia="宋体"/>
                      <w:color w:val="auto"/>
                      <w:lang w:eastAsia="zh-CN"/>
                    </w:rPr>
                  </w:pPr>
                  <w:r>
                    <w:rPr>
                      <w:rFonts w:hint="eastAsia"/>
                      <w:color w:val="auto"/>
                      <w:lang w:val="en-US" w:eastAsia="zh-CN"/>
                    </w:rPr>
                    <w:t>投料</w:t>
                  </w:r>
                </w:p>
              </w:tc>
              <w:tc>
                <w:tcPr>
                  <w:tcW w:w="1134" w:type="dxa"/>
                  <w:vAlign w:val="center"/>
                </w:tcPr>
                <w:p w14:paraId="1F8088AC">
                  <w:pPr>
                    <w:jc w:val="center"/>
                    <w:rPr>
                      <w:rFonts w:hint="default" w:eastAsia="宋体"/>
                      <w:color w:val="auto"/>
                      <w:lang w:val="en-US" w:eastAsia="zh-CN"/>
                    </w:rPr>
                  </w:pPr>
                  <w:r>
                    <w:rPr>
                      <w:rFonts w:hint="eastAsia"/>
                      <w:color w:val="auto"/>
                      <w:lang w:val="en-US" w:eastAsia="zh-CN"/>
                    </w:rPr>
                    <w:t>混料罐</w:t>
                  </w:r>
                </w:p>
              </w:tc>
              <w:tc>
                <w:tcPr>
                  <w:tcW w:w="1353" w:type="dxa"/>
                  <w:vAlign w:val="center"/>
                </w:tcPr>
                <w:p w14:paraId="6B025CD6">
                  <w:pPr>
                    <w:jc w:val="center"/>
                    <w:rPr>
                      <w:color w:val="auto"/>
                    </w:rPr>
                  </w:pPr>
                  <w:r>
                    <w:rPr>
                      <w:rFonts w:hint="eastAsia"/>
                      <w:color w:val="auto"/>
                    </w:rPr>
                    <w:t>集气罩</w:t>
                  </w:r>
                </w:p>
              </w:tc>
              <w:tc>
                <w:tcPr>
                  <w:tcW w:w="1109" w:type="dxa"/>
                  <w:vAlign w:val="center"/>
                </w:tcPr>
                <w:p w14:paraId="6CED4977">
                  <w:pPr>
                    <w:jc w:val="center"/>
                    <w:rPr>
                      <w:color w:val="auto"/>
                    </w:rPr>
                  </w:pPr>
                  <w:r>
                    <w:rPr>
                      <w:rFonts w:hint="eastAsia"/>
                      <w:color w:val="auto"/>
                      <w:lang w:val="en-US" w:eastAsia="zh-CN"/>
                    </w:rPr>
                    <w:t>设备</w:t>
                  </w:r>
                  <w:r>
                    <w:rPr>
                      <w:rFonts w:hint="eastAsia"/>
                      <w:color w:val="auto"/>
                    </w:rPr>
                    <w:t>上方</w:t>
                  </w:r>
                </w:p>
              </w:tc>
              <w:tc>
                <w:tcPr>
                  <w:tcW w:w="1366" w:type="dxa"/>
                  <w:vAlign w:val="center"/>
                </w:tcPr>
                <w:p w14:paraId="195A6F74">
                  <w:pPr>
                    <w:jc w:val="center"/>
                    <w:rPr>
                      <w:color w:val="auto"/>
                    </w:rPr>
                  </w:pPr>
                  <w:r>
                    <w:rPr>
                      <w:color w:val="auto"/>
                    </w:rPr>
                    <w:t>0.</w:t>
                  </w:r>
                  <w:r>
                    <w:rPr>
                      <w:rFonts w:hint="eastAsia"/>
                      <w:color w:val="auto"/>
                      <w:lang w:val="en-US" w:eastAsia="zh-CN"/>
                    </w:rPr>
                    <w:t>5</w:t>
                  </w:r>
                  <w:r>
                    <w:rPr>
                      <w:color w:val="auto"/>
                    </w:rPr>
                    <w:t>×0.</w:t>
                  </w:r>
                  <w:r>
                    <w:rPr>
                      <w:rFonts w:hint="eastAsia"/>
                      <w:color w:val="auto"/>
                      <w:lang w:val="en-US" w:eastAsia="zh-CN"/>
                    </w:rPr>
                    <w:t>5</w:t>
                  </w:r>
                  <w:r>
                    <w:rPr>
                      <w:color w:val="auto"/>
                    </w:rPr>
                    <w:t>m</w:t>
                  </w:r>
                </w:p>
              </w:tc>
              <w:tc>
                <w:tcPr>
                  <w:tcW w:w="939" w:type="dxa"/>
                  <w:vAlign w:val="center"/>
                </w:tcPr>
                <w:p w14:paraId="0C46B632">
                  <w:pPr>
                    <w:jc w:val="center"/>
                    <w:rPr>
                      <w:color w:val="auto"/>
                    </w:rPr>
                  </w:pPr>
                  <w:r>
                    <w:rPr>
                      <w:color w:val="auto"/>
                    </w:rPr>
                    <w:t>1</w:t>
                  </w:r>
                </w:p>
              </w:tc>
              <w:tc>
                <w:tcPr>
                  <w:tcW w:w="1122" w:type="dxa"/>
                  <w:vAlign w:val="center"/>
                </w:tcPr>
                <w:p w14:paraId="0169C069">
                  <w:pPr>
                    <w:jc w:val="center"/>
                    <w:rPr>
                      <w:rFonts w:hint="default" w:eastAsia="宋体"/>
                      <w:color w:val="auto"/>
                      <w:lang w:val="en-US" w:eastAsia="zh-CN"/>
                    </w:rPr>
                  </w:pPr>
                  <w:r>
                    <w:rPr>
                      <w:rFonts w:hint="eastAsia"/>
                      <w:color w:val="auto"/>
                      <w:lang w:val="en-US" w:eastAsia="zh-CN"/>
                    </w:rPr>
                    <w:t>1008</w:t>
                  </w:r>
                </w:p>
              </w:tc>
            </w:tr>
            <w:tr w14:paraId="63AB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08A05517">
                  <w:pPr>
                    <w:jc w:val="center"/>
                    <w:rPr>
                      <w:rFonts w:hint="eastAsia" w:eastAsia="宋体"/>
                      <w:color w:val="auto"/>
                      <w:lang w:val="en-US" w:eastAsia="zh-CN"/>
                    </w:rPr>
                  </w:pPr>
                  <w:r>
                    <w:rPr>
                      <w:rFonts w:hint="eastAsia"/>
                      <w:color w:val="auto"/>
                      <w:lang w:val="en-US" w:eastAsia="zh-CN"/>
                    </w:rPr>
                    <w:t>粉碎</w:t>
                  </w:r>
                </w:p>
              </w:tc>
              <w:tc>
                <w:tcPr>
                  <w:tcW w:w="1134" w:type="dxa"/>
                  <w:vAlign w:val="center"/>
                </w:tcPr>
                <w:p w14:paraId="149D5F15">
                  <w:pPr>
                    <w:jc w:val="center"/>
                    <w:rPr>
                      <w:rFonts w:hint="default" w:eastAsia="宋体"/>
                      <w:color w:val="auto"/>
                      <w:lang w:val="en-US" w:eastAsia="zh-CN"/>
                    </w:rPr>
                  </w:pPr>
                  <w:r>
                    <w:rPr>
                      <w:rFonts w:hint="eastAsia"/>
                      <w:color w:val="auto"/>
                      <w:lang w:val="en-US" w:eastAsia="zh-CN"/>
                    </w:rPr>
                    <w:t>粉碎机</w:t>
                  </w:r>
                </w:p>
              </w:tc>
              <w:tc>
                <w:tcPr>
                  <w:tcW w:w="1353" w:type="dxa"/>
                  <w:vAlign w:val="center"/>
                </w:tcPr>
                <w:p w14:paraId="6864FB18">
                  <w:pPr>
                    <w:jc w:val="center"/>
                    <w:rPr>
                      <w:color w:val="auto"/>
                    </w:rPr>
                  </w:pPr>
                  <w:r>
                    <w:rPr>
                      <w:rFonts w:hint="eastAsia"/>
                      <w:color w:val="auto"/>
                    </w:rPr>
                    <w:t>集气罩</w:t>
                  </w:r>
                </w:p>
              </w:tc>
              <w:tc>
                <w:tcPr>
                  <w:tcW w:w="1109" w:type="dxa"/>
                  <w:vAlign w:val="center"/>
                </w:tcPr>
                <w:p w14:paraId="191A24D5">
                  <w:pPr>
                    <w:jc w:val="center"/>
                    <w:rPr>
                      <w:color w:val="auto"/>
                    </w:rPr>
                  </w:pPr>
                  <w:r>
                    <w:rPr>
                      <w:rFonts w:hint="eastAsia"/>
                      <w:color w:val="auto"/>
                      <w:lang w:val="en-US" w:eastAsia="zh-CN"/>
                    </w:rPr>
                    <w:t>设备</w:t>
                  </w:r>
                  <w:r>
                    <w:rPr>
                      <w:rFonts w:hint="eastAsia"/>
                      <w:color w:val="auto"/>
                    </w:rPr>
                    <w:t>上方</w:t>
                  </w:r>
                </w:p>
              </w:tc>
              <w:tc>
                <w:tcPr>
                  <w:tcW w:w="1366" w:type="dxa"/>
                  <w:vAlign w:val="center"/>
                </w:tcPr>
                <w:p w14:paraId="25E13E1A">
                  <w:pPr>
                    <w:jc w:val="center"/>
                    <w:rPr>
                      <w:color w:val="auto"/>
                    </w:rPr>
                  </w:pPr>
                  <w:r>
                    <w:rPr>
                      <w:color w:val="auto"/>
                    </w:rPr>
                    <w:t>0.4×0.3m</w:t>
                  </w:r>
                </w:p>
              </w:tc>
              <w:tc>
                <w:tcPr>
                  <w:tcW w:w="939" w:type="dxa"/>
                  <w:vAlign w:val="center"/>
                </w:tcPr>
                <w:p w14:paraId="3CA7B86F">
                  <w:pPr>
                    <w:jc w:val="center"/>
                    <w:rPr>
                      <w:rFonts w:hint="eastAsia" w:eastAsia="宋体"/>
                      <w:color w:val="auto"/>
                      <w:lang w:eastAsia="zh-CN"/>
                    </w:rPr>
                  </w:pPr>
                  <w:r>
                    <w:rPr>
                      <w:rFonts w:hint="eastAsia"/>
                      <w:color w:val="auto"/>
                      <w:lang w:val="en-US" w:eastAsia="zh-CN"/>
                    </w:rPr>
                    <w:t>1</w:t>
                  </w:r>
                </w:p>
              </w:tc>
              <w:tc>
                <w:tcPr>
                  <w:tcW w:w="1122" w:type="dxa"/>
                  <w:vAlign w:val="center"/>
                </w:tcPr>
                <w:p w14:paraId="6E028F4C">
                  <w:pPr>
                    <w:jc w:val="center"/>
                    <w:rPr>
                      <w:rFonts w:hint="default" w:eastAsia="宋体"/>
                      <w:color w:val="auto"/>
                      <w:lang w:val="en-US" w:eastAsia="zh-CN"/>
                    </w:rPr>
                  </w:pPr>
                  <w:r>
                    <w:rPr>
                      <w:rFonts w:hint="eastAsia"/>
                      <w:color w:val="auto"/>
                      <w:lang w:val="en-US" w:eastAsia="zh-CN"/>
                    </w:rPr>
                    <w:t>705.6</w:t>
                  </w:r>
                </w:p>
              </w:tc>
            </w:tr>
            <w:tr w14:paraId="5BF1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6ED9AD5E">
                  <w:pPr>
                    <w:jc w:val="center"/>
                    <w:rPr>
                      <w:rFonts w:hint="eastAsia" w:eastAsia="宋体"/>
                      <w:color w:val="auto"/>
                      <w:lang w:val="en-US" w:eastAsia="zh-CN"/>
                    </w:rPr>
                  </w:pPr>
                  <w:r>
                    <w:rPr>
                      <w:rFonts w:hint="eastAsia"/>
                      <w:color w:val="auto"/>
                      <w:lang w:val="en-US" w:eastAsia="zh-CN"/>
                    </w:rPr>
                    <w:t>包装</w:t>
                  </w:r>
                </w:p>
              </w:tc>
              <w:tc>
                <w:tcPr>
                  <w:tcW w:w="1134" w:type="dxa"/>
                  <w:vAlign w:val="center"/>
                </w:tcPr>
                <w:p w14:paraId="082B8127">
                  <w:pPr>
                    <w:jc w:val="center"/>
                    <w:rPr>
                      <w:rFonts w:hint="default" w:eastAsia="宋体"/>
                      <w:color w:val="auto"/>
                      <w:lang w:val="en-US" w:eastAsia="zh-CN"/>
                    </w:rPr>
                  </w:pPr>
                  <w:r>
                    <w:rPr>
                      <w:rFonts w:hint="eastAsia"/>
                      <w:color w:val="auto"/>
                      <w:lang w:val="en-US" w:eastAsia="zh-CN"/>
                    </w:rPr>
                    <w:t>灌装机</w:t>
                  </w:r>
                </w:p>
              </w:tc>
              <w:tc>
                <w:tcPr>
                  <w:tcW w:w="1353" w:type="dxa"/>
                  <w:vAlign w:val="center"/>
                </w:tcPr>
                <w:p w14:paraId="26F7E09A">
                  <w:pPr>
                    <w:jc w:val="center"/>
                    <w:rPr>
                      <w:color w:val="auto"/>
                    </w:rPr>
                  </w:pPr>
                  <w:r>
                    <w:rPr>
                      <w:rFonts w:hint="eastAsia"/>
                      <w:color w:val="auto"/>
                    </w:rPr>
                    <w:t>集气罩</w:t>
                  </w:r>
                </w:p>
              </w:tc>
              <w:tc>
                <w:tcPr>
                  <w:tcW w:w="1109" w:type="dxa"/>
                  <w:vAlign w:val="center"/>
                </w:tcPr>
                <w:p w14:paraId="26889056">
                  <w:pPr>
                    <w:jc w:val="center"/>
                    <w:rPr>
                      <w:color w:val="auto"/>
                    </w:rPr>
                  </w:pPr>
                  <w:r>
                    <w:rPr>
                      <w:rFonts w:hint="eastAsia"/>
                      <w:color w:val="auto"/>
                      <w:lang w:val="en-US" w:eastAsia="zh-CN"/>
                    </w:rPr>
                    <w:t>设备</w:t>
                  </w:r>
                  <w:r>
                    <w:rPr>
                      <w:rFonts w:hint="eastAsia"/>
                      <w:color w:val="auto"/>
                    </w:rPr>
                    <w:t>上方</w:t>
                  </w:r>
                </w:p>
              </w:tc>
              <w:tc>
                <w:tcPr>
                  <w:tcW w:w="1366" w:type="dxa"/>
                  <w:vAlign w:val="center"/>
                </w:tcPr>
                <w:p w14:paraId="55A3F64A">
                  <w:pPr>
                    <w:jc w:val="center"/>
                    <w:rPr>
                      <w:color w:val="auto"/>
                    </w:rPr>
                  </w:pPr>
                  <w:r>
                    <w:rPr>
                      <w:color w:val="auto"/>
                    </w:rPr>
                    <w:t>0.4×0.</w:t>
                  </w:r>
                  <w:r>
                    <w:rPr>
                      <w:rFonts w:hint="eastAsia"/>
                      <w:color w:val="auto"/>
                      <w:lang w:val="en-US" w:eastAsia="zh-CN"/>
                    </w:rPr>
                    <w:t>4</w:t>
                  </w:r>
                  <w:r>
                    <w:rPr>
                      <w:color w:val="auto"/>
                    </w:rPr>
                    <w:t>m</w:t>
                  </w:r>
                </w:p>
              </w:tc>
              <w:tc>
                <w:tcPr>
                  <w:tcW w:w="939" w:type="dxa"/>
                  <w:vAlign w:val="center"/>
                </w:tcPr>
                <w:p w14:paraId="6916FBC3">
                  <w:pPr>
                    <w:jc w:val="center"/>
                    <w:rPr>
                      <w:rFonts w:hint="eastAsia" w:eastAsia="宋体"/>
                      <w:color w:val="auto"/>
                      <w:lang w:eastAsia="zh-CN"/>
                    </w:rPr>
                  </w:pPr>
                  <w:r>
                    <w:rPr>
                      <w:rFonts w:hint="eastAsia"/>
                      <w:color w:val="auto"/>
                      <w:lang w:val="en-US" w:eastAsia="zh-CN"/>
                    </w:rPr>
                    <w:t>1</w:t>
                  </w:r>
                </w:p>
              </w:tc>
              <w:tc>
                <w:tcPr>
                  <w:tcW w:w="1122" w:type="dxa"/>
                  <w:vAlign w:val="center"/>
                </w:tcPr>
                <w:p w14:paraId="04D6DA98">
                  <w:pPr>
                    <w:jc w:val="center"/>
                    <w:rPr>
                      <w:rFonts w:hint="default" w:eastAsia="宋体"/>
                      <w:color w:val="auto"/>
                      <w:lang w:val="en-US" w:eastAsia="zh-CN"/>
                    </w:rPr>
                  </w:pPr>
                  <w:r>
                    <w:rPr>
                      <w:rFonts w:hint="eastAsia"/>
                      <w:color w:val="auto"/>
                      <w:lang w:val="en-US" w:eastAsia="zh-CN"/>
                    </w:rPr>
                    <w:t>806.4</w:t>
                  </w:r>
                </w:p>
              </w:tc>
            </w:tr>
            <w:tr w14:paraId="0F17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2" w:type="dxa"/>
                  <w:gridSpan w:val="6"/>
                  <w:vAlign w:val="center"/>
                </w:tcPr>
                <w:p w14:paraId="08283D6A">
                  <w:pPr>
                    <w:jc w:val="center"/>
                    <w:rPr>
                      <w:color w:val="auto"/>
                    </w:rPr>
                  </w:pPr>
                  <w:r>
                    <w:rPr>
                      <w:rFonts w:hint="eastAsia"/>
                      <w:color w:val="auto"/>
                    </w:rPr>
                    <w:t>颗粒物合计</w:t>
                  </w:r>
                </w:p>
              </w:tc>
              <w:tc>
                <w:tcPr>
                  <w:tcW w:w="1122" w:type="dxa"/>
                  <w:vAlign w:val="center"/>
                </w:tcPr>
                <w:p w14:paraId="7CAACF06">
                  <w:pPr>
                    <w:jc w:val="center"/>
                    <w:rPr>
                      <w:color w:val="auto"/>
                    </w:rPr>
                  </w:pPr>
                  <w:r>
                    <w:rPr>
                      <w:color w:val="auto"/>
                    </w:rPr>
                    <w:t>13406.4</w:t>
                  </w:r>
                </w:p>
              </w:tc>
            </w:tr>
          </w:tbl>
          <w:p w14:paraId="6D2FDA99">
            <w:pPr>
              <w:pStyle w:val="18"/>
              <w:rPr>
                <w:rFonts w:hint="eastAsia"/>
                <w:color w:val="auto"/>
                <w:highlight w:val="none"/>
                <w:lang w:val="en-US" w:eastAsia="zh-CN"/>
              </w:rPr>
            </w:pPr>
            <w:r>
              <w:rPr>
                <w:rFonts w:hint="eastAsia"/>
                <w:color w:val="auto"/>
                <w:highlight w:val="none"/>
                <w:lang w:val="en-US" w:eastAsia="zh-CN"/>
              </w:rPr>
              <w:t>经上式算得，处理风量需要2220m</w:t>
            </w:r>
            <w:r>
              <w:rPr>
                <w:rFonts w:hint="eastAsia"/>
                <w:color w:val="auto"/>
                <w:highlight w:val="none"/>
                <w:vertAlign w:val="superscript"/>
                <w:lang w:val="en-US" w:eastAsia="zh-CN"/>
              </w:rPr>
              <w:t>3</w:t>
            </w:r>
            <w:r>
              <w:rPr>
                <w:rFonts w:hint="eastAsia"/>
                <w:color w:val="auto"/>
                <w:highlight w:val="none"/>
                <w:lang w:val="en-US" w:eastAsia="zh-CN"/>
              </w:rPr>
              <w:t>/h（本次风量取3000m</w:t>
            </w:r>
            <w:r>
              <w:rPr>
                <w:rFonts w:hint="eastAsia"/>
                <w:color w:val="auto"/>
                <w:highlight w:val="none"/>
                <w:vertAlign w:val="superscript"/>
                <w:lang w:val="en-US" w:eastAsia="zh-CN"/>
              </w:rPr>
              <w:t>3</w:t>
            </w:r>
            <w:r>
              <w:rPr>
                <w:rFonts w:hint="eastAsia"/>
                <w:color w:val="auto"/>
                <w:highlight w:val="none"/>
                <w:lang w:val="en-US" w:eastAsia="zh-CN"/>
              </w:rPr>
              <w:t>/h，可以满足要求并考虑管道损耗），粉尘经进口设置集气罩收集后（参考《广东省工业源挥发性有机物减排量核算方法》（修订正式版）：项目采用外部集气罩，控制风速为0.5</w:t>
            </w:r>
            <w:r>
              <w:rPr>
                <w:rFonts w:hint="eastAsia"/>
                <w:color w:val="auto"/>
                <w:highlight w:val="none"/>
              </w:rPr>
              <w:t>m/s</w:t>
            </w:r>
            <w:r>
              <w:rPr>
                <w:rFonts w:hint="eastAsia"/>
                <w:color w:val="auto"/>
                <w:highlight w:val="none"/>
                <w:lang w:eastAsia="zh-CN"/>
              </w:rPr>
              <w:t>，</w:t>
            </w:r>
            <w:r>
              <w:rPr>
                <w:rFonts w:hint="eastAsia"/>
                <w:color w:val="auto"/>
                <w:highlight w:val="none"/>
                <w:lang w:val="en-US" w:eastAsia="zh-CN"/>
              </w:rPr>
              <w:t>收集效率取30%）进入脉冲式布袋除尘器（处理效率99%），粉尘处理后通过15m高排气筒（DA001）排放。有组织排放的粉尘量分别为0.0016t/a（0.0002kg/h），排放浓度0.073mg/m</w:t>
            </w:r>
            <w:r>
              <w:rPr>
                <w:rFonts w:hint="eastAsia"/>
                <w:color w:val="auto"/>
                <w:highlight w:val="none"/>
                <w:vertAlign w:val="superscript"/>
                <w:lang w:val="en-US" w:eastAsia="zh-CN"/>
              </w:rPr>
              <w:t>3</w:t>
            </w:r>
            <w:r>
              <w:rPr>
                <w:rFonts w:hint="eastAsia"/>
                <w:color w:val="auto"/>
                <w:highlight w:val="none"/>
                <w:lang w:val="en-US" w:eastAsia="zh-CN"/>
              </w:rPr>
              <w:t>；无组织排放量为0.3682t/a（0.0511kg/h）。</w:t>
            </w:r>
          </w:p>
          <w:p w14:paraId="638534A6">
            <w:pPr>
              <w:pStyle w:val="18"/>
              <w:rPr>
                <w:rFonts w:hint="eastAsia" w:cs="Times New Roman"/>
                <w:b/>
                <w:bCs/>
                <w:color w:val="auto"/>
                <w:sz w:val="21"/>
                <w:szCs w:val="21"/>
                <w:lang w:val="en-US" w:eastAsia="zh-CN"/>
              </w:rPr>
            </w:pPr>
            <w:r>
              <w:rPr>
                <w:rFonts w:hint="eastAsia"/>
                <w:b/>
                <w:bCs/>
                <w:color w:val="auto"/>
                <w:lang w:val="en-US" w:eastAsia="zh-CN"/>
              </w:rPr>
              <w:t>（2）</w:t>
            </w:r>
            <w:r>
              <w:rPr>
                <w:rFonts w:hint="eastAsia" w:ascii="Times New Roman" w:hAnsi="Times New Roman" w:eastAsia="宋体" w:cs="Times New Roman"/>
                <w:b/>
                <w:bCs/>
                <w:color w:val="auto"/>
                <w:sz w:val="21"/>
                <w:szCs w:val="21"/>
                <w:lang w:val="en-US" w:eastAsia="zh-CN"/>
              </w:rPr>
              <w:t>悬浮剂生产线</w:t>
            </w:r>
            <w:r>
              <w:rPr>
                <w:rFonts w:hint="eastAsia" w:cs="Times New Roman"/>
                <w:b/>
                <w:bCs/>
                <w:color w:val="auto"/>
                <w:sz w:val="21"/>
                <w:szCs w:val="21"/>
                <w:lang w:val="en-US" w:eastAsia="zh-CN"/>
              </w:rPr>
              <w:t>废气（2#车间）</w:t>
            </w:r>
          </w:p>
          <w:p w14:paraId="4F2BC45B">
            <w:pPr>
              <w:pStyle w:val="18"/>
              <w:rPr>
                <w:rFonts w:hint="eastAsia"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悬浮剂生产线</w:t>
            </w:r>
            <w:r>
              <w:rPr>
                <w:rFonts w:hint="eastAsia" w:cs="Times New Roman"/>
                <w:b/>
                <w:bCs/>
                <w:color w:val="auto"/>
                <w:sz w:val="21"/>
                <w:szCs w:val="21"/>
                <w:lang w:val="en-US" w:eastAsia="zh-CN"/>
              </w:rPr>
              <w:t>位于2#车间，生产过程混配后剪切以及研磨均为液体状态，基本无颗粒物产生，主要是投料过程中产生的粉尘以及生产过程中产生的非甲烷总烃。</w:t>
            </w:r>
            <w:r>
              <w:rPr>
                <w:rFonts w:hint="eastAsia" w:ascii="Times New Roman" w:hAnsi="Times New Roman" w:eastAsia="宋体" w:cs="Times New Roman"/>
                <w:b/>
                <w:bCs/>
                <w:color w:val="auto"/>
                <w:sz w:val="21"/>
                <w:szCs w:val="21"/>
                <w:lang w:val="en-US" w:eastAsia="zh-CN"/>
              </w:rPr>
              <w:t>悬浮剂生产线</w:t>
            </w:r>
            <w:r>
              <w:rPr>
                <w:rFonts w:hint="eastAsia" w:cs="Times New Roman"/>
                <w:b/>
                <w:bCs/>
                <w:color w:val="auto"/>
                <w:sz w:val="21"/>
                <w:szCs w:val="21"/>
                <w:lang w:val="en-US" w:eastAsia="zh-CN"/>
              </w:rPr>
              <w:t>位于2#车间，生产过程混配后剪切以及研磨均为液体状态，基本无颗粒物产生，主要是投料过程中产生的粉尘，本项目悬浮剂采用纯水作为溶剂，无有机溶剂，且项目生产过程为常温，因此非甲烷总极少，不做量化。</w:t>
            </w:r>
          </w:p>
          <w:p w14:paraId="6BFE845E">
            <w:pPr>
              <w:pStyle w:val="18"/>
              <w:rPr>
                <w:rFonts w:hint="default"/>
                <w:color w:val="auto"/>
                <w:highlight w:val="none"/>
                <w:lang w:val="en-US" w:eastAsia="zh-CN"/>
              </w:rPr>
            </w:pPr>
            <w:r>
              <w:rPr>
                <w:rFonts w:hint="default"/>
                <w:color w:val="auto"/>
                <w:highlight w:val="none"/>
                <w:lang w:val="en-US" w:eastAsia="zh-CN"/>
              </w:rPr>
              <w:t>在投料过程中，固体状、粉末状物料会产生少量粉尘废气，参照《逸散尘的排放因子</w:t>
            </w:r>
            <w:r>
              <w:rPr>
                <w:rFonts w:hint="eastAsia"/>
                <w:color w:val="auto"/>
                <w:highlight w:val="none"/>
                <w:lang w:val="en-US" w:eastAsia="zh-CN"/>
              </w:rPr>
              <w:t>》</w:t>
            </w:r>
            <w:r>
              <w:rPr>
                <w:rFonts w:hint="default"/>
                <w:color w:val="auto"/>
                <w:highlight w:val="none"/>
                <w:lang w:val="en-US" w:eastAsia="zh-CN"/>
              </w:rPr>
              <w:t>中物质本项目下料颗粒物产污系数取0.3kg/t固体物料</w:t>
            </w:r>
            <w:r>
              <w:rPr>
                <w:rFonts w:hint="eastAsia"/>
                <w:color w:val="auto"/>
                <w:highlight w:val="none"/>
                <w:lang w:val="en-US" w:eastAsia="zh-CN"/>
              </w:rPr>
              <w:t>，固体分装料总量为325t/a，投料粉尘产生量为0.0975t/a。</w:t>
            </w:r>
          </w:p>
          <w:p w14:paraId="1222296D">
            <w:pPr>
              <w:pStyle w:val="18"/>
              <w:rPr>
                <w:rFonts w:hint="default"/>
                <w:color w:val="auto"/>
                <w:lang w:val="en-US" w:eastAsia="zh-CN"/>
              </w:rPr>
            </w:pPr>
            <w:r>
              <w:rPr>
                <w:rFonts w:hint="eastAsia"/>
                <w:color w:val="auto"/>
                <w:lang w:val="en-US" w:eastAsia="zh-CN"/>
              </w:rPr>
              <w:t>建设单位拟在投料口设置三面围挡，减少无组织排放，根据《固体物料堆存颗粒物产排污核算系数手册》，围挡可以减少60%粉尘产生，投料口减少落差等方式，可以有效控制粉尘产生，则无组织排放量为0.0390t/a。</w:t>
            </w:r>
          </w:p>
          <w:p w14:paraId="2958FFCE">
            <w:pPr>
              <w:pStyle w:val="18"/>
              <w:rPr>
                <w:rFonts w:hint="eastAsia" w:cs="Times New Roman"/>
                <w:b/>
                <w:bCs/>
                <w:color w:val="auto"/>
                <w:sz w:val="21"/>
                <w:szCs w:val="21"/>
                <w:lang w:val="en-US" w:eastAsia="zh-CN"/>
              </w:rPr>
            </w:pPr>
            <w:r>
              <w:rPr>
                <w:rFonts w:hint="eastAsia"/>
                <w:b/>
                <w:bCs/>
                <w:color w:val="auto"/>
                <w:lang w:val="en-US" w:eastAsia="zh-CN"/>
              </w:rPr>
              <w:t>（3）</w:t>
            </w:r>
            <w:r>
              <w:rPr>
                <w:rFonts w:hint="eastAsia" w:ascii="Times New Roman" w:hAnsi="Times New Roman" w:eastAsia="宋体" w:cs="Times New Roman"/>
                <w:b/>
                <w:bCs/>
                <w:color w:val="auto"/>
                <w:sz w:val="21"/>
                <w:szCs w:val="21"/>
                <w:lang w:val="en-US" w:eastAsia="zh-CN"/>
              </w:rPr>
              <w:t>水乳剂生产线</w:t>
            </w:r>
            <w:r>
              <w:rPr>
                <w:rFonts w:hint="eastAsia" w:cs="Times New Roman"/>
                <w:b/>
                <w:bCs/>
                <w:color w:val="auto"/>
                <w:sz w:val="21"/>
                <w:szCs w:val="21"/>
                <w:lang w:val="en-US" w:eastAsia="zh-CN"/>
              </w:rPr>
              <w:t>废气（3#车间）</w:t>
            </w:r>
          </w:p>
          <w:p w14:paraId="258B3573">
            <w:pPr>
              <w:pStyle w:val="18"/>
              <w:rPr>
                <w:rFonts w:hint="eastAsia"/>
                <w:b/>
                <w:bCs/>
                <w:color w:val="auto"/>
                <w:lang w:val="en-US" w:eastAsia="zh-CN"/>
              </w:rPr>
            </w:pPr>
            <w:r>
              <w:rPr>
                <w:rFonts w:hint="eastAsia"/>
                <w:b/>
                <w:bCs/>
                <w:color w:val="auto"/>
                <w:lang w:val="en-US" w:eastAsia="zh-CN"/>
              </w:rPr>
              <w:t>水乳剂生产线位于3#车间，阿维菌素和十二烷基苯磺酸钠均为难挥发物质，项目生产过程为常温，主要挥发物质为溶剂油270#，因此生产过程中主要是投料过程中产生的粉尘以及生产过程中溶剂油产生的非甲烷总烃。</w:t>
            </w:r>
          </w:p>
          <w:p w14:paraId="59E43063">
            <w:pPr>
              <w:pStyle w:val="18"/>
              <w:rPr>
                <w:rFonts w:hint="default"/>
                <w:b/>
                <w:bCs/>
                <w:color w:val="auto"/>
                <w:lang w:val="en-US" w:eastAsia="zh-CN"/>
              </w:rPr>
            </w:pPr>
            <w:r>
              <w:rPr>
                <w:rFonts w:hint="eastAsia"/>
                <w:b/>
                <w:bCs/>
                <w:color w:val="auto"/>
                <w:lang w:val="en-US" w:eastAsia="zh-CN"/>
              </w:rPr>
              <w:t>①投料过程的粉尘</w:t>
            </w:r>
          </w:p>
          <w:p w14:paraId="5F106679">
            <w:pPr>
              <w:pStyle w:val="18"/>
              <w:rPr>
                <w:rFonts w:hint="eastAsia"/>
                <w:color w:val="auto"/>
                <w:lang w:val="en-US" w:eastAsia="zh-CN"/>
              </w:rPr>
            </w:pPr>
            <w:r>
              <w:rPr>
                <w:rFonts w:hint="default"/>
                <w:color w:val="auto"/>
                <w:lang w:val="en-US" w:eastAsia="zh-CN"/>
              </w:rPr>
              <w:t>在投料过程中，固体状、粉末状物料会产生少量粉尘废气，参照《逸散尘的排放因子</w:t>
            </w:r>
            <w:r>
              <w:rPr>
                <w:rFonts w:hint="eastAsia"/>
                <w:color w:val="auto"/>
                <w:lang w:val="en-US" w:eastAsia="zh-CN"/>
              </w:rPr>
              <w:t>》</w:t>
            </w:r>
            <w:r>
              <w:rPr>
                <w:rFonts w:hint="default"/>
                <w:color w:val="auto"/>
                <w:lang w:val="en-US" w:eastAsia="zh-CN"/>
              </w:rPr>
              <w:t>中物质本项目下料颗粒物产污系数取0.3kg/t固体物料</w:t>
            </w:r>
            <w:r>
              <w:rPr>
                <w:rFonts w:hint="eastAsia"/>
                <w:color w:val="auto"/>
                <w:lang w:val="en-US" w:eastAsia="zh-CN"/>
              </w:rPr>
              <w:t>，本项目水乳剂固体</w:t>
            </w:r>
            <w:r>
              <w:rPr>
                <w:rFonts w:hint="default"/>
                <w:color w:val="auto"/>
                <w:lang w:val="en-US" w:eastAsia="zh-CN"/>
              </w:rPr>
              <w:t>、粉末状物料</w:t>
            </w:r>
            <w:r>
              <w:rPr>
                <w:rFonts w:hint="eastAsia"/>
                <w:color w:val="auto"/>
                <w:lang w:val="en-US" w:eastAsia="zh-CN"/>
              </w:rPr>
              <w:t>为35t/a（阿维菌素），则产生量为0.0105t/a。</w:t>
            </w:r>
          </w:p>
          <w:p w14:paraId="6543DE6D">
            <w:pPr>
              <w:pStyle w:val="18"/>
              <w:rPr>
                <w:rFonts w:hint="default"/>
                <w:color w:val="auto"/>
                <w:lang w:val="en-US" w:eastAsia="zh-CN"/>
              </w:rPr>
            </w:pPr>
            <w:r>
              <w:rPr>
                <w:rFonts w:hint="eastAsia"/>
                <w:color w:val="auto"/>
                <w:lang w:val="en-US" w:eastAsia="zh-CN"/>
              </w:rPr>
              <w:t>建设单位拟在投料口设置三面围挡，减少无组织排放，根据《固体物料堆存颗粒物产排污核算系数手册》，围挡可以减少60%粉尘产生，投料口减少落差等方式，可以有效控制粉尘产生，则无组织排放量为0.0042/a。</w:t>
            </w:r>
          </w:p>
          <w:p w14:paraId="0D044223">
            <w:pPr>
              <w:pStyle w:val="18"/>
              <w:rPr>
                <w:rFonts w:hint="default"/>
                <w:b/>
                <w:bCs/>
                <w:color w:val="auto"/>
                <w:lang w:val="en-US" w:eastAsia="zh-CN"/>
              </w:rPr>
            </w:pPr>
            <w:r>
              <w:rPr>
                <w:rFonts w:hint="eastAsia"/>
                <w:b/>
                <w:bCs/>
                <w:color w:val="auto"/>
                <w:lang w:val="en-US" w:eastAsia="zh-CN"/>
              </w:rPr>
              <w:t>②搅拌、配制过程非甲烷总烃（VOCs）</w:t>
            </w:r>
          </w:p>
          <w:p w14:paraId="19FC7258">
            <w:pPr>
              <w:pStyle w:val="18"/>
              <w:rPr>
                <w:rFonts w:hint="eastAsia"/>
                <w:color w:val="auto"/>
                <w:lang w:val="en-US" w:eastAsia="zh-CN"/>
              </w:rPr>
            </w:pPr>
            <w:r>
              <w:rPr>
                <w:rFonts w:hint="eastAsia"/>
                <w:color w:val="auto"/>
                <w:lang w:val="en-US" w:eastAsia="zh-CN"/>
              </w:rPr>
              <w:t>液体制剂在搅拌混合、配制产生少量有机废气（投料过程中溶剂油采用泵入，密闭进入，因此投料过程无有机废气产生），本项目工艺有机废气源强根据《环境统计手册》中有害物质敞露散发量计算公式2估算，挥发性溶剂的相关参数选取详见表4.2-2。</w:t>
            </w:r>
          </w:p>
          <w:p w14:paraId="54186365">
            <w:pPr>
              <w:pStyle w:val="18"/>
              <w:rPr>
                <w:rFonts w:hint="eastAsia"/>
                <w:color w:val="auto"/>
                <w:lang w:val="en-US" w:eastAsia="zh-CN"/>
              </w:rPr>
            </w:pPr>
            <w:r>
              <w:rPr>
                <w:rFonts w:hint="eastAsia"/>
                <w:color w:val="auto"/>
                <w:lang w:val="en-US" w:eastAsia="zh-CN"/>
              </w:rPr>
              <w:drawing>
                <wp:inline distT="0" distB="0" distL="114300" distR="114300">
                  <wp:extent cx="2153285" cy="301625"/>
                  <wp:effectExtent l="0" t="0" r="1841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153285" cy="301625"/>
                          </a:xfrm>
                          <a:prstGeom prst="rect">
                            <a:avLst/>
                          </a:prstGeom>
                          <a:noFill/>
                          <a:ln>
                            <a:noFill/>
                          </a:ln>
                        </pic:spPr>
                      </pic:pic>
                    </a:graphicData>
                  </a:graphic>
                </wp:inline>
              </w:drawing>
            </w:r>
          </w:p>
          <w:p w14:paraId="6F4C2AE7">
            <w:pPr>
              <w:pStyle w:val="18"/>
              <w:rPr>
                <w:rFonts w:hint="default"/>
                <w:color w:val="auto"/>
                <w:lang w:val="en-US" w:eastAsia="zh-CN"/>
              </w:rPr>
            </w:pPr>
            <w:r>
              <w:rPr>
                <w:rFonts w:hint="default"/>
                <w:color w:val="auto"/>
                <w:lang w:val="en-US" w:eastAsia="zh-CN"/>
              </w:rPr>
              <w:t>其中，Gs为有害物质散发量（g/h）；</w:t>
            </w:r>
          </w:p>
          <w:p w14:paraId="1325FB5D">
            <w:pPr>
              <w:pStyle w:val="18"/>
              <w:rPr>
                <w:rFonts w:hint="default"/>
                <w:color w:val="auto"/>
                <w:lang w:val="en-US" w:eastAsia="zh-CN"/>
              </w:rPr>
            </w:pPr>
            <w:r>
              <w:rPr>
                <w:rFonts w:hint="default"/>
                <w:color w:val="auto"/>
                <w:lang w:val="en-US" w:eastAsia="zh-CN"/>
              </w:rPr>
              <w:t>u为液面上的风速（m/s）；</w:t>
            </w:r>
            <w:r>
              <w:rPr>
                <w:rFonts w:hint="eastAsia"/>
                <w:color w:val="auto"/>
                <w:lang w:val="en-US" w:eastAsia="zh-CN"/>
              </w:rPr>
              <w:t>本项目取0.05m/s</w:t>
            </w:r>
          </w:p>
          <w:p w14:paraId="731F55CF">
            <w:pPr>
              <w:pStyle w:val="18"/>
              <w:rPr>
                <w:rFonts w:hint="default"/>
                <w:color w:val="auto"/>
                <w:lang w:val="en-US" w:eastAsia="zh-CN"/>
              </w:rPr>
            </w:pPr>
            <w:r>
              <w:rPr>
                <w:rFonts w:hint="default"/>
                <w:color w:val="auto"/>
                <w:lang w:val="en-US" w:eastAsia="zh-CN"/>
              </w:rPr>
              <w:t>P为有害物质存在温度下</w:t>
            </w:r>
            <w:r>
              <w:rPr>
                <w:rFonts w:hint="eastAsia"/>
                <w:color w:val="auto"/>
                <w:lang w:val="en-US" w:eastAsia="zh-CN"/>
              </w:rPr>
              <w:t>饱和蒸汽</w:t>
            </w:r>
            <w:r>
              <w:rPr>
                <w:rFonts w:hint="default"/>
                <w:color w:val="auto"/>
                <w:lang w:val="en-US" w:eastAsia="zh-CN"/>
              </w:rPr>
              <w:t>压（mmHg）；</w:t>
            </w:r>
          </w:p>
          <w:p w14:paraId="18079AFD">
            <w:pPr>
              <w:pStyle w:val="18"/>
              <w:rPr>
                <w:rFonts w:hint="default"/>
                <w:color w:val="auto"/>
                <w:vertAlign w:val="superscript"/>
                <w:lang w:val="en-US" w:eastAsia="zh-CN"/>
              </w:rPr>
            </w:pPr>
            <w:r>
              <w:rPr>
                <w:rFonts w:hint="default"/>
                <w:color w:val="auto"/>
                <w:lang w:val="en-US" w:eastAsia="zh-CN"/>
              </w:rPr>
              <w:t>F为敞露面积（</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lang w:val="en-US" w:eastAsia="zh-CN"/>
              </w:rPr>
              <w:t>本项目搅拌罐取1m</w:t>
            </w:r>
            <w:r>
              <w:rPr>
                <w:rFonts w:hint="eastAsia"/>
                <w:color w:val="auto"/>
                <w:vertAlign w:val="superscript"/>
                <w:lang w:val="en-US" w:eastAsia="zh-CN"/>
              </w:rPr>
              <w:t>2</w:t>
            </w:r>
          </w:p>
          <w:p w14:paraId="03C7E463">
            <w:pPr>
              <w:pStyle w:val="18"/>
              <w:rPr>
                <w:rFonts w:hint="default"/>
                <w:color w:val="auto"/>
                <w:lang w:val="en-US" w:eastAsia="zh-CN"/>
              </w:rPr>
            </w:pPr>
            <w:r>
              <w:rPr>
                <w:rFonts w:hint="default"/>
                <w:color w:val="auto"/>
                <w:lang w:val="en-US" w:eastAsia="zh-CN"/>
              </w:rPr>
              <w:t>M为有害物质分子量（无量纲）。</w:t>
            </w:r>
          </w:p>
          <w:p w14:paraId="55A5C9A4">
            <w:pPr>
              <w:autoSpaceDE w:val="0"/>
              <w:autoSpaceDN w:val="0"/>
              <w:adjustRightInd w:val="0"/>
              <w:snapToGrid w:val="0"/>
              <w:ind w:firstLine="422"/>
              <w:jc w:val="center"/>
              <w:rPr>
                <w:rFonts w:hint="eastAsia"/>
                <w:b/>
                <w:bCs/>
                <w:color w:val="auto"/>
                <w:kern w:val="0"/>
                <w:szCs w:val="21"/>
              </w:rPr>
            </w:pPr>
            <w:r>
              <w:rPr>
                <w:rFonts w:hint="eastAsia"/>
                <w:b/>
                <w:bCs/>
                <w:color w:val="auto"/>
                <w:kern w:val="0"/>
                <w:szCs w:val="21"/>
                <w:lang w:val="en-US" w:eastAsia="zh-CN"/>
              </w:rPr>
              <w:t>表4-3主要溶剂搅拌、静置物料挥发源强核算</w:t>
            </w:r>
            <w:r>
              <w:rPr>
                <w:rFonts w:hint="eastAsia"/>
                <w:b/>
                <w:bCs/>
                <w:color w:val="auto"/>
                <w:kern w:val="0"/>
                <w:szCs w:val="21"/>
              </w:rPr>
              <w:t>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577"/>
              <w:gridCol w:w="1577"/>
              <w:gridCol w:w="1577"/>
              <w:gridCol w:w="1577"/>
            </w:tblGrid>
            <w:tr w14:paraId="2382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14:paraId="2AFEACB8">
                  <w:pPr>
                    <w:jc w:val="center"/>
                    <w:rPr>
                      <w:rFonts w:hint="default"/>
                      <w:color w:val="auto"/>
                      <w:lang w:val="en-US" w:eastAsia="zh-CN"/>
                    </w:rPr>
                  </w:pPr>
                  <w:r>
                    <w:rPr>
                      <w:rFonts w:hint="eastAsia"/>
                      <w:color w:val="auto"/>
                      <w:lang w:val="en-US" w:eastAsia="zh-CN"/>
                    </w:rPr>
                    <w:t>原料名称</w:t>
                  </w:r>
                </w:p>
              </w:tc>
              <w:tc>
                <w:tcPr>
                  <w:tcW w:w="1577" w:type="dxa"/>
                </w:tcPr>
                <w:p w14:paraId="24BC973B">
                  <w:pPr>
                    <w:jc w:val="center"/>
                    <w:rPr>
                      <w:rFonts w:hint="eastAsia"/>
                      <w:color w:val="auto"/>
                      <w:lang w:val="en-US" w:eastAsia="zh-CN"/>
                    </w:rPr>
                  </w:pPr>
                  <w:r>
                    <w:rPr>
                      <w:rFonts w:hint="eastAsia"/>
                      <w:color w:val="auto"/>
                      <w:lang w:val="en-US" w:eastAsia="zh-CN"/>
                    </w:rPr>
                    <w:t>P(mmHg）</w:t>
                  </w:r>
                </w:p>
              </w:tc>
              <w:tc>
                <w:tcPr>
                  <w:tcW w:w="1577" w:type="dxa"/>
                </w:tcPr>
                <w:p w14:paraId="507BC7C6">
                  <w:pPr>
                    <w:jc w:val="center"/>
                    <w:rPr>
                      <w:rFonts w:hint="eastAsia"/>
                      <w:color w:val="auto"/>
                      <w:lang w:val="en-US" w:eastAsia="zh-CN"/>
                    </w:rPr>
                  </w:pPr>
                  <w:r>
                    <w:rPr>
                      <w:rFonts w:hint="eastAsia"/>
                      <w:color w:val="auto"/>
                      <w:lang w:val="en-US" w:eastAsia="zh-CN"/>
                    </w:rPr>
                    <w:t>u(m/s）</w:t>
                  </w:r>
                </w:p>
              </w:tc>
              <w:tc>
                <w:tcPr>
                  <w:tcW w:w="1577" w:type="dxa"/>
                </w:tcPr>
                <w:p w14:paraId="2D7B2064">
                  <w:pPr>
                    <w:jc w:val="center"/>
                    <w:rPr>
                      <w:rFonts w:hint="eastAsia"/>
                      <w:color w:val="auto"/>
                      <w:lang w:val="en-US" w:eastAsia="zh-CN"/>
                    </w:rPr>
                  </w:pPr>
                  <w:r>
                    <w:rPr>
                      <w:rFonts w:hint="eastAsia"/>
                      <w:color w:val="auto"/>
                      <w:lang w:val="en-US" w:eastAsia="zh-CN"/>
                    </w:rPr>
                    <w:t>M分子量</w:t>
                  </w:r>
                </w:p>
              </w:tc>
              <w:tc>
                <w:tcPr>
                  <w:tcW w:w="1577" w:type="dxa"/>
                </w:tcPr>
                <w:p w14:paraId="6378224C">
                  <w:pPr>
                    <w:jc w:val="center"/>
                    <w:rPr>
                      <w:rFonts w:hint="eastAsia"/>
                      <w:color w:val="auto"/>
                      <w:lang w:val="en-US" w:eastAsia="zh-CN"/>
                    </w:rPr>
                  </w:pPr>
                  <w:r>
                    <w:rPr>
                      <w:rFonts w:hint="eastAsia"/>
                      <w:color w:val="auto"/>
                      <w:lang w:val="en-US" w:eastAsia="zh-CN"/>
                    </w:rPr>
                    <w:t>Gs(g/h.m</w:t>
                  </w:r>
                  <w:r>
                    <w:rPr>
                      <w:rFonts w:hint="eastAsia"/>
                      <w:color w:val="auto"/>
                      <w:vertAlign w:val="superscript"/>
                      <w:lang w:val="en-US" w:eastAsia="zh-CN"/>
                    </w:rPr>
                    <w:t>2</w:t>
                  </w:r>
                  <w:r>
                    <w:rPr>
                      <w:rFonts w:hint="eastAsia"/>
                      <w:color w:val="auto"/>
                      <w:lang w:val="en-US" w:eastAsia="zh-CN"/>
                    </w:rPr>
                    <w:t>）</w:t>
                  </w:r>
                </w:p>
              </w:tc>
            </w:tr>
            <w:tr w14:paraId="4570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14:paraId="48C44288">
                  <w:pPr>
                    <w:jc w:val="center"/>
                    <w:rPr>
                      <w:rFonts w:hint="default"/>
                      <w:color w:val="auto"/>
                      <w:lang w:val="en-US" w:eastAsia="zh-CN"/>
                    </w:rPr>
                  </w:pPr>
                  <w:r>
                    <w:rPr>
                      <w:rFonts w:hint="eastAsia"/>
                      <w:color w:val="auto"/>
                      <w:lang w:val="en-US" w:eastAsia="zh-CN"/>
                    </w:rPr>
                    <w:t>溶剂油</w:t>
                  </w:r>
                </w:p>
              </w:tc>
              <w:tc>
                <w:tcPr>
                  <w:tcW w:w="1577" w:type="dxa"/>
                </w:tcPr>
                <w:p w14:paraId="0D2DECE8">
                  <w:pPr>
                    <w:jc w:val="center"/>
                    <w:rPr>
                      <w:rFonts w:hint="default"/>
                      <w:color w:val="auto"/>
                      <w:lang w:val="en-US" w:eastAsia="zh-CN"/>
                    </w:rPr>
                  </w:pPr>
                  <w:r>
                    <w:rPr>
                      <w:rFonts w:hint="eastAsia"/>
                      <w:color w:val="auto"/>
                      <w:lang w:val="en-US" w:eastAsia="zh-CN"/>
                    </w:rPr>
                    <w:t>9.77</w:t>
                  </w:r>
                </w:p>
              </w:tc>
              <w:tc>
                <w:tcPr>
                  <w:tcW w:w="1577" w:type="dxa"/>
                </w:tcPr>
                <w:p w14:paraId="32DAAB63">
                  <w:pPr>
                    <w:jc w:val="center"/>
                    <w:rPr>
                      <w:rFonts w:hint="default"/>
                      <w:color w:val="auto"/>
                      <w:lang w:val="en-US" w:eastAsia="zh-CN"/>
                    </w:rPr>
                  </w:pPr>
                  <w:r>
                    <w:rPr>
                      <w:rFonts w:hint="eastAsia"/>
                      <w:color w:val="auto"/>
                      <w:lang w:val="en-US" w:eastAsia="zh-CN"/>
                    </w:rPr>
                    <w:t>0.05</w:t>
                  </w:r>
                </w:p>
              </w:tc>
              <w:tc>
                <w:tcPr>
                  <w:tcW w:w="1577" w:type="dxa"/>
                </w:tcPr>
                <w:p w14:paraId="1B79BAD2">
                  <w:pPr>
                    <w:jc w:val="center"/>
                    <w:rPr>
                      <w:rFonts w:hint="default"/>
                      <w:color w:val="auto"/>
                      <w:lang w:val="en-US" w:eastAsia="zh-CN"/>
                    </w:rPr>
                  </w:pPr>
                  <w:r>
                    <w:rPr>
                      <w:rFonts w:hint="eastAsia"/>
                      <w:color w:val="auto"/>
                      <w:lang w:val="en-US" w:eastAsia="zh-CN"/>
                    </w:rPr>
                    <w:t>114</w:t>
                  </w:r>
                </w:p>
              </w:tc>
              <w:tc>
                <w:tcPr>
                  <w:tcW w:w="1577" w:type="dxa"/>
                </w:tcPr>
                <w:p w14:paraId="78CC0BE6">
                  <w:pPr>
                    <w:jc w:val="center"/>
                    <w:rPr>
                      <w:rFonts w:hint="default"/>
                      <w:color w:val="auto"/>
                      <w:lang w:val="en-US" w:eastAsia="zh-CN"/>
                    </w:rPr>
                  </w:pPr>
                  <w:r>
                    <w:rPr>
                      <w:rFonts w:hint="eastAsia"/>
                      <w:color w:val="auto"/>
                      <w:lang w:val="en-US" w:eastAsia="zh-CN"/>
                    </w:rPr>
                    <w:t>582.75</w:t>
                  </w:r>
                </w:p>
              </w:tc>
            </w:tr>
          </w:tbl>
          <w:p w14:paraId="032E178D">
            <w:pPr>
              <w:pStyle w:val="18"/>
              <w:rPr>
                <w:rFonts w:hint="eastAsia"/>
                <w:color w:val="auto"/>
                <w:lang w:val="en-US" w:eastAsia="zh-CN"/>
              </w:rPr>
            </w:pPr>
            <w:r>
              <w:rPr>
                <w:rFonts w:hint="default"/>
                <w:color w:val="auto"/>
                <w:lang w:val="en-US" w:eastAsia="zh-CN"/>
              </w:rPr>
              <w:t>搅拌、配制过程VOCs有机废气由管道收集后经</w:t>
            </w:r>
            <w:r>
              <w:rPr>
                <w:rFonts w:hint="eastAsia"/>
                <w:color w:val="auto"/>
                <w:lang w:val="en-US" w:eastAsia="zh-CN"/>
              </w:rPr>
              <w:t>水乳剂</w:t>
            </w:r>
            <w:r>
              <w:rPr>
                <w:rFonts w:hint="default"/>
                <w:color w:val="auto"/>
                <w:lang w:val="en-US" w:eastAsia="zh-CN"/>
              </w:rPr>
              <w:t>生产线配备的“</w:t>
            </w:r>
            <w:r>
              <w:rPr>
                <w:rFonts w:hint="eastAsia"/>
                <w:color w:val="auto"/>
                <w:lang w:val="en-US" w:eastAsia="zh-CN"/>
              </w:rPr>
              <w:t>二级活性炭</w:t>
            </w:r>
            <w:r>
              <w:rPr>
                <w:rFonts w:hint="default"/>
                <w:color w:val="auto"/>
                <w:lang w:val="en-US" w:eastAsia="zh-CN"/>
              </w:rPr>
              <w:t>”</w:t>
            </w:r>
            <w:r>
              <w:rPr>
                <w:rFonts w:hint="eastAsia"/>
                <w:color w:val="auto"/>
                <w:lang w:val="en-US" w:eastAsia="zh-CN"/>
              </w:rPr>
              <w:t>（5000m</w:t>
            </w:r>
            <w:r>
              <w:rPr>
                <w:rFonts w:hint="eastAsia"/>
                <w:color w:val="auto"/>
                <w:vertAlign w:val="superscript"/>
                <w:lang w:val="en-US" w:eastAsia="zh-CN"/>
              </w:rPr>
              <w:t>3</w:t>
            </w:r>
            <w:r>
              <w:rPr>
                <w:rFonts w:hint="eastAsia"/>
                <w:color w:val="auto"/>
                <w:lang w:val="en-US" w:eastAsia="zh-CN"/>
              </w:rPr>
              <w:t>/h）</w:t>
            </w:r>
            <w:r>
              <w:rPr>
                <w:rFonts w:hint="default"/>
                <w:color w:val="auto"/>
                <w:lang w:val="en-US" w:eastAsia="zh-CN"/>
              </w:rPr>
              <w:t>处理后</w:t>
            </w:r>
            <w:r>
              <w:rPr>
                <w:rFonts w:hint="eastAsia"/>
                <w:color w:val="auto"/>
                <w:lang w:val="en-US" w:eastAsia="zh-CN"/>
              </w:rPr>
              <w:t>15m</w:t>
            </w:r>
            <w:r>
              <w:rPr>
                <w:rFonts w:hint="default"/>
                <w:color w:val="auto"/>
                <w:lang w:val="en-US" w:eastAsia="zh-CN"/>
              </w:rPr>
              <w:t>排放</w:t>
            </w:r>
            <w:r>
              <w:rPr>
                <w:rFonts w:hint="eastAsia"/>
                <w:color w:val="auto"/>
                <w:lang w:val="en-US" w:eastAsia="zh-CN"/>
              </w:rPr>
              <w:t>（DA002）。</w:t>
            </w:r>
          </w:p>
          <w:p w14:paraId="3A8E9700">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表4-4水乳剂生产废气产生一览表</w:t>
            </w:r>
          </w:p>
          <w:tbl>
            <w:tblPr>
              <w:tblStyle w:val="20"/>
              <w:tblW w:w="8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748"/>
              <w:gridCol w:w="915"/>
              <w:gridCol w:w="825"/>
              <w:gridCol w:w="1830"/>
              <w:gridCol w:w="1052"/>
              <w:gridCol w:w="990"/>
              <w:gridCol w:w="855"/>
            </w:tblGrid>
            <w:tr w14:paraId="1391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66" w:type="dxa"/>
                  <w:vAlign w:val="center"/>
                </w:tcPr>
                <w:p w14:paraId="0310D745">
                  <w:pPr>
                    <w:jc w:val="center"/>
                    <w:rPr>
                      <w:rFonts w:hint="default"/>
                      <w:color w:val="auto"/>
                      <w:lang w:val="en-US" w:eastAsia="zh-CN"/>
                    </w:rPr>
                  </w:pPr>
                  <w:r>
                    <w:rPr>
                      <w:rFonts w:hint="eastAsia"/>
                      <w:color w:val="auto"/>
                      <w:lang w:val="en-US" w:eastAsia="zh-CN"/>
                    </w:rPr>
                    <w:t>产污</w:t>
                  </w:r>
                </w:p>
              </w:tc>
              <w:tc>
                <w:tcPr>
                  <w:tcW w:w="748" w:type="dxa"/>
                  <w:vAlign w:val="center"/>
                </w:tcPr>
                <w:p w14:paraId="2B333A93">
                  <w:pPr>
                    <w:jc w:val="center"/>
                    <w:rPr>
                      <w:rFonts w:hint="default"/>
                      <w:color w:val="auto"/>
                      <w:lang w:val="en-US" w:eastAsia="zh-CN"/>
                    </w:rPr>
                  </w:pPr>
                  <w:r>
                    <w:rPr>
                      <w:rFonts w:hint="eastAsia"/>
                      <w:color w:val="auto"/>
                      <w:lang w:val="en-US" w:eastAsia="zh-CN"/>
                    </w:rPr>
                    <w:t>污染物</w:t>
                  </w:r>
                </w:p>
              </w:tc>
              <w:tc>
                <w:tcPr>
                  <w:tcW w:w="915" w:type="dxa"/>
                  <w:vAlign w:val="center"/>
                </w:tcPr>
                <w:p w14:paraId="5576D879">
                  <w:pPr>
                    <w:jc w:val="center"/>
                    <w:rPr>
                      <w:rFonts w:hint="default"/>
                      <w:color w:val="auto"/>
                      <w:lang w:val="en-US" w:eastAsia="zh-CN"/>
                    </w:rPr>
                  </w:pPr>
                  <w:r>
                    <w:rPr>
                      <w:rFonts w:hint="eastAsia"/>
                      <w:color w:val="auto"/>
                      <w:lang w:val="en-US" w:eastAsia="zh-CN"/>
                    </w:rPr>
                    <w:t>产生速率kg/h</w:t>
                  </w:r>
                </w:p>
              </w:tc>
              <w:tc>
                <w:tcPr>
                  <w:tcW w:w="825" w:type="dxa"/>
                  <w:vAlign w:val="center"/>
                </w:tcPr>
                <w:p w14:paraId="59C94041">
                  <w:pPr>
                    <w:jc w:val="center"/>
                    <w:rPr>
                      <w:rFonts w:hint="default"/>
                      <w:color w:val="auto"/>
                      <w:lang w:val="en-US" w:eastAsia="zh-CN"/>
                    </w:rPr>
                  </w:pPr>
                  <w:r>
                    <w:rPr>
                      <w:rFonts w:hint="eastAsia"/>
                      <w:color w:val="auto"/>
                      <w:lang w:val="en-US" w:eastAsia="zh-CN"/>
                    </w:rPr>
                    <w:t>产生量t/a</w:t>
                  </w:r>
                </w:p>
              </w:tc>
              <w:tc>
                <w:tcPr>
                  <w:tcW w:w="1830" w:type="dxa"/>
                  <w:vAlign w:val="center"/>
                </w:tcPr>
                <w:p w14:paraId="0ACF2D24">
                  <w:pPr>
                    <w:jc w:val="center"/>
                    <w:rPr>
                      <w:rFonts w:hint="default"/>
                      <w:color w:val="auto"/>
                      <w:lang w:val="en-US" w:eastAsia="zh-CN"/>
                    </w:rPr>
                  </w:pPr>
                  <w:r>
                    <w:rPr>
                      <w:rFonts w:hint="eastAsia"/>
                      <w:color w:val="auto"/>
                      <w:lang w:val="en-US" w:eastAsia="zh-CN"/>
                    </w:rPr>
                    <w:t>处理措施</w:t>
                  </w:r>
                </w:p>
              </w:tc>
              <w:tc>
                <w:tcPr>
                  <w:tcW w:w="1052" w:type="dxa"/>
                  <w:vAlign w:val="center"/>
                </w:tcPr>
                <w:p w14:paraId="2B0E0AA4">
                  <w:pPr>
                    <w:jc w:val="center"/>
                    <w:rPr>
                      <w:rFonts w:hint="default"/>
                      <w:color w:val="auto"/>
                      <w:lang w:val="en-US" w:eastAsia="zh-CN"/>
                    </w:rPr>
                  </w:pPr>
                  <w:r>
                    <w:rPr>
                      <w:rFonts w:hint="eastAsia"/>
                      <w:color w:val="auto"/>
                      <w:lang w:val="en-US" w:eastAsia="zh-CN"/>
                    </w:rPr>
                    <w:t>排放浓度</w:t>
                  </w:r>
                  <w:r>
                    <w:rPr>
                      <w:color w:val="auto"/>
                    </w:rPr>
                    <w:t>mg/m</w:t>
                  </w:r>
                  <w:r>
                    <w:rPr>
                      <w:color w:val="auto"/>
                      <w:vertAlign w:val="superscript"/>
                    </w:rPr>
                    <w:t>3</w:t>
                  </w:r>
                </w:p>
              </w:tc>
              <w:tc>
                <w:tcPr>
                  <w:tcW w:w="990" w:type="dxa"/>
                  <w:vAlign w:val="center"/>
                </w:tcPr>
                <w:p w14:paraId="1C88E700">
                  <w:pPr>
                    <w:jc w:val="center"/>
                    <w:rPr>
                      <w:rFonts w:hint="default"/>
                      <w:color w:val="auto"/>
                      <w:lang w:val="en-US" w:eastAsia="zh-CN"/>
                    </w:rPr>
                  </w:pPr>
                  <w:r>
                    <w:rPr>
                      <w:rFonts w:hint="eastAsia"/>
                      <w:color w:val="auto"/>
                      <w:lang w:val="en-US" w:eastAsia="zh-CN"/>
                    </w:rPr>
                    <w:t>排放速率kg/h</w:t>
                  </w:r>
                </w:p>
              </w:tc>
              <w:tc>
                <w:tcPr>
                  <w:tcW w:w="855" w:type="dxa"/>
                  <w:vAlign w:val="center"/>
                </w:tcPr>
                <w:p w14:paraId="3F625074">
                  <w:pPr>
                    <w:jc w:val="center"/>
                    <w:rPr>
                      <w:rFonts w:hint="default"/>
                      <w:color w:val="auto"/>
                      <w:lang w:val="en-US" w:eastAsia="zh-CN"/>
                    </w:rPr>
                  </w:pPr>
                  <w:r>
                    <w:rPr>
                      <w:rFonts w:hint="eastAsia"/>
                      <w:color w:val="auto"/>
                      <w:lang w:val="en-US" w:eastAsia="zh-CN"/>
                    </w:rPr>
                    <w:t>排放量t/a</w:t>
                  </w:r>
                </w:p>
              </w:tc>
            </w:tr>
            <w:tr w14:paraId="4520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66" w:type="dxa"/>
                  <w:vAlign w:val="center"/>
                </w:tcPr>
                <w:p w14:paraId="5B3BE58D">
                  <w:pPr>
                    <w:jc w:val="center"/>
                    <w:rPr>
                      <w:rFonts w:hint="default"/>
                      <w:color w:val="auto"/>
                      <w:lang w:val="en-US" w:eastAsia="zh-CN"/>
                    </w:rPr>
                  </w:pPr>
                  <w:r>
                    <w:rPr>
                      <w:rFonts w:hint="default"/>
                      <w:color w:val="auto"/>
                      <w:lang w:val="en-US" w:eastAsia="zh-CN"/>
                    </w:rPr>
                    <w:t>搅拌、配制</w:t>
                  </w:r>
                </w:p>
              </w:tc>
              <w:tc>
                <w:tcPr>
                  <w:tcW w:w="748" w:type="dxa"/>
                  <w:vAlign w:val="center"/>
                </w:tcPr>
                <w:p w14:paraId="10AE67DD">
                  <w:pPr>
                    <w:jc w:val="center"/>
                    <w:rPr>
                      <w:rFonts w:hint="default"/>
                      <w:color w:val="auto"/>
                      <w:lang w:val="en-US" w:eastAsia="zh-CN"/>
                    </w:rPr>
                  </w:pPr>
                  <w:r>
                    <w:rPr>
                      <w:rFonts w:hint="eastAsia"/>
                      <w:color w:val="auto"/>
                      <w:lang w:val="en-US" w:eastAsia="zh-CN"/>
                    </w:rPr>
                    <w:t>非甲烷总烃</w:t>
                  </w:r>
                </w:p>
              </w:tc>
              <w:tc>
                <w:tcPr>
                  <w:tcW w:w="915" w:type="dxa"/>
                  <w:vAlign w:val="center"/>
                </w:tcPr>
                <w:p w14:paraId="1DAA1CA2">
                  <w:pPr>
                    <w:jc w:val="center"/>
                    <w:rPr>
                      <w:rFonts w:hint="default"/>
                      <w:color w:val="auto"/>
                      <w:lang w:val="en-US" w:eastAsia="zh-CN"/>
                    </w:rPr>
                  </w:pPr>
                  <w:r>
                    <w:rPr>
                      <w:rFonts w:hint="eastAsia"/>
                      <w:color w:val="auto"/>
                      <w:lang w:val="en-US" w:eastAsia="zh-CN"/>
                    </w:rPr>
                    <w:t>0.5828</w:t>
                  </w:r>
                </w:p>
              </w:tc>
              <w:tc>
                <w:tcPr>
                  <w:tcW w:w="825" w:type="dxa"/>
                  <w:vAlign w:val="center"/>
                </w:tcPr>
                <w:p w14:paraId="39642F77">
                  <w:pPr>
                    <w:jc w:val="center"/>
                    <w:rPr>
                      <w:rFonts w:hint="default"/>
                      <w:color w:val="auto"/>
                      <w:lang w:val="en-US" w:eastAsia="zh-CN"/>
                    </w:rPr>
                  </w:pPr>
                  <w:r>
                    <w:rPr>
                      <w:rFonts w:hint="eastAsia"/>
                      <w:color w:val="auto"/>
                      <w:lang w:val="en-US" w:eastAsia="zh-CN"/>
                    </w:rPr>
                    <w:t>4.1959</w:t>
                  </w:r>
                </w:p>
              </w:tc>
              <w:tc>
                <w:tcPr>
                  <w:tcW w:w="1830" w:type="dxa"/>
                  <w:vAlign w:val="center"/>
                </w:tcPr>
                <w:p w14:paraId="7D5F2957">
                  <w:pPr>
                    <w:jc w:val="center"/>
                    <w:rPr>
                      <w:rFonts w:hint="default"/>
                      <w:color w:val="auto"/>
                      <w:lang w:val="en-US" w:eastAsia="zh-CN"/>
                    </w:rPr>
                  </w:pPr>
                  <w:r>
                    <w:rPr>
                      <w:rFonts w:hint="default"/>
                      <w:color w:val="auto"/>
                      <w:lang w:val="en-US" w:eastAsia="zh-CN"/>
                    </w:rPr>
                    <w:t>“二级活性炭”（5000m</w:t>
                  </w:r>
                  <w:r>
                    <w:rPr>
                      <w:rFonts w:hint="default"/>
                      <w:color w:val="auto"/>
                      <w:vertAlign w:val="superscript"/>
                      <w:lang w:val="en-US" w:eastAsia="zh-CN"/>
                    </w:rPr>
                    <w:t>3</w:t>
                  </w:r>
                  <w:r>
                    <w:rPr>
                      <w:rFonts w:hint="default"/>
                      <w:color w:val="auto"/>
                      <w:lang w:val="en-US" w:eastAsia="zh-CN"/>
                    </w:rPr>
                    <w:t>/h）处理后15m排放（DA00</w:t>
                  </w:r>
                  <w:r>
                    <w:rPr>
                      <w:rFonts w:hint="eastAsia"/>
                      <w:color w:val="auto"/>
                      <w:lang w:val="en-US" w:eastAsia="zh-CN"/>
                    </w:rPr>
                    <w:t>2</w:t>
                  </w:r>
                  <w:r>
                    <w:rPr>
                      <w:rFonts w:hint="default"/>
                      <w:color w:val="auto"/>
                      <w:lang w:val="en-US" w:eastAsia="zh-CN"/>
                    </w:rPr>
                    <w:t>）</w:t>
                  </w:r>
                </w:p>
              </w:tc>
              <w:tc>
                <w:tcPr>
                  <w:tcW w:w="1052" w:type="dxa"/>
                  <w:vAlign w:val="center"/>
                </w:tcPr>
                <w:p w14:paraId="6F94AA2C">
                  <w:pPr>
                    <w:jc w:val="center"/>
                    <w:rPr>
                      <w:rFonts w:hint="default"/>
                      <w:color w:val="auto"/>
                      <w:lang w:val="en-US" w:eastAsia="zh-CN"/>
                    </w:rPr>
                  </w:pPr>
                  <w:r>
                    <w:rPr>
                      <w:rFonts w:hint="eastAsia"/>
                      <w:color w:val="auto"/>
                      <w:lang w:val="en-US" w:eastAsia="zh-CN"/>
                    </w:rPr>
                    <w:t>11.080</w:t>
                  </w:r>
                </w:p>
              </w:tc>
              <w:tc>
                <w:tcPr>
                  <w:tcW w:w="990" w:type="dxa"/>
                  <w:vAlign w:val="center"/>
                </w:tcPr>
                <w:p w14:paraId="097FDEB6">
                  <w:pPr>
                    <w:jc w:val="center"/>
                    <w:rPr>
                      <w:rFonts w:hint="default"/>
                      <w:color w:val="auto"/>
                      <w:lang w:val="en-US" w:eastAsia="zh-CN"/>
                    </w:rPr>
                  </w:pPr>
                  <w:r>
                    <w:rPr>
                      <w:rFonts w:hint="eastAsia"/>
                      <w:color w:val="auto"/>
                      <w:lang w:val="en-US" w:eastAsia="zh-CN"/>
                    </w:rPr>
                    <w:t>0.0554</w:t>
                  </w:r>
                </w:p>
              </w:tc>
              <w:tc>
                <w:tcPr>
                  <w:tcW w:w="855" w:type="dxa"/>
                  <w:vAlign w:val="center"/>
                </w:tcPr>
                <w:p w14:paraId="510D405E">
                  <w:pPr>
                    <w:jc w:val="center"/>
                    <w:rPr>
                      <w:rFonts w:hint="default"/>
                      <w:color w:val="auto"/>
                      <w:lang w:val="en-US" w:eastAsia="zh-CN"/>
                    </w:rPr>
                  </w:pPr>
                  <w:r>
                    <w:rPr>
                      <w:rFonts w:hint="eastAsia"/>
                      <w:color w:val="auto"/>
                      <w:lang w:val="en-US" w:eastAsia="zh-CN"/>
                    </w:rPr>
                    <w:t>0.3986</w:t>
                  </w:r>
                </w:p>
              </w:tc>
            </w:tr>
          </w:tbl>
          <w:p w14:paraId="36860E46">
            <w:pPr>
              <w:pStyle w:val="18"/>
              <w:rPr>
                <w:rFonts w:hint="eastAsia" w:cs="Times New Roman"/>
                <w:b/>
                <w:bCs/>
                <w:color w:val="auto"/>
                <w:sz w:val="21"/>
                <w:szCs w:val="21"/>
                <w:lang w:val="en-US" w:eastAsia="zh-CN"/>
              </w:rPr>
            </w:pPr>
            <w:r>
              <w:rPr>
                <w:rFonts w:hint="eastAsia"/>
                <w:b/>
                <w:bCs/>
                <w:color w:val="auto"/>
                <w:lang w:val="en-US" w:eastAsia="zh-CN"/>
              </w:rPr>
              <w:t>（4）</w:t>
            </w:r>
            <w:r>
              <w:rPr>
                <w:rFonts w:hint="eastAsia" w:ascii="Times New Roman" w:hAnsi="Times New Roman" w:eastAsia="宋体" w:cs="Times New Roman"/>
                <w:b/>
                <w:bCs/>
                <w:color w:val="auto"/>
                <w:sz w:val="21"/>
                <w:szCs w:val="21"/>
                <w:lang w:val="en-US" w:eastAsia="zh-CN"/>
              </w:rPr>
              <w:t>水剂生产线</w:t>
            </w:r>
            <w:r>
              <w:rPr>
                <w:rFonts w:hint="eastAsia" w:cs="Times New Roman"/>
                <w:b/>
                <w:bCs/>
                <w:color w:val="auto"/>
                <w:sz w:val="21"/>
                <w:szCs w:val="21"/>
                <w:lang w:val="en-US" w:eastAsia="zh-CN"/>
              </w:rPr>
              <w:t>废气（4#车间）</w:t>
            </w:r>
          </w:p>
          <w:p w14:paraId="6248F872">
            <w:pPr>
              <w:pStyle w:val="18"/>
              <w:rPr>
                <w:rFonts w:hint="eastAsia"/>
                <w:b/>
                <w:bCs/>
                <w:color w:val="auto"/>
                <w:lang w:val="en-US" w:eastAsia="zh-CN"/>
              </w:rPr>
            </w:pPr>
            <w:r>
              <w:rPr>
                <w:rFonts w:hint="eastAsia"/>
                <w:b/>
                <w:bCs/>
                <w:color w:val="auto"/>
                <w:lang w:val="en-US" w:eastAsia="zh-CN"/>
              </w:rPr>
              <w:t>本项目水剂仅采用纯水，苦参碱、十二烷基硫酸钙为固体，无挥发性，属于无机物，不会产生非甲烷总烃，生产过程中仅投料过程产生少量粉尘，污染因子为颗粒物。后续混配，灌装过程均为液体状态，不产生废气。</w:t>
            </w:r>
          </w:p>
          <w:p w14:paraId="60A41259">
            <w:pPr>
              <w:pStyle w:val="18"/>
              <w:rPr>
                <w:rFonts w:hint="eastAsia"/>
                <w:color w:val="auto"/>
                <w:lang w:val="en-US" w:eastAsia="zh-CN"/>
              </w:rPr>
            </w:pPr>
            <w:r>
              <w:rPr>
                <w:rFonts w:hint="default"/>
                <w:color w:val="auto"/>
                <w:lang w:val="en-US" w:eastAsia="zh-CN"/>
              </w:rPr>
              <w:t>在投料过程中，固体状、粉末状物料会产生少量粉尘废气，参照《逸散尘的排放因子</w:t>
            </w:r>
            <w:r>
              <w:rPr>
                <w:rFonts w:hint="eastAsia"/>
                <w:color w:val="auto"/>
                <w:lang w:val="en-US" w:eastAsia="zh-CN"/>
              </w:rPr>
              <w:t>》</w:t>
            </w:r>
            <w:r>
              <w:rPr>
                <w:rFonts w:hint="default"/>
                <w:color w:val="auto"/>
                <w:lang w:val="en-US" w:eastAsia="zh-CN"/>
              </w:rPr>
              <w:t>中物质本项目下料颗粒物产污系数取0.3kg/t固体物料</w:t>
            </w:r>
            <w:r>
              <w:rPr>
                <w:rFonts w:hint="eastAsia"/>
                <w:color w:val="auto"/>
                <w:lang w:val="en-US" w:eastAsia="zh-CN"/>
              </w:rPr>
              <w:t>，本项目水剂固体</w:t>
            </w:r>
            <w:r>
              <w:rPr>
                <w:rFonts w:hint="default"/>
                <w:color w:val="auto"/>
                <w:lang w:val="en-US" w:eastAsia="zh-CN"/>
              </w:rPr>
              <w:t>、粉末状物料</w:t>
            </w:r>
            <w:r>
              <w:rPr>
                <w:rFonts w:hint="eastAsia"/>
                <w:color w:val="auto"/>
                <w:lang w:val="en-US" w:eastAsia="zh-CN"/>
              </w:rPr>
              <w:t>为3.9t/a（苦参碱），则产生量为0.0035t/a。</w:t>
            </w:r>
          </w:p>
          <w:p w14:paraId="378AA338">
            <w:pPr>
              <w:pStyle w:val="18"/>
              <w:rPr>
                <w:rFonts w:hint="default"/>
                <w:color w:val="auto"/>
                <w:lang w:val="en-US" w:eastAsia="zh-CN"/>
              </w:rPr>
            </w:pPr>
            <w:r>
              <w:rPr>
                <w:rFonts w:hint="eastAsia"/>
                <w:color w:val="auto"/>
                <w:lang w:val="en-US" w:eastAsia="zh-CN"/>
              </w:rPr>
              <w:t>建设单位拟在投料口设置三面围挡， 减少无组织排放，根据《固体物料堆存颗粒物产排污核算系数手册》，围挡可以减少60%粉尘产生，投料口减少落差等方式，可以有效控制粉尘产生，则无组织排放量为0.0014t/a。</w:t>
            </w:r>
          </w:p>
          <w:p w14:paraId="367CEA9E">
            <w:pPr>
              <w:pStyle w:val="18"/>
              <w:rPr>
                <w:rFonts w:hint="eastAsia"/>
                <w:b/>
                <w:bCs/>
                <w:color w:val="auto"/>
                <w:lang w:val="en-US" w:eastAsia="zh-CN"/>
              </w:rPr>
            </w:pPr>
            <w:r>
              <w:rPr>
                <w:rFonts w:hint="eastAsia"/>
                <w:b/>
                <w:bCs/>
                <w:color w:val="auto"/>
                <w:lang w:val="en-US" w:eastAsia="zh-CN"/>
              </w:rPr>
              <w:t>（5）农药生产异味</w:t>
            </w:r>
          </w:p>
          <w:p w14:paraId="0F6F3E89">
            <w:pPr>
              <w:pStyle w:val="18"/>
              <w:rPr>
                <w:rFonts w:hint="eastAsia"/>
                <w:color w:val="auto"/>
                <w:lang w:val="en-US" w:eastAsia="zh-CN"/>
              </w:rPr>
            </w:pPr>
            <w:r>
              <w:rPr>
                <w:rFonts w:hint="eastAsia"/>
                <w:color w:val="auto"/>
                <w:lang w:val="en-US" w:eastAsia="zh-CN"/>
              </w:rPr>
              <w:t>本项目生产加工过程中会产生少量异味气味（属于原辅料本身味道，本项目生产环保安全性农药，根据上文分析影响较小），以臭气浓度进行表征。气味主要是通过影响人们的嗅觉来影响环境，由于个人的生理心理条件、年龄、职业、习惯等因素的不同对生产加工气味的喜恶程度、敏感程度和可耐受程度也不同。目前，国外对恶臭强度的分级和测定多以人的嗅觉感官为基础得到，如德国的臭气强度5级分级（1958年）；日本的臭气强度6级分级（1972年）等。这种测定方法可以经过训练合格的5-8名臭气监测员以自身的恶臭感知能力对恶臭进行强度监测。北京环境监测中心在吸取国外经验的基础上提出了恶臭6级分级法，该分级法以感受器嗅觉的感觉和人的主观感觉特征两个方面来描述各级特征，既明确了各级的差别，也提高了分级的准确程度。</w:t>
            </w:r>
          </w:p>
          <w:p w14:paraId="62E63F2A">
            <w:pPr>
              <w:shd w:val="clear" w:color="auto" w:fill="FFFFFF" w:themeFill="background1"/>
              <w:autoSpaceDE w:val="0"/>
              <w:autoSpaceDN w:val="0"/>
              <w:adjustRightInd w:val="0"/>
              <w:snapToGrid w:val="0"/>
              <w:ind w:firstLine="422"/>
              <w:jc w:val="center"/>
              <w:rPr>
                <w:rFonts w:hint="default"/>
                <w:b/>
                <w:bCs/>
                <w:color w:val="auto"/>
                <w:kern w:val="0"/>
                <w:szCs w:val="21"/>
                <w:lang w:val="en-US" w:eastAsia="zh-CN"/>
              </w:rPr>
            </w:pPr>
            <w:r>
              <w:rPr>
                <w:rFonts w:hint="default"/>
                <w:b/>
                <w:bCs/>
                <w:color w:val="auto"/>
                <w:kern w:val="0"/>
                <w:szCs w:val="21"/>
                <w:lang w:val="en-US" w:eastAsia="zh-CN"/>
              </w:rPr>
              <w:t>表4-</w:t>
            </w:r>
            <w:r>
              <w:rPr>
                <w:rFonts w:hint="eastAsia"/>
                <w:b/>
                <w:bCs/>
                <w:color w:val="auto"/>
                <w:kern w:val="0"/>
                <w:szCs w:val="21"/>
                <w:lang w:val="en-US" w:eastAsia="zh-CN"/>
              </w:rPr>
              <w:t>5</w:t>
            </w:r>
            <w:r>
              <w:rPr>
                <w:rFonts w:hint="default"/>
                <w:b/>
                <w:bCs/>
                <w:color w:val="auto"/>
                <w:kern w:val="0"/>
                <w:szCs w:val="21"/>
                <w:lang w:val="en-US" w:eastAsia="zh-CN"/>
              </w:rPr>
              <w:t>恶臭6级分级法</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5647"/>
            </w:tblGrid>
            <w:tr w14:paraId="4B30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5C78DE25">
                  <w:pPr>
                    <w:jc w:val="center"/>
                    <w:rPr>
                      <w:rFonts w:hint="default"/>
                      <w:color w:val="auto"/>
                    </w:rPr>
                  </w:pPr>
                  <w:r>
                    <w:rPr>
                      <w:rFonts w:hint="default"/>
                      <w:color w:val="auto"/>
                    </w:rPr>
                    <w:t>恶臭强度级</w:t>
                  </w:r>
                </w:p>
              </w:tc>
              <w:tc>
                <w:tcPr>
                  <w:tcW w:w="3558" w:type="pct"/>
                  <w:tcBorders>
                    <w:tl2br w:val="nil"/>
                    <w:tr2bl w:val="nil"/>
                  </w:tcBorders>
                  <w:noWrap w:val="0"/>
                  <w:vAlign w:val="center"/>
                </w:tcPr>
                <w:p w14:paraId="3C662217">
                  <w:pPr>
                    <w:jc w:val="center"/>
                    <w:rPr>
                      <w:rFonts w:hint="default"/>
                      <w:color w:val="auto"/>
                    </w:rPr>
                  </w:pPr>
                  <w:r>
                    <w:rPr>
                      <w:rFonts w:hint="default"/>
                      <w:color w:val="auto"/>
                    </w:rPr>
                    <w:t>特征</w:t>
                  </w:r>
                </w:p>
              </w:tc>
            </w:tr>
            <w:tr w14:paraId="733A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45622295">
                  <w:pPr>
                    <w:jc w:val="center"/>
                    <w:rPr>
                      <w:rFonts w:hint="default"/>
                      <w:color w:val="auto"/>
                      <w:lang w:val="en-US" w:eastAsia="zh-CN"/>
                    </w:rPr>
                  </w:pPr>
                  <w:r>
                    <w:rPr>
                      <w:rFonts w:hint="eastAsia"/>
                      <w:color w:val="auto"/>
                      <w:lang w:val="en-US" w:eastAsia="zh-CN"/>
                    </w:rPr>
                    <w:t>0</w:t>
                  </w:r>
                </w:p>
              </w:tc>
              <w:tc>
                <w:tcPr>
                  <w:tcW w:w="3558" w:type="pct"/>
                  <w:tcBorders>
                    <w:tl2br w:val="nil"/>
                    <w:tr2bl w:val="nil"/>
                  </w:tcBorders>
                  <w:noWrap w:val="0"/>
                  <w:vAlign w:val="center"/>
                </w:tcPr>
                <w:p w14:paraId="727BE698">
                  <w:pPr>
                    <w:jc w:val="center"/>
                    <w:rPr>
                      <w:rFonts w:hint="default"/>
                      <w:color w:val="auto"/>
                      <w:lang w:val="en-US" w:eastAsia="zh-CN"/>
                    </w:rPr>
                  </w:pPr>
                  <w:r>
                    <w:rPr>
                      <w:rFonts w:hint="default"/>
                      <w:color w:val="auto"/>
                    </w:rPr>
                    <w:t>未闻到有任何气味，无任何反应</w:t>
                  </w:r>
                </w:p>
              </w:tc>
            </w:tr>
            <w:tr w14:paraId="01E1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0CDD1888">
                  <w:pPr>
                    <w:jc w:val="center"/>
                    <w:rPr>
                      <w:rFonts w:hint="default"/>
                      <w:color w:val="auto"/>
                      <w:lang w:val="en-US" w:eastAsia="zh-CN"/>
                    </w:rPr>
                  </w:pPr>
                  <w:r>
                    <w:rPr>
                      <w:rFonts w:hint="eastAsia"/>
                      <w:color w:val="auto"/>
                      <w:lang w:val="en-US" w:eastAsia="zh-CN"/>
                    </w:rPr>
                    <w:t>1</w:t>
                  </w:r>
                </w:p>
              </w:tc>
              <w:tc>
                <w:tcPr>
                  <w:tcW w:w="3558" w:type="pct"/>
                  <w:tcBorders>
                    <w:tl2br w:val="nil"/>
                    <w:tr2bl w:val="nil"/>
                  </w:tcBorders>
                  <w:noWrap w:val="0"/>
                  <w:vAlign w:val="center"/>
                </w:tcPr>
                <w:p w14:paraId="0E717D00">
                  <w:pPr>
                    <w:jc w:val="center"/>
                    <w:rPr>
                      <w:rFonts w:hint="default"/>
                      <w:color w:val="auto"/>
                    </w:rPr>
                  </w:pPr>
                  <w:r>
                    <w:rPr>
                      <w:rFonts w:hint="default"/>
                      <w:color w:val="auto"/>
                    </w:rPr>
                    <w:t>勉强闻到气味，但不能辨认气味性质，认为无所谓</w:t>
                  </w:r>
                </w:p>
              </w:tc>
            </w:tr>
            <w:tr w14:paraId="56BA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1E36B60C">
                  <w:pPr>
                    <w:jc w:val="center"/>
                    <w:rPr>
                      <w:rFonts w:hint="default"/>
                      <w:color w:val="auto"/>
                      <w:lang w:val="en-US" w:eastAsia="zh-CN"/>
                    </w:rPr>
                  </w:pPr>
                  <w:r>
                    <w:rPr>
                      <w:rFonts w:hint="eastAsia"/>
                      <w:color w:val="auto"/>
                      <w:lang w:val="en-US" w:eastAsia="zh-CN"/>
                    </w:rPr>
                    <w:t>2</w:t>
                  </w:r>
                </w:p>
              </w:tc>
              <w:tc>
                <w:tcPr>
                  <w:tcW w:w="3558" w:type="pct"/>
                  <w:tcBorders>
                    <w:tl2br w:val="nil"/>
                    <w:tr2bl w:val="nil"/>
                  </w:tcBorders>
                  <w:noWrap w:val="0"/>
                  <w:vAlign w:val="center"/>
                </w:tcPr>
                <w:p w14:paraId="2FF1E3EF">
                  <w:pPr>
                    <w:jc w:val="center"/>
                    <w:rPr>
                      <w:rFonts w:hint="default"/>
                      <w:color w:val="auto"/>
                    </w:rPr>
                  </w:pPr>
                  <w:r>
                    <w:rPr>
                      <w:rFonts w:hint="default"/>
                      <w:color w:val="auto"/>
                    </w:rPr>
                    <w:t>能闻到气味，且能辨认气味性质，但感到正常</w:t>
                  </w:r>
                </w:p>
              </w:tc>
            </w:tr>
            <w:tr w14:paraId="4CE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30006963">
                  <w:pPr>
                    <w:jc w:val="center"/>
                    <w:rPr>
                      <w:rFonts w:hint="default"/>
                      <w:color w:val="auto"/>
                      <w:lang w:val="en-US" w:eastAsia="zh-CN"/>
                    </w:rPr>
                  </w:pPr>
                  <w:r>
                    <w:rPr>
                      <w:rFonts w:hint="eastAsia"/>
                      <w:color w:val="auto"/>
                      <w:lang w:val="en-US" w:eastAsia="zh-CN"/>
                    </w:rPr>
                    <w:t>3</w:t>
                  </w:r>
                </w:p>
              </w:tc>
              <w:tc>
                <w:tcPr>
                  <w:tcW w:w="3558" w:type="pct"/>
                  <w:tcBorders>
                    <w:tl2br w:val="nil"/>
                    <w:tr2bl w:val="nil"/>
                  </w:tcBorders>
                  <w:noWrap w:val="0"/>
                  <w:vAlign w:val="center"/>
                </w:tcPr>
                <w:p w14:paraId="2F08792D">
                  <w:pPr>
                    <w:jc w:val="center"/>
                    <w:rPr>
                      <w:rFonts w:hint="default"/>
                      <w:color w:val="auto"/>
                    </w:rPr>
                  </w:pPr>
                  <w:r>
                    <w:rPr>
                      <w:rFonts w:hint="default"/>
                      <w:color w:val="auto"/>
                    </w:rPr>
                    <w:t>很容易闻到气味，有所不快，但不反感</w:t>
                  </w:r>
                </w:p>
              </w:tc>
            </w:tr>
            <w:tr w14:paraId="3D18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55A2B167">
                  <w:pPr>
                    <w:jc w:val="center"/>
                    <w:rPr>
                      <w:rFonts w:hint="default"/>
                      <w:color w:val="auto"/>
                      <w:lang w:val="en-US" w:eastAsia="zh-CN"/>
                    </w:rPr>
                  </w:pPr>
                  <w:r>
                    <w:rPr>
                      <w:rFonts w:hint="eastAsia"/>
                      <w:color w:val="auto"/>
                      <w:lang w:val="en-US" w:eastAsia="zh-CN"/>
                    </w:rPr>
                    <w:t>4</w:t>
                  </w:r>
                </w:p>
              </w:tc>
              <w:tc>
                <w:tcPr>
                  <w:tcW w:w="3558" w:type="pct"/>
                  <w:tcBorders>
                    <w:tl2br w:val="nil"/>
                    <w:tr2bl w:val="nil"/>
                  </w:tcBorders>
                  <w:noWrap w:val="0"/>
                  <w:vAlign w:val="center"/>
                </w:tcPr>
                <w:p w14:paraId="48AF95E7">
                  <w:pPr>
                    <w:jc w:val="center"/>
                    <w:rPr>
                      <w:rFonts w:hint="default"/>
                      <w:color w:val="auto"/>
                    </w:rPr>
                  </w:pPr>
                  <w:r>
                    <w:rPr>
                      <w:rFonts w:hint="default"/>
                      <w:color w:val="auto"/>
                    </w:rPr>
                    <w:t>有很强的气味，而且很反感，想离开</w:t>
                  </w:r>
                </w:p>
              </w:tc>
            </w:tr>
            <w:tr w14:paraId="0FAE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41" w:type="pct"/>
                  <w:tcBorders>
                    <w:tl2br w:val="nil"/>
                    <w:tr2bl w:val="nil"/>
                  </w:tcBorders>
                  <w:noWrap w:val="0"/>
                  <w:vAlign w:val="center"/>
                </w:tcPr>
                <w:p w14:paraId="2E8DBE6B">
                  <w:pPr>
                    <w:jc w:val="center"/>
                    <w:rPr>
                      <w:rFonts w:hint="default"/>
                      <w:color w:val="auto"/>
                      <w:lang w:val="en-US" w:eastAsia="zh-CN"/>
                    </w:rPr>
                  </w:pPr>
                  <w:r>
                    <w:rPr>
                      <w:rFonts w:hint="eastAsia"/>
                      <w:color w:val="auto"/>
                      <w:lang w:val="en-US" w:eastAsia="zh-CN"/>
                    </w:rPr>
                    <w:t>5</w:t>
                  </w:r>
                </w:p>
              </w:tc>
              <w:tc>
                <w:tcPr>
                  <w:tcW w:w="3558" w:type="pct"/>
                  <w:tcBorders>
                    <w:tl2br w:val="nil"/>
                    <w:tr2bl w:val="nil"/>
                  </w:tcBorders>
                  <w:noWrap w:val="0"/>
                  <w:vAlign w:val="center"/>
                </w:tcPr>
                <w:p w14:paraId="1143DC91">
                  <w:pPr>
                    <w:jc w:val="center"/>
                    <w:rPr>
                      <w:rFonts w:hint="default"/>
                      <w:color w:val="auto"/>
                    </w:rPr>
                  </w:pPr>
                  <w:r>
                    <w:rPr>
                      <w:rFonts w:hint="default"/>
                      <w:color w:val="auto"/>
                    </w:rPr>
                    <w:t>有极强的气味，无法忍受，立即逃跑</w:t>
                  </w:r>
                </w:p>
              </w:tc>
            </w:tr>
          </w:tbl>
          <w:p w14:paraId="07FA5772">
            <w:pPr>
              <w:pStyle w:val="18"/>
              <w:rPr>
                <w:rFonts w:hint="eastAsia"/>
                <w:color w:val="auto"/>
                <w:lang w:val="en-US" w:eastAsia="zh-CN"/>
              </w:rPr>
            </w:pPr>
            <w:r>
              <w:rPr>
                <w:rFonts w:hint="eastAsia"/>
                <w:color w:val="auto"/>
                <w:lang w:val="en-US" w:eastAsia="zh-CN"/>
              </w:rPr>
              <w:t>本项目水乳剂生产线（3#车间）异味气体两级活性炭吸附装置处理后引至排气筒高空排放，其余生产线无组织排放的异味经车间强制通风换气等处理后，不会对车间生产和周围环境产生不良影响，能够满足《恶臭污染物排放标准》（GB14554-93）中表1新改扩建的二级标准和表2标准要求。</w:t>
            </w:r>
          </w:p>
          <w:p w14:paraId="1CBFC2C3">
            <w:pPr>
              <w:pStyle w:val="18"/>
              <w:rPr>
                <w:rFonts w:hint="eastAsia"/>
                <w:b/>
                <w:bCs/>
                <w:color w:val="auto"/>
              </w:rPr>
            </w:pPr>
            <w:r>
              <w:rPr>
                <w:rFonts w:hint="eastAsia"/>
                <w:b/>
                <w:bCs/>
                <w:color w:val="auto"/>
              </w:rPr>
              <w:t>（</w:t>
            </w:r>
            <w:r>
              <w:rPr>
                <w:rFonts w:hint="eastAsia"/>
                <w:b/>
                <w:bCs/>
                <w:color w:val="auto"/>
                <w:lang w:val="en-US" w:eastAsia="zh-CN"/>
              </w:rPr>
              <w:t>6</w:t>
            </w:r>
            <w:r>
              <w:rPr>
                <w:rFonts w:hint="eastAsia"/>
                <w:b/>
                <w:bCs/>
                <w:color w:val="auto"/>
              </w:rPr>
              <w:t>）实验废气</w:t>
            </w:r>
          </w:p>
          <w:p w14:paraId="6D008EBF">
            <w:pPr>
              <w:pStyle w:val="18"/>
              <w:rPr>
                <w:rFonts w:hint="eastAsia" w:eastAsia="宋体"/>
                <w:color w:val="auto"/>
                <w:lang w:eastAsia="zh-CN"/>
              </w:rPr>
            </w:pPr>
            <w:r>
              <w:rPr>
                <w:rFonts w:hint="eastAsia"/>
                <w:color w:val="auto"/>
              </w:rPr>
              <w:t>实验室实验过程有微量挥发性有机废气产生，包括非甲烷总烃、TVOC、苯系物。由于实验过程采样量过小、采样频率不固定等多重因素，废气源强无法定量计算</w:t>
            </w:r>
            <w:r>
              <w:rPr>
                <w:rFonts w:hint="eastAsia"/>
                <w:color w:val="auto"/>
                <w:lang w:eastAsia="zh-CN"/>
              </w:rPr>
              <w:t>。</w:t>
            </w:r>
          </w:p>
          <w:p w14:paraId="394DF4C9">
            <w:pPr>
              <w:pStyle w:val="18"/>
              <w:rPr>
                <w:rFonts w:hint="eastAsia"/>
                <w:b/>
                <w:bCs/>
                <w:color w:val="auto"/>
              </w:rPr>
            </w:pPr>
            <w:r>
              <w:rPr>
                <w:rFonts w:hint="eastAsia"/>
                <w:b/>
                <w:bCs/>
                <w:color w:val="auto"/>
              </w:rPr>
              <w:t>本次评价仅对废气治理措施提出治理要求：设置通风橱，有机废气经收集后由管道通入活性炭吸附装置处理后排放。</w:t>
            </w:r>
          </w:p>
          <w:p w14:paraId="41EC16F4">
            <w:pPr>
              <w:pStyle w:val="18"/>
              <w:rPr>
                <w:rFonts w:hint="eastAsia"/>
                <w:b/>
                <w:bCs/>
                <w:color w:val="auto"/>
              </w:rPr>
            </w:pPr>
            <w:r>
              <w:rPr>
                <w:rFonts w:hint="eastAsia"/>
                <w:b/>
                <w:bCs/>
                <w:color w:val="auto"/>
              </w:rPr>
              <w:t>（</w:t>
            </w:r>
            <w:r>
              <w:rPr>
                <w:rFonts w:hint="eastAsia"/>
                <w:b/>
                <w:bCs/>
                <w:color w:val="auto"/>
                <w:lang w:val="en-US" w:eastAsia="zh-CN"/>
              </w:rPr>
              <w:t>7</w:t>
            </w:r>
            <w:r>
              <w:rPr>
                <w:rFonts w:hint="eastAsia"/>
                <w:b/>
                <w:bCs/>
                <w:color w:val="auto"/>
              </w:rPr>
              <w:t>）运输扬尘</w:t>
            </w:r>
          </w:p>
          <w:p w14:paraId="2BC129D4">
            <w:pPr>
              <w:pStyle w:val="18"/>
              <w:rPr>
                <w:rFonts w:hint="eastAsia"/>
                <w:color w:val="auto"/>
              </w:rPr>
            </w:pPr>
            <w:r>
              <w:rPr>
                <w:rFonts w:hint="eastAsia"/>
                <w:color w:val="auto"/>
              </w:rPr>
              <w:t>项目原辅料及产品均由汽车运输，车辆行驶必然产生一定量的扬尘，在一定的气象条件下，扬尘量与地面平整度、湿度及车况有关，因此，评价要求对厂区道路进行硬化处理</w:t>
            </w:r>
            <w:r>
              <w:rPr>
                <w:rFonts w:hint="eastAsia"/>
                <w:color w:val="auto"/>
                <w:lang w:eastAsia="zh-CN"/>
              </w:rPr>
              <w:t>，对</w:t>
            </w:r>
            <w:r>
              <w:rPr>
                <w:rFonts w:hint="eastAsia"/>
                <w:color w:val="auto"/>
              </w:rPr>
              <w:t>路面进行洒水抑尘清扫，以减少道路扬尘污染，车辆行驶时产生的扬尘对道路两侧3～30m范围内的影响较大，为降低对沿线的扬尘污染影响，环评要求运输车辆必须采用篷布遮盖，减少物料撒漏；并注意道路维护。</w:t>
            </w:r>
          </w:p>
          <w:p w14:paraId="5E0A4AFE">
            <w:pPr>
              <w:pStyle w:val="18"/>
              <w:rPr>
                <w:b/>
                <w:bCs/>
                <w:color w:val="auto"/>
              </w:rPr>
            </w:pPr>
            <w:r>
              <w:rPr>
                <w:b/>
                <w:bCs/>
                <w:color w:val="auto"/>
              </w:rPr>
              <w:t>（</w:t>
            </w:r>
            <w:r>
              <w:rPr>
                <w:rFonts w:hint="eastAsia"/>
                <w:b/>
                <w:bCs/>
                <w:color w:val="auto"/>
                <w:lang w:val="en-US" w:eastAsia="zh-CN"/>
              </w:rPr>
              <w:t>8</w:t>
            </w:r>
            <w:r>
              <w:rPr>
                <w:b/>
                <w:bCs/>
                <w:color w:val="auto"/>
              </w:rPr>
              <w:t>）厨房油烟</w:t>
            </w:r>
          </w:p>
          <w:p w14:paraId="4349BC84">
            <w:pPr>
              <w:pStyle w:val="18"/>
              <w:rPr>
                <w:color w:val="auto"/>
              </w:rPr>
            </w:pPr>
            <w:r>
              <w:rPr>
                <w:color w:val="auto"/>
              </w:rPr>
              <w:t>项目拟建食堂厨房，食堂厨房年运行天数为300天，项目共有员工</w:t>
            </w:r>
            <w:r>
              <w:rPr>
                <w:rFonts w:hint="eastAsia"/>
                <w:color w:val="auto"/>
                <w:lang w:val="en-US" w:eastAsia="zh-CN"/>
              </w:rPr>
              <w:t>50</w:t>
            </w:r>
            <w:r>
              <w:rPr>
                <w:color w:val="auto"/>
              </w:rPr>
              <w:t>人，食堂厨房采用</w:t>
            </w:r>
            <w:r>
              <w:rPr>
                <w:rFonts w:hint="eastAsia"/>
                <w:color w:val="auto"/>
              </w:rPr>
              <w:t>天然气</w:t>
            </w:r>
            <w:r>
              <w:rPr>
                <w:color w:val="auto"/>
              </w:rPr>
              <w:t>和电作为燃源，均为清洁能源，项目食堂厨房使用过程中产生的废气主要为油烟。</w:t>
            </w:r>
          </w:p>
          <w:p w14:paraId="156296FF">
            <w:pPr>
              <w:pStyle w:val="18"/>
              <w:rPr>
                <w:color w:val="auto"/>
              </w:rPr>
            </w:pPr>
            <w:r>
              <w:rPr>
                <w:color w:val="auto"/>
              </w:rPr>
              <w:t>食堂烹饪油烟废气主要为油及食品的氧化、裂解、水解形成的气态有机物。根据类比调查，人均食用油用量约20g/人·d，一般油烟挥发量占总耗油量的</w:t>
            </w:r>
            <w:r>
              <w:rPr>
                <w:rFonts w:hint="eastAsia"/>
                <w:color w:val="auto"/>
              </w:rPr>
              <w:t>2%-4%</w:t>
            </w:r>
            <w:r>
              <w:rPr>
                <w:color w:val="auto"/>
              </w:rPr>
              <w:t>，食堂炒、炸、煎等烹调工序较多，油烟挥发率取3%。项目食堂配套油烟净化装置处理油烟，油烟机排风量为2000m</w:t>
            </w:r>
            <w:r>
              <w:rPr>
                <w:color w:val="auto"/>
                <w:vertAlign w:val="superscript"/>
              </w:rPr>
              <w:t>3</w:t>
            </w:r>
            <w:r>
              <w:rPr>
                <w:color w:val="auto"/>
              </w:rPr>
              <w:t>/h，每天工作4h，处理效率达80%以上，处理后的油烟统一进入专用排烟管于楼顶排放。则食堂食用油消耗为0.3kg/d、90kg/a，油烟废气产生量为0.009kg/d、2.7kg/a，产生油烟废气经油烟净化器净化后，油烟排放量为0.0018kg/d、0.54kg/a，排放浓度为0.27mg/m</w:t>
            </w:r>
            <w:r>
              <w:rPr>
                <w:color w:val="auto"/>
                <w:vertAlign w:val="superscript"/>
              </w:rPr>
              <w:t>3</w:t>
            </w:r>
            <w:r>
              <w:rPr>
                <w:color w:val="auto"/>
              </w:rPr>
              <w:t>，达到《饮食业油烟排放标准（试行）》（GB18483-2001）（最高允许排放浓度为2.0mg/m</w:t>
            </w:r>
            <w:r>
              <w:rPr>
                <w:color w:val="auto"/>
                <w:vertAlign w:val="superscript"/>
              </w:rPr>
              <w:t>3</w:t>
            </w:r>
            <w:r>
              <w:rPr>
                <w:color w:val="auto"/>
              </w:rPr>
              <w:t>）后排放。</w:t>
            </w:r>
            <w:bookmarkEnd w:id="19"/>
            <w:bookmarkEnd w:id="20"/>
          </w:p>
          <w:p w14:paraId="1DD8C96D">
            <w:pPr>
              <w:rPr>
                <w:color w:val="auto"/>
              </w:rPr>
            </w:pPr>
          </w:p>
          <w:p w14:paraId="5F6317F5">
            <w:pPr>
              <w:rPr>
                <w:color w:val="auto"/>
              </w:rPr>
            </w:pPr>
          </w:p>
          <w:p w14:paraId="4A3B672D">
            <w:pPr>
              <w:rPr>
                <w:color w:val="auto"/>
              </w:rPr>
            </w:pPr>
          </w:p>
          <w:p w14:paraId="7AA8D89F">
            <w:pPr>
              <w:rPr>
                <w:color w:val="auto"/>
              </w:rPr>
            </w:pPr>
          </w:p>
          <w:p w14:paraId="0653E7E4">
            <w:pPr>
              <w:rPr>
                <w:color w:val="auto"/>
              </w:rPr>
            </w:pPr>
          </w:p>
          <w:p w14:paraId="2ED09A02">
            <w:pPr>
              <w:rPr>
                <w:color w:val="auto"/>
              </w:rPr>
            </w:pPr>
          </w:p>
          <w:p w14:paraId="78731E9A">
            <w:pPr>
              <w:rPr>
                <w:color w:val="auto"/>
              </w:rPr>
            </w:pPr>
          </w:p>
          <w:p w14:paraId="41C82A5C">
            <w:pPr>
              <w:rPr>
                <w:color w:val="auto"/>
              </w:rPr>
            </w:pPr>
          </w:p>
          <w:p w14:paraId="3E6B0A21">
            <w:pPr>
              <w:rPr>
                <w:color w:val="auto"/>
              </w:rPr>
            </w:pPr>
          </w:p>
          <w:p w14:paraId="0627AE3E">
            <w:pPr>
              <w:rPr>
                <w:color w:val="auto"/>
              </w:rPr>
            </w:pPr>
          </w:p>
          <w:p w14:paraId="5F9E88C1">
            <w:pPr>
              <w:rPr>
                <w:color w:val="auto"/>
              </w:rPr>
            </w:pPr>
          </w:p>
          <w:p w14:paraId="469E45CF">
            <w:pPr>
              <w:rPr>
                <w:color w:val="auto"/>
              </w:rPr>
            </w:pPr>
          </w:p>
        </w:tc>
      </w:tr>
    </w:tbl>
    <w:p w14:paraId="26758D12">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14:paraId="58E3477B">
      <w:pPr>
        <w:autoSpaceDE w:val="0"/>
        <w:autoSpaceDN w:val="0"/>
        <w:adjustRightInd w:val="0"/>
        <w:snapToGrid w:val="0"/>
        <w:jc w:val="center"/>
        <w:rPr>
          <w:rFonts w:hint="eastAsia"/>
          <w:b/>
          <w:bCs/>
          <w:color w:val="000000" w:themeColor="text1"/>
          <w:kern w:val="0"/>
          <w:szCs w:val="21"/>
          <w:lang w:val="en-US" w:eastAsia="zh-CN"/>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表4-6 项目废气污染源源强核算结果及相关参数一览表</w:t>
      </w:r>
    </w:p>
    <w:tbl>
      <w:tblPr>
        <w:tblStyle w:val="19"/>
        <w:tblW w:w="5301"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663"/>
        <w:gridCol w:w="878"/>
        <w:gridCol w:w="1075"/>
        <w:gridCol w:w="1336"/>
        <w:gridCol w:w="1269"/>
        <w:gridCol w:w="4850"/>
        <w:gridCol w:w="1321"/>
        <w:gridCol w:w="1353"/>
      </w:tblGrid>
      <w:tr w14:paraId="18D5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Align w:val="center"/>
          </w:tcPr>
          <w:p w14:paraId="606EB402">
            <w:pPr>
              <w:pStyle w:val="18"/>
              <w:adjustRightInd w:val="0"/>
              <w:snapToGrid w:val="0"/>
              <w:spacing w:line="240" w:lineRule="auto"/>
              <w:ind w:firstLine="0" w:firstLineChars="0"/>
              <w:jc w:val="center"/>
              <w:rPr>
                <w:color w:val="auto"/>
              </w:rPr>
            </w:pPr>
            <w:bookmarkStart w:id="21" w:name="_Hlk139033360"/>
            <w:r>
              <w:rPr>
                <w:color w:val="auto"/>
              </w:rPr>
              <w:t>车间</w:t>
            </w:r>
          </w:p>
        </w:tc>
        <w:tc>
          <w:tcPr>
            <w:tcW w:w="229" w:type="pct"/>
            <w:vAlign w:val="center"/>
          </w:tcPr>
          <w:p w14:paraId="478D0E5F">
            <w:pPr>
              <w:pStyle w:val="18"/>
              <w:adjustRightInd w:val="0"/>
              <w:snapToGrid w:val="0"/>
              <w:spacing w:line="240" w:lineRule="auto"/>
              <w:ind w:firstLine="0" w:firstLineChars="0"/>
              <w:jc w:val="center"/>
              <w:rPr>
                <w:color w:val="auto"/>
              </w:rPr>
            </w:pPr>
            <w:r>
              <w:rPr>
                <w:color w:val="auto"/>
              </w:rPr>
              <w:t>产污环节</w:t>
            </w:r>
          </w:p>
        </w:tc>
        <w:tc>
          <w:tcPr>
            <w:tcW w:w="303" w:type="pct"/>
            <w:vAlign w:val="center"/>
          </w:tcPr>
          <w:p w14:paraId="6D9E832E">
            <w:pPr>
              <w:pStyle w:val="18"/>
              <w:adjustRightInd w:val="0"/>
              <w:snapToGrid w:val="0"/>
              <w:spacing w:line="240" w:lineRule="auto"/>
              <w:ind w:firstLine="0" w:firstLineChars="0"/>
              <w:jc w:val="center"/>
              <w:rPr>
                <w:color w:val="auto"/>
              </w:rPr>
            </w:pPr>
            <w:r>
              <w:rPr>
                <w:color w:val="auto"/>
              </w:rPr>
              <w:t>排放特征</w:t>
            </w:r>
          </w:p>
        </w:tc>
        <w:tc>
          <w:tcPr>
            <w:tcW w:w="371" w:type="pct"/>
            <w:vAlign w:val="center"/>
          </w:tcPr>
          <w:p w14:paraId="5F9C56AD">
            <w:pPr>
              <w:pStyle w:val="18"/>
              <w:adjustRightInd w:val="0"/>
              <w:snapToGrid w:val="0"/>
              <w:spacing w:line="240" w:lineRule="auto"/>
              <w:ind w:firstLine="0" w:firstLineChars="0"/>
              <w:jc w:val="center"/>
              <w:rPr>
                <w:color w:val="auto"/>
              </w:rPr>
            </w:pPr>
            <w:r>
              <w:rPr>
                <w:color w:val="auto"/>
              </w:rPr>
              <w:t>年运行时间（h）</w:t>
            </w:r>
          </w:p>
        </w:tc>
        <w:tc>
          <w:tcPr>
            <w:tcW w:w="461" w:type="pct"/>
            <w:vAlign w:val="center"/>
          </w:tcPr>
          <w:p w14:paraId="40993E64">
            <w:pPr>
              <w:pStyle w:val="18"/>
              <w:adjustRightInd w:val="0"/>
              <w:snapToGrid w:val="0"/>
              <w:spacing w:line="240" w:lineRule="auto"/>
              <w:ind w:firstLine="0" w:firstLineChars="0"/>
              <w:jc w:val="center"/>
              <w:rPr>
                <w:color w:val="auto"/>
              </w:rPr>
            </w:pPr>
            <w:r>
              <w:rPr>
                <w:color w:val="auto"/>
              </w:rPr>
              <w:t>污染物</w:t>
            </w:r>
          </w:p>
        </w:tc>
        <w:tc>
          <w:tcPr>
            <w:tcW w:w="438" w:type="pct"/>
            <w:vAlign w:val="center"/>
          </w:tcPr>
          <w:p w14:paraId="2A796B98">
            <w:pPr>
              <w:pStyle w:val="18"/>
              <w:adjustRightInd w:val="0"/>
              <w:snapToGrid w:val="0"/>
              <w:spacing w:line="240" w:lineRule="auto"/>
              <w:ind w:firstLine="0" w:firstLineChars="0"/>
              <w:jc w:val="center"/>
              <w:rPr>
                <w:color w:val="auto"/>
              </w:rPr>
            </w:pPr>
            <w:r>
              <w:rPr>
                <w:color w:val="auto"/>
              </w:rPr>
              <w:t>污染物产生量（t/a）</w:t>
            </w:r>
          </w:p>
        </w:tc>
        <w:tc>
          <w:tcPr>
            <w:tcW w:w="1674" w:type="pct"/>
            <w:vAlign w:val="center"/>
          </w:tcPr>
          <w:p w14:paraId="319D9607">
            <w:pPr>
              <w:pStyle w:val="18"/>
              <w:adjustRightInd w:val="0"/>
              <w:snapToGrid w:val="0"/>
              <w:spacing w:line="240" w:lineRule="auto"/>
              <w:ind w:firstLine="0" w:firstLineChars="0"/>
              <w:jc w:val="center"/>
              <w:rPr>
                <w:color w:val="auto"/>
              </w:rPr>
            </w:pPr>
            <w:r>
              <w:rPr>
                <w:color w:val="auto"/>
              </w:rPr>
              <w:t>治理措施</w:t>
            </w:r>
          </w:p>
        </w:tc>
        <w:tc>
          <w:tcPr>
            <w:tcW w:w="456" w:type="pct"/>
            <w:vAlign w:val="center"/>
          </w:tcPr>
          <w:p w14:paraId="6F670787">
            <w:pPr>
              <w:pStyle w:val="18"/>
              <w:adjustRightInd w:val="0"/>
              <w:snapToGrid w:val="0"/>
              <w:spacing w:line="240" w:lineRule="auto"/>
              <w:ind w:firstLine="0" w:firstLineChars="0"/>
              <w:jc w:val="center"/>
              <w:rPr>
                <w:color w:val="auto"/>
              </w:rPr>
            </w:pPr>
            <w:r>
              <w:rPr>
                <w:color w:val="auto"/>
              </w:rPr>
              <w:t>污染物排放量（t/a）</w:t>
            </w:r>
          </w:p>
        </w:tc>
        <w:tc>
          <w:tcPr>
            <w:tcW w:w="467" w:type="pct"/>
            <w:vAlign w:val="center"/>
          </w:tcPr>
          <w:p w14:paraId="35EE09D7">
            <w:pPr>
              <w:pStyle w:val="18"/>
              <w:adjustRightInd w:val="0"/>
              <w:snapToGrid w:val="0"/>
              <w:spacing w:line="240" w:lineRule="auto"/>
              <w:ind w:firstLine="0" w:firstLineChars="0"/>
              <w:jc w:val="center"/>
              <w:rPr>
                <w:color w:val="auto"/>
              </w:rPr>
            </w:pPr>
            <w:r>
              <w:rPr>
                <w:color w:val="auto"/>
              </w:rPr>
              <w:t>执行标准</w:t>
            </w:r>
          </w:p>
        </w:tc>
      </w:tr>
      <w:tr w14:paraId="7E7E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Merge w:val="restart"/>
            <w:vAlign w:val="center"/>
          </w:tcPr>
          <w:p w14:paraId="74C319B1">
            <w:pPr>
              <w:pStyle w:val="18"/>
              <w:adjustRightInd w:val="0"/>
              <w:snapToGrid w:val="0"/>
              <w:spacing w:line="240" w:lineRule="auto"/>
              <w:ind w:firstLine="0" w:firstLineChars="0"/>
              <w:jc w:val="center"/>
              <w:rPr>
                <w:color w:val="auto"/>
              </w:rPr>
            </w:pPr>
            <w:r>
              <w:rPr>
                <w:rFonts w:hint="eastAsia"/>
                <w:color w:val="auto"/>
              </w:rPr>
              <w:t>可湿性粉剂生产线废气（1#车间）</w:t>
            </w:r>
          </w:p>
        </w:tc>
        <w:tc>
          <w:tcPr>
            <w:tcW w:w="229" w:type="pct"/>
            <w:vMerge w:val="restart"/>
            <w:vAlign w:val="center"/>
          </w:tcPr>
          <w:p w14:paraId="3870D533">
            <w:pPr>
              <w:pStyle w:val="18"/>
              <w:adjustRightInd w:val="0"/>
              <w:snapToGrid w:val="0"/>
              <w:spacing w:line="240" w:lineRule="auto"/>
              <w:ind w:firstLine="0" w:firstLineChars="0"/>
              <w:jc w:val="center"/>
              <w:rPr>
                <w:rFonts w:hint="eastAsia" w:eastAsia="宋体"/>
                <w:color w:val="auto"/>
                <w:lang w:eastAsia="zh-CN"/>
              </w:rPr>
            </w:pPr>
            <w:r>
              <w:rPr>
                <w:rFonts w:hint="eastAsia"/>
                <w:color w:val="auto"/>
              </w:rPr>
              <w:t>投料、包装</w:t>
            </w:r>
            <w:r>
              <w:rPr>
                <w:rFonts w:hint="eastAsia"/>
                <w:color w:val="auto"/>
                <w:lang w:eastAsia="zh-CN"/>
              </w:rPr>
              <w:t>、</w:t>
            </w:r>
            <w:r>
              <w:rPr>
                <w:rFonts w:hint="eastAsia"/>
                <w:color w:val="auto"/>
                <w:lang w:val="en-US" w:eastAsia="zh-CN"/>
              </w:rPr>
              <w:t>粉碎</w:t>
            </w:r>
          </w:p>
        </w:tc>
        <w:tc>
          <w:tcPr>
            <w:tcW w:w="303" w:type="pct"/>
            <w:vAlign w:val="center"/>
          </w:tcPr>
          <w:p w14:paraId="3C0264B2">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有组织</w:t>
            </w:r>
          </w:p>
        </w:tc>
        <w:tc>
          <w:tcPr>
            <w:tcW w:w="371" w:type="pct"/>
            <w:vAlign w:val="center"/>
          </w:tcPr>
          <w:p w14:paraId="20114DC8">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7200</w:t>
            </w:r>
          </w:p>
        </w:tc>
        <w:tc>
          <w:tcPr>
            <w:tcW w:w="461" w:type="pct"/>
            <w:vAlign w:val="center"/>
          </w:tcPr>
          <w:p w14:paraId="631D5953">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颗粒物</w:t>
            </w:r>
          </w:p>
        </w:tc>
        <w:tc>
          <w:tcPr>
            <w:tcW w:w="438" w:type="pct"/>
            <w:vAlign w:val="center"/>
          </w:tcPr>
          <w:p w14:paraId="1586732F">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0.1578</w:t>
            </w:r>
          </w:p>
        </w:tc>
        <w:tc>
          <w:tcPr>
            <w:tcW w:w="1674" w:type="pct"/>
            <w:vMerge w:val="restart"/>
            <w:vAlign w:val="center"/>
          </w:tcPr>
          <w:p w14:paraId="4208F95C">
            <w:pPr>
              <w:pStyle w:val="18"/>
              <w:adjustRightInd w:val="0"/>
              <w:snapToGrid w:val="0"/>
              <w:spacing w:line="240" w:lineRule="auto"/>
              <w:ind w:firstLine="0" w:firstLineChars="0"/>
              <w:jc w:val="center"/>
              <w:rPr>
                <w:color w:val="auto"/>
              </w:rPr>
            </w:pPr>
            <w:r>
              <w:rPr>
                <w:rFonts w:hint="eastAsia"/>
                <w:color w:val="auto"/>
              </w:rPr>
              <w:t>投料、包装和气流粉碎过程产生的粉尘产生的粉尘废气经由设备上方设置的集气罩收集后（粉尘收集率为</w:t>
            </w:r>
            <w:r>
              <w:rPr>
                <w:rFonts w:hint="eastAsia"/>
                <w:color w:val="auto"/>
                <w:lang w:val="en-US" w:eastAsia="zh-CN"/>
              </w:rPr>
              <w:t>30</w:t>
            </w:r>
            <w:r>
              <w:rPr>
                <w:rFonts w:hint="eastAsia"/>
                <w:color w:val="auto"/>
              </w:rPr>
              <w:t>%）经生产线配备的布袋除尘器处理，处理效率99%，15m排气筒排放（DA001）。</w:t>
            </w:r>
          </w:p>
        </w:tc>
        <w:tc>
          <w:tcPr>
            <w:tcW w:w="456" w:type="pct"/>
            <w:vAlign w:val="center"/>
          </w:tcPr>
          <w:p w14:paraId="140EB3F2">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0.0016</w:t>
            </w:r>
          </w:p>
        </w:tc>
        <w:tc>
          <w:tcPr>
            <w:tcW w:w="467" w:type="pct"/>
            <w:vMerge w:val="restart"/>
            <w:vAlign w:val="center"/>
          </w:tcPr>
          <w:p w14:paraId="3D0248B5">
            <w:pPr>
              <w:pStyle w:val="18"/>
              <w:adjustRightInd w:val="0"/>
              <w:snapToGrid w:val="0"/>
              <w:spacing w:line="240" w:lineRule="auto"/>
              <w:ind w:firstLine="0" w:firstLineChars="0"/>
              <w:jc w:val="center"/>
              <w:rPr>
                <w:color w:val="auto"/>
              </w:rPr>
            </w:pPr>
            <w:r>
              <w:rPr>
                <w:rFonts w:hint="eastAsia"/>
                <w:color w:val="auto"/>
              </w:rPr>
              <w:t>《农药制造工业大气污染物排放标准》（GB39727-2020）</w:t>
            </w:r>
          </w:p>
        </w:tc>
      </w:tr>
      <w:tr w14:paraId="1DAF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Merge w:val="continue"/>
            <w:vAlign w:val="center"/>
          </w:tcPr>
          <w:p w14:paraId="5E9DFDFC">
            <w:pPr>
              <w:pStyle w:val="18"/>
              <w:adjustRightInd w:val="0"/>
              <w:snapToGrid w:val="0"/>
              <w:spacing w:line="240" w:lineRule="auto"/>
              <w:ind w:firstLine="0" w:firstLineChars="0"/>
              <w:jc w:val="center"/>
              <w:rPr>
                <w:color w:val="auto"/>
              </w:rPr>
            </w:pPr>
          </w:p>
        </w:tc>
        <w:tc>
          <w:tcPr>
            <w:tcW w:w="229" w:type="pct"/>
            <w:vMerge w:val="continue"/>
            <w:vAlign w:val="center"/>
          </w:tcPr>
          <w:p w14:paraId="434E313E">
            <w:pPr>
              <w:pStyle w:val="18"/>
              <w:adjustRightInd w:val="0"/>
              <w:snapToGrid w:val="0"/>
              <w:spacing w:line="240" w:lineRule="auto"/>
              <w:ind w:firstLine="0" w:firstLineChars="0"/>
              <w:jc w:val="both"/>
              <w:rPr>
                <w:color w:val="auto"/>
              </w:rPr>
            </w:pPr>
          </w:p>
        </w:tc>
        <w:tc>
          <w:tcPr>
            <w:tcW w:w="303" w:type="pct"/>
            <w:vAlign w:val="center"/>
          </w:tcPr>
          <w:p w14:paraId="217522C9">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无组织</w:t>
            </w:r>
          </w:p>
        </w:tc>
        <w:tc>
          <w:tcPr>
            <w:tcW w:w="371" w:type="pct"/>
            <w:vAlign w:val="center"/>
          </w:tcPr>
          <w:p w14:paraId="1DE46561">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7200</w:t>
            </w:r>
          </w:p>
        </w:tc>
        <w:tc>
          <w:tcPr>
            <w:tcW w:w="461" w:type="pct"/>
            <w:vAlign w:val="center"/>
          </w:tcPr>
          <w:p w14:paraId="469AFD96">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颗粒物</w:t>
            </w:r>
          </w:p>
        </w:tc>
        <w:tc>
          <w:tcPr>
            <w:tcW w:w="438" w:type="pct"/>
            <w:vAlign w:val="center"/>
          </w:tcPr>
          <w:p w14:paraId="711B4A8A">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0.3682</w:t>
            </w:r>
          </w:p>
        </w:tc>
        <w:tc>
          <w:tcPr>
            <w:tcW w:w="1674" w:type="pct"/>
            <w:vMerge w:val="continue"/>
            <w:vAlign w:val="center"/>
          </w:tcPr>
          <w:p w14:paraId="2338C2E4">
            <w:pPr>
              <w:pStyle w:val="18"/>
              <w:adjustRightInd w:val="0"/>
              <w:snapToGrid w:val="0"/>
              <w:spacing w:line="240" w:lineRule="auto"/>
              <w:ind w:firstLine="0" w:firstLineChars="0"/>
              <w:jc w:val="center"/>
              <w:rPr>
                <w:color w:val="auto"/>
              </w:rPr>
            </w:pPr>
          </w:p>
        </w:tc>
        <w:tc>
          <w:tcPr>
            <w:tcW w:w="456" w:type="pct"/>
            <w:vAlign w:val="center"/>
          </w:tcPr>
          <w:p w14:paraId="3A286E07">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0.3682</w:t>
            </w:r>
          </w:p>
        </w:tc>
        <w:tc>
          <w:tcPr>
            <w:tcW w:w="467" w:type="pct"/>
            <w:vMerge w:val="continue"/>
            <w:vAlign w:val="center"/>
          </w:tcPr>
          <w:p w14:paraId="7B3001D3">
            <w:pPr>
              <w:pStyle w:val="18"/>
              <w:adjustRightInd w:val="0"/>
              <w:snapToGrid w:val="0"/>
              <w:spacing w:line="240" w:lineRule="auto"/>
              <w:ind w:firstLine="0" w:firstLineChars="0"/>
              <w:jc w:val="center"/>
              <w:rPr>
                <w:color w:val="auto"/>
              </w:rPr>
            </w:pPr>
          </w:p>
        </w:tc>
      </w:tr>
      <w:tr w14:paraId="5B8D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Align w:val="center"/>
          </w:tcPr>
          <w:p w14:paraId="489A2A16">
            <w:pPr>
              <w:pStyle w:val="18"/>
              <w:adjustRightInd w:val="0"/>
              <w:snapToGrid w:val="0"/>
              <w:spacing w:line="240" w:lineRule="auto"/>
              <w:ind w:firstLine="0" w:firstLineChars="0"/>
              <w:jc w:val="center"/>
              <w:rPr>
                <w:color w:val="auto"/>
              </w:rPr>
            </w:pPr>
            <w:r>
              <w:rPr>
                <w:rFonts w:hint="eastAsia"/>
                <w:color w:val="auto"/>
              </w:rPr>
              <w:t>悬浮剂生产线废气（2#车间）</w:t>
            </w:r>
          </w:p>
        </w:tc>
        <w:tc>
          <w:tcPr>
            <w:tcW w:w="229" w:type="pct"/>
            <w:vAlign w:val="center"/>
          </w:tcPr>
          <w:p w14:paraId="34D953BB">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投料</w:t>
            </w:r>
          </w:p>
        </w:tc>
        <w:tc>
          <w:tcPr>
            <w:tcW w:w="303" w:type="pct"/>
            <w:vAlign w:val="center"/>
          </w:tcPr>
          <w:p w14:paraId="76028EC0">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无组织</w:t>
            </w:r>
          </w:p>
        </w:tc>
        <w:tc>
          <w:tcPr>
            <w:tcW w:w="371" w:type="pct"/>
            <w:vAlign w:val="center"/>
          </w:tcPr>
          <w:p w14:paraId="0BFAA25E">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7200</w:t>
            </w:r>
          </w:p>
        </w:tc>
        <w:tc>
          <w:tcPr>
            <w:tcW w:w="461" w:type="pct"/>
            <w:vAlign w:val="center"/>
          </w:tcPr>
          <w:p w14:paraId="325CE9D3">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颗粒物</w:t>
            </w:r>
          </w:p>
        </w:tc>
        <w:tc>
          <w:tcPr>
            <w:tcW w:w="438" w:type="pct"/>
            <w:vAlign w:val="center"/>
          </w:tcPr>
          <w:p w14:paraId="2B95538F">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0.0975</w:t>
            </w:r>
          </w:p>
        </w:tc>
        <w:tc>
          <w:tcPr>
            <w:tcW w:w="1674" w:type="pct"/>
            <w:vAlign w:val="center"/>
          </w:tcPr>
          <w:p w14:paraId="172C1959">
            <w:pPr>
              <w:pStyle w:val="18"/>
              <w:adjustRightInd w:val="0"/>
              <w:snapToGrid w:val="0"/>
              <w:spacing w:line="240" w:lineRule="auto"/>
              <w:ind w:firstLine="0" w:firstLineChars="0"/>
              <w:jc w:val="center"/>
              <w:rPr>
                <w:color w:val="auto"/>
              </w:rPr>
            </w:pPr>
            <w:r>
              <w:rPr>
                <w:rFonts w:hint="eastAsia"/>
                <w:color w:val="auto"/>
              </w:rPr>
              <w:t>建设单位拟在投料口设置三面围挡，投料口减少落差等方式，减少无组织排放</w:t>
            </w:r>
          </w:p>
        </w:tc>
        <w:tc>
          <w:tcPr>
            <w:tcW w:w="456" w:type="pct"/>
            <w:vAlign w:val="center"/>
          </w:tcPr>
          <w:p w14:paraId="0F1D171C">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0.0390</w:t>
            </w:r>
          </w:p>
        </w:tc>
        <w:tc>
          <w:tcPr>
            <w:tcW w:w="467" w:type="pct"/>
            <w:vMerge w:val="continue"/>
            <w:vAlign w:val="center"/>
          </w:tcPr>
          <w:p w14:paraId="2E1A4662">
            <w:pPr>
              <w:pStyle w:val="18"/>
              <w:adjustRightInd w:val="0"/>
              <w:snapToGrid w:val="0"/>
              <w:spacing w:line="240" w:lineRule="auto"/>
              <w:ind w:firstLine="0" w:firstLineChars="0"/>
              <w:jc w:val="center"/>
              <w:rPr>
                <w:color w:val="auto"/>
              </w:rPr>
            </w:pPr>
          </w:p>
        </w:tc>
      </w:tr>
      <w:tr w14:paraId="7BBB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Merge w:val="restart"/>
            <w:vAlign w:val="center"/>
          </w:tcPr>
          <w:p w14:paraId="61B9BF9B">
            <w:pPr>
              <w:pStyle w:val="18"/>
              <w:adjustRightInd w:val="0"/>
              <w:snapToGrid w:val="0"/>
              <w:spacing w:line="240" w:lineRule="auto"/>
              <w:ind w:firstLine="0" w:firstLineChars="0"/>
              <w:jc w:val="center"/>
              <w:rPr>
                <w:color w:val="auto"/>
              </w:rPr>
            </w:pPr>
            <w:r>
              <w:rPr>
                <w:rFonts w:hint="eastAsia"/>
                <w:color w:val="auto"/>
              </w:rPr>
              <w:t>水乳剂生产线废气（3#车间）</w:t>
            </w:r>
          </w:p>
        </w:tc>
        <w:tc>
          <w:tcPr>
            <w:tcW w:w="229" w:type="pct"/>
            <w:vAlign w:val="center"/>
          </w:tcPr>
          <w:p w14:paraId="52EAA20B">
            <w:pPr>
              <w:pStyle w:val="18"/>
              <w:adjustRightInd w:val="0"/>
              <w:snapToGrid w:val="0"/>
              <w:spacing w:line="240" w:lineRule="auto"/>
              <w:ind w:left="0" w:leftChars="0" w:firstLine="0" w:firstLineChars="0"/>
              <w:jc w:val="center"/>
              <w:rPr>
                <w:color w:val="auto"/>
              </w:rPr>
            </w:pPr>
            <w:r>
              <w:rPr>
                <w:rFonts w:hint="eastAsia"/>
                <w:color w:val="auto"/>
                <w:lang w:val="en-US" w:eastAsia="zh-CN"/>
              </w:rPr>
              <w:t>投料</w:t>
            </w:r>
          </w:p>
        </w:tc>
        <w:tc>
          <w:tcPr>
            <w:tcW w:w="303" w:type="pct"/>
            <w:vAlign w:val="center"/>
          </w:tcPr>
          <w:p w14:paraId="7FF407E7">
            <w:pPr>
              <w:pStyle w:val="18"/>
              <w:adjustRightInd w:val="0"/>
              <w:snapToGrid w:val="0"/>
              <w:spacing w:line="240" w:lineRule="auto"/>
              <w:ind w:left="0" w:leftChars="0" w:firstLine="0" w:firstLineChars="0"/>
              <w:jc w:val="center"/>
              <w:rPr>
                <w:color w:val="auto"/>
              </w:rPr>
            </w:pPr>
            <w:r>
              <w:rPr>
                <w:rFonts w:hint="eastAsia"/>
                <w:color w:val="auto"/>
                <w:lang w:val="en-US" w:eastAsia="zh-CN"/>
              </w:rPr>
              <w:t>无组织</w:t>
            </w:r>
          </w:p>
        </w:tc>
        <w:tc>
          <w:tcPr>
            <w:tcW w:w="371" w:type="pct"/>
            <w:vAlign w:val="center"/>
          </w:tcPr>
          <w:p w14:paraId="526D1E11">
            <w:pPr>
              <w:pStyle w:val="18"/>
              <w:adjustRightInd w:val="0"/>
              <w:snapToGrid w:val="0"/>
              <w:spacing w:line="240" w:lineRule="auto"/>
              <w:ind w:left="0" w:leftChars="0" w:firstLine="0" w:firstLineChars="0"/>
              <w:jc w:val="center"/>
              <w:rPr>
                <w:color w:val="auto"/>
              </w:rPr>
            </w:pPr>
            <w:r>
              <w:rPr>
                <w:rFonts w:hint="eastAsia"/>
                <w:color w:val="auto"/>
                <w:lang w:val="en-US" w:eastAsia="zh-CN"/>
              </w:rPr>
              <w:t>7200</w:t>
            </w:r>
          </w:p>
        </w:tc>
        <w:tc>
          <w:tcPr>
            <w:tcW w:w="461" w:type="pct"/>
            <w:vAlign w:val="center"/>
          </w:tcPr>
          <w:p w14:paraId="33FEC301">
            <w:pPr>
              <w:pStyle w:val="18"/>
              <w:adjustRightInd w:val="0"/>
              <w:snapToGrid w:val="0"/>
              <w:spacing w:line="240" w:lineRule="auto"/>
              <w:ind w:left="0" w:leftChars="0" w:firstLine="0" w:firstLineChars="0"/>
              <w:jc w:val="center"/>
              <w:rPr>
                <w:color w:val="auto"/>
              </w:rPr>
            </w:pPr>
            <w:r>
              <w:rPr>
                <w:rFonts w:hint="eastAsia"/>
                <w:color w:val="auto"/>
                <w:lang w:val="en-US" w:eastAsia="zh-CN"/>
              </w:rPr>
              <w:t>颗粒物</w:t>
            </w:r>
          </w:p>
        </w:tc>
        <w:tc>
          <w:tcPr>
            <w:tcW w:w="438" w:type="pct"/>
            <w:vAlign w:val="center"/>
          </w:tcPr>
          <w:p w14:paraId="307B56A2">
            <w:pPr>
              <w:pStyle w:val="18"/>
              <w:adjustRightInd w:val="0"/>
              <w:snapToGrid w:val="0"/>
              <w:spacing w:line="240" w:lineRule="auto"/>
              <w:ind w:left="0" w:leftChars="0" w:firstLine="0" w:firstLineChars="0"/>
              <w:jc w:val="center"/>
              <w:rPr>
                <w:rFonts w:hint="default"/>
                <w:color w:val="auto"/>
                <w:lang w:val="en-US"/>
              </w:rPr>
            </w:pPr>
            <w:r>
              <w:rPr>
                <w:rFonts w:hint="eastAsia"/>
                <w:color w:val="auto"/>
                <w:lang w:val="en-US" w:eastAsia="zh-CN"/>
              </w:rPr>
              <w:t>0.0105</w:t>
            </w:r>
          </w:p>
        </w:tc>
        <w:tc>
          <w:tcPr>
            <w:tcW w:w="1674" w:type="pct"/>
            <w:vAlign w:val="center"/>
          </w:tcPr>
          <w:p w14:paraId="67FB25C3">
            <w:pPr>
              <w:pStyle w:val="18"/>
              <w:adjustRightInd w:val="0"/>
              <w:snapToGrid w:val="0"/>
              <w:spacing w:line="240" w:lineRule="auto"/>
              <w:ind w:firstLine="0" w:firstLineChars="0"/>
              <w:jc w:val="center"/>
              <w:rPr>
                <w:color w:val="auto"/>
              </w:rPr>
            </w:pPr>
            <w:r>
              <w:rPr>
                <w:rFonts w:hint="eastAsia"/>
                <w:color w:val="auto"/>
              </w:rPr>
              <w:t>建设单位拟在投料口设置三面围挡，投料口减少落差等方式，减少无组织排放</w:t>
            </w:r>
          </w:p>
        </w:tc>
        <w:tc>
          <w:tcPr>
            <w:tcW w:w="456" w:type="pct"/>
            <w:vAlign w:val="center"/>
          </w:tcPr>
          <w:p w14:paraId="0EF4DF13">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0.0042</w:t>
            </w:r>
          </w:p>
        </w:tc>
        <w:tc>
          <w:tcPr>
            <w:tcW w:w="467" w:type="pct"/>
            <w:vMerge w:val="continue"/>
            <w:vAlign w:val="center"/>
          </w:tcPr>
          <w:p w14:paraId="4F259FF0">
            <w:pPr>
              <w:pStyle w:val="18"/>
              <w:adjustRightInd w:val="0"/>
              <w:snapToGrid w:val="0"/>
              <w:spacing w:line="240" w:lineRule="auto"/>
              <w:ind w:firstLine="0" w:firstLineChars="0"/>
              <w:jc w:val="center"/>
              <w:rPr>
                <w:color w:val="auto"/>
              </w:rPr>
            </w:pPr>
          </w:p>
        </w:tc>
      </w:tr>
      <w:tr w14:paraId="130F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Merge w:val="continue"/>
            <w:vAlign w:val="center"/>
          </w:tcPr>
          <w:p w14:paraId="387B5DAF">
            <w:pPr>
              <w:pStyle w:val="18"/>
              <w:adjustRightInd w:val="0"/>
              <w:snapToGrid w:val="0"/>
              <w:spacing w:line="240" w:lineRule="auto"/>
              <w:ind w:firstLine="0" w:firstLineChars="0"/>
              <w:jc w:val="center"/>
              <w:rPr>
                <w:color w:val="auto"/>
              </w:rPr>
            </w:pPr>
          </w:p>
        </w:tc>
        <w:tc>
          <w:tcPr>
            <w:tcW w:w="229" w:type="pct"/>
            <w:vMerge w:val="restart"/>
            <w:vAlign w:val="center"/>
          </w:tcPr>
          <w:p w14:paraId="40FCEE32">
            <w:pPr>
              <w:pStyle w:val="18"/>
              <w:adjustRightInd w:val="0"/>
              <w:snapToGrid w:val="0"/>
              <w:spacing w:line="240" w:lineRule="auto"/>
              <w:ind w:firstLine="0" w:firstLineChars="0"/>
              <w:jc w:val="center"/>
              <w:rPr>
                <w:color w:val="auto"/>
              </w:rPr>
            </w:pPr>
            <w:r>
              <w:rPr>
                <w:rFonts w:hint="eastAsia"/>
                <w:color w:val="auto"/>
              </w:rPr>
              <w:t>搅拌、配制</w:t>
            </w:r>
          </w:p>
        </w:tc>
        <w:tc>
          <w:tcPr>
            <w:tcW w:w="303" w:type="pct"/>
            <w:vAlign w:val="center"/>
          </w:tcPr>
          <w:p w14:paraId="4DFFA46B">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有组织</w:t>
            </w:r>
          </w:p>
        </w:tc>
        <w:tc>
          <w:tcPr>
            <w:tcW w:w="371" w:type="pct"/>
            <w:vAlign w:val="center"/>
          </w:tcPr>
          <w:p w14:paraId="52363D4A">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7200</w:t>
            </w:r>
          </w:p>
        </w:tc>
        <w:tc>
          <w:tcPr>
            <w:tcW w:w="461" w:type="pct"/>
            <w:vAlign w:val="center"/>
          </w:tcPr>
          <w:p w14:paraId="275C4113">
            <w:pPr>
              <w:pStyle w:val="18"/>
              <w:adjustRightInd w:val="0"/>
              <w:snapToGrid w:val="0"/>
              <w:spacing w:line="240" w:lineRule="auto"/>
              <w:ind w:firstLine="0" w:firstLineChars="0"/>
              <w:jc w:val="center"/>
              <w:rPr>
                <w:color w:val="auto"/>
              </w:rPr>
            </w:pPr>
            <w:r>
              <w:rPr>
                <w:rFonts w:hint="eastAsia"/>
                <w:color w:val="auto"/>
              </w:rPr>
              <w:t>非甲烷总烃</w:t>
            </w:r>
          </w:p>
        </w:tc>
        <w:tc>
          <w:tcPr>
            <w:tcW w:w="438" w:type="pct"/>
            <w:vAlign w:val="center"/>
          </w:tcPr>
          <w:p w14:paraId="29485AA3">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3.9861</w:t>
            </w:r>
          </w:p>
        </w:tc>
        <w:tc>
          <w:tcPr>
            <w:tcW w:w="1674" w:type="pct"/>
            <w:vMerge w:val="restart"/>
            <w:vAlign w:val="center"/>
          </w:tcPr>
          <w:p w14:paraId="3220D439">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通过管道（收集效率95%）收集“二级活性炭”（5000m</w:t>
            </w:r>
            <w:r>
              <w:rPr>
                <w:rFonts w:hint="eastAsia"/>
                <w:color w:val="auto"/>
                <w:vertAlign w:val="superscript"/>
                <w:lang w:val="en-US" w:eastAsia="zh-CN"/>
              </w:rPr>
              <w:t>3</w:t>
            </w:r>
            <w:r>
              <w:rPr>
                <w:rFonts w:hint="eastAsia"/>
                <w:color w:val="auto"/>
                <w:lang w:val="en-US" w:eastAsia="zh-CN"/>
              </w:rPr>
              <w:t>/h）处理后15m排放（DA002）</w:t>
            </w:r>
          </w:p>
        </w:tc>
        <w:tc>
          <w:tcPr>
            <w:tcW w:w="456" w:type="pct"/>
            <w:vAlign w:val="center"/>
          </w:tcPr>
          <w:p w14:paraId="01AFEE49">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0.3986</w:t>
            </w:r>
          </w:p>
        </w:tc>
        <w:tc>
          <w:tcPr>
            <w:tcW w:w="467" w:type="pct"/>
            <w:vMerge w:val="continue"/>
            <w:vAlign w:val="center"/>
          </w:tcPr>
          <w:p w14:paraId="73FBCAA8">
            <w:pPr>
              <w:pStyle w:val="18"/>
              <w:adjustRightInd w:val="0"/>
              <w:snapToGrid w:val="0"/>
              <w:spacing w:line="240" w:lineRule="auto"/>
              <w:ind w:firstLine="0" w:firstLineChars="0"/>
              <w:jc w:val="center"/>
              <w:rPr>
                <w:color w:val="auto"/>
              </w:rPr>
            </w:pPr>
          </w:p>
        </w:tc>
      </w:tr>
      <w:tr w14:paraId="5C46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Merge w:val="continue"/>
            <w:vAlign w:val="center"/>
          </w:tcPr>
          <w:p w14:paraId="1A6DA0E8">
            <w:pPr>
              <w:pStyle w:val="18"/>
              <w:adjustRightInd w:val="0"/>
              <w:snapToGrid w:val="0"/>
              <w:spacing w:line="240" w:lineRule="auto"/>
              <w:ind w:firstLine="0" w:firstLineChars="0"/>
              <w:jc w:val="center"/>
              <w:rPr>
                <w:color w:val="auto"/>
              </w:rPr>
            </w:pPr>
          </w:p>
        </w:tc>
        <w:tc>
          <w:tcPr>
            <w:tcW w:w="229" w:type="pct"/>
            <w:vMerge w:val="continue"/>
            <w:vAlign w:val="center"/>
          </w:tcPr>
          <w:p w14:paraId="1C0148D3">
            <w:pPr>
              <w:pStyle w:val="18"/>
              <w:adjustRightInd w:val="0"/>
              <w:snapToGrid w:val="0"/>
              <w:spacing w:line="240" w:lineRule="auto"/>
              <w:ind w:firstLine="0" w:firstLineChars="0"/>
              <w:jc w:val="center"/>
              <w:rPr>
                <w:color w:val="auto"/>
              </w:rPr>
            </w:pPr>
          </w:p>
        </w:tc>
        <w:tc>
          <w:tcPr>
            <w:tcW w:w="303" w:type="pct"/>
            <w:vAlign w:val="center"/>
          </w:tcPr>
          <w:p w14:paraId="28A74694">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无组织</w:t>
            </w:r>
          </w:p>
        </w:tc>
        <w:tc>
          <w:tcPr>
            <w:tcW w:w="371" w:type="pct"/>
            <w:vAlign w:val="center"/>
          </w:tcPr>
          <w:p w14:paraId="73A13756">
            <w:pPr>
              <w:pStyle w:val="18"/>
              <w:adjustRightInd w:val="0"/>
              <w:snapToGrid w:val="0"/>
              <w:spacing w:line="240" w:lineRule="auto"/>
              <w:ind w:firstLine="0" w:firstLineChars="0"/>
              <w:jc w:val="center"/>
              <w:rPr>
                <w:color w:val="auto"/>
              </w:rPr>
            </w:pPr>
            <w:r>
              <w:rPr>
                <w:rFonts w:hint="eastAsia"/>
                <w:color w:val="auto"/>
                <w:lang w:val="en-US" w:eastAsia="zh-CN"/>
              </w:rPr>
              <w:t>7200</w:t>
            </w:r>
          </w:p>
        </w:tc>
        <w:tc>
          <w:tcPr>
            <w:tcW w:w="461" w:type="pct"/>
            <w:vAlign w:val="center"/>
          </w:tcPr>
          <w:p w14:paraId="0D8EA075">
            <w:pPr>
              <w:pStyle w:val="18"/>
              <w:adjustRightInd w:val="0"/>
              <w:snapToGrid w:val="0"/>
              <w:spacing w:line="240" w:lineRule="auto"/>
              <w:ind w:firstLine="0" w:firstLineChars="0"/>
              <w:jc w:val="center"/>
              <w:rPr>
                <w:color w:val="auto"/>
              </w:rPr>
            </w:pPr>
            <w:r>
              <w:rPr>
                <w:rFonts w:hint="eastAsia"/>
                <w:color w:val="auto"/>
              </w:rPr>
              <w:t>非甲烷总烃</w:t>
            </w:r>
          </w:p>
        </w:tc>
        <w:tc>
          <w:tcPr>
            <w:tcW w:w="438" w:type="pct"/>
            <w:vAlign w:val="center"/>
          </w:tcPr>
          <w:p w14:paraId="3B7ECFDE">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0.2098</w:t>
            </w:r>
          </w:p>
        </w:tc>
        <w:tc>
          <w:tcPr>
            <w:tcW w:w="1674" w:type="pct"/>
            <w:vMerge w:val="continue"/>
            <w:vAlign w:val="center"/>
          </w:tcPr>
          <w:p w14:paraId="70ED8054">
            <w:pPr>
              <w:pStyle w:val="18"/>
              <w:adjustRightInd w:val="0"/>
              <w:snapToGrid w:val="0"/>
              <w:spacing w:line="240" w:lineRule="auto"/>
              <w:ind w:firstLine="0" w:firstLineChars="0"/>
              <w:jc w:val="center"/>
              <w:rPr>
                <w:color w:val="auto"/>
              </w:rPr>
            </w:pPr>
          </w:p>
        </w:tc>
        <w:tc>
          <w:tcPr>
            <w:tcW w:w="456" w:type="pct"/>
            <w:vAlign w:val="center"/>
          </w:tcPr>
          <w:p w14:paraId="75A261DC">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0.2098</w:t>
            </w:r>
          </w:p>
        </w:tc>
        <w:tc>
          <w:tcPr>
            <w:tcW w:w="467" w:type="pct"/>
            <w:vMerge w:val="continue"/>
            <w:vAlign w:val="center"/>
          </w:tcPr>
          <w:p w14:paraId="268413FA">
            <w:pPr>
              <w:pStyle w:val="18"/>
              <w:adjustRightInd w:val="0"/>
              <w:snapToGrid w:val="0"/>
              <w:spacing w:line="240" w:lineRule="auto"/>
              <w:ind w:firstLine="0" w:firstLineChars="0"/>
              <w:jc w:val="center"/>
              <w:rPr>
                <w:color w:val="auto"/>
              </w:rPr>
            </w:pPr>
          </w:p>
        </w:tc>
      </w:tr>
      <w:tr w14:paraId="22D6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Align w:val="center"/>
          </w:tcPr>
          <w:p w14:paraId="7561C65E">
            <w:pPr>
              <w:pStyle w:val="18"/>
              <w:adjustRightInd w:val="0"/>
              <w:snapToGrid w:val="0"/>
              <w:spacing w:line="240" w:lineRule="auto"/>
              <w:ind w:firstLine="0" w:firstLineChars="0"/>
              <w:jc w:val="center"/>
              <w:rPr>
                <w:color w:val="auto"/>
              </w:rPr>
            </w:pPr>
            <w:r>
              <w:rPr>
                <w:rFonts w:hint="eastAsia"/>
                <w:color w:val="auto"/>
              </w:rPr>
              <w:t>水剂生产线废气（4#车间）</w:t>
            </w:r>
          </w:p>
        </w:tc>
        <w:tc>
          <w:tcPr>
            <w:tcW w:w="229" w:type="pct"/>
            <w:vAlign w:val="center"/>
          </w:tcPr>
          <w:p w14:paraId="2A4119C4">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投料</w:t>
            </w:r>
          </w:p>
        </w:tc>
        <w:tc>
          <w:tcPr>
            <w:tcW w:w="303" w:type="pct"/>
            <w:vAlign w:val="center"/>
          </w:tcPr>
          <w:p w14:paraId="523C1A9F">
            <w:pPr>
              <w:pStyle w:val="18"/>
              <w:adjustRightInd w:val="0"/>
              <w:snapToGrid w:val="0"/>
              <w:spacing w:line="240" w:lineRule="auto"/>
              <w:ind w:left="0" w:leftChars="0" w:firstLine="0" w:firstLineChars="0"/>
              <w:jc w:val="center"/>
              <w:rPr>
                <w:color w:val="auto"/>
              </w:rPr>
            </w:pPr>
            <w:r>
              <w:rPr>
                <w:rFonts w:hint="eastAsia"/>
                <w:color w:val="auto"/>
                <w:lang w:val="en-US" w:eastAsia="zh-CN"/>
              </w:rPr>
              <w:t>无组织</w:t>
            </w:r>
          </w:p>
        </w:tc>
        <w:tc>
          <w:tcPr>
            <w:tcW w:w="371" w:type="pct"/>
            <w:vAlign w:val="center"/>
          </w:tcPr>
          <w:p w14:paraId="5A4D9663">
            <w:pPr>
              <w:pStyle w:val="18"/>
              <w:adjustRightInd w:val="0"/>
              <w:snapToGrid w:val="0"/>
              <w:spacing w:line="240" w:lineRule="auto"/>
              <w:ind w:left="0" w:leftChars="0" w:firstLine="0" w:firstLineChars="0"/>
              <w:jc w:val="center"/>
              <w:rPr>
                <w:color w:val="auto"/>
              </w:rPr>
            </w:pPr>
            <w:r>
              <w:rPr>
                <w:rFonts w:hint="eastAsia"/>
                <w:color w:val="auto"/>
                <w:lang w:val="en-US" w:eastAsia="zh-CN"/>
              </w:rPr>
              <w:t>7200</w:t>
            </w:r>
          </w:p>
        </w:tc>
        <w:tc>
          <w:tcPr>
            <w:tcW w:w="461" w:type="pct"/>
            <w:vAlign w:val="center"/>
          </w:tcPr>
          <w:p w14:paraId="2F5AA350">
            <w:pPr>
              <w:pStyle w:val="18"/>
              <w:adjustRightInd w:val="0"/>
              <w:snapToGrid w:val="0"/>
              <w:spacing w:line="240" w:lineRule="auto"/>
              <w:ind w:left="0" w:leftChars="0" w:firstLine="0" w:firstLineChars="0"/>
              <w:jc w:val="center"/>
              <w:rPr>
                <w:color w:val="auto"/>
              </w:rPr>
            </w:pPr>
            <w:r>
              <w:rPr>
                <w:rFonts w:hint="eastAsia"/>
                <w:color w:val="auto"/>
                <w:lang w:val="en-US" w:eastAsia="zh-CN"/>
              </w:rPr>
              <w:t>颗粒物</w:t>
            </w:r>
          </w:p>
        </w:tc>
        <w:tc>
          <w:tcPr>
            <w:tcW w:w="438" w:type="pct"/>
            <w:vAlign w:val="center"/>
          </w:tcPr>
          <w:p w14:paraId="61D952BB">
            <w:pPr>
              <w:pStyle w:val="18"/>
              <w:adjustRightInd w:val="0"/>
              <w:snapToGrid w:val="0"/>
              <w:spacing w:line="240" w:lineRule="auto"/>
              <w:ind w:left="0" w:leftChars="0" w:firstLine="0" w:firstLineChars="0"/>
              <w:jc w:val="center"/>
              <w:rPr>
                <w:rFonts w:hint="default"/>
                <w:color w:val="auto"/>
                <w:lang w:val="en-US"/>
              </w:rPr>
            </w:pPr>
            <w:r>
              <w:rPr>
                <w:rFonts w:hint="eastAsia"/>
                <w:color w:val="auto"/>
                <w:lang w:val="en-US" w:eastAsia="zh-CN"/>
              </w:rPr>
              <w:t>0.0035</w:t>
            </w:r>
          </w:p>
        </w:tc>
        <w:tc>
          <w:tcPr>
            <w:tcW w:w="1674" w:type="pct"/>
            <w:vAlign w:val="center"/>
          </w:tcPr>
          <w:p w14:paraId="56EF6B80">
            <w:pPr>
              <w:pStyle w:val="18"/>
              <w:adjustRightInd w:val="0"/>
              <w:snapToGrid w:val="0"/>
              <w:spacing w:line="240" w:lineRule="auto"/>
              <w:ind w:firstLine="0" w:firstLineChars="0"/>
              <w:jc w:val="center"/>
              <w:rPr>
                <w:color w:val="auto"/>
              </w:rPr>
            </w:pPr>
            <w:r>
              <w:rPr>
                <w:rFonts w:hint="eastAsia"/>
                <w:color w:val="auto"/>
              </w:rPr>
              <w:t>建设单位拟在投料口设置三面围挡，投料口减少落差等方式，减少无组织排放</w:t>
            </w:r>
          </w:p>
        </w:tc>
        <w:tc>
          <w:tcPr>
            <w:tcW w:w="456" w:type="pct"/>
            <w:vAlign w:val="center"/>
          </w:tcPr>
          <w:p w14:paraId="05D8A9DF">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0.0014</w:t>
            </w:r>
          </w:p>
        </w:tc>
        <w:tc>
          <w:tcPr>
            <w:tcW w:w="467" w:type="pct"/>
            <w:vMerge w:val="continue"/>
            <w:vAlign w:val="center"/>
          </w:tcPr>
          <w:p w14:paraId="6AA53F57">
            <w:pPr>
              <w:pStyle w:val="18"/>
              <w:adjustRightInd w:val="0"/>
              <w:snapToGrid w:val="0"/>
              <w:spacing w:line="240" w:lineRule="auto"/>
              <w:ind w:firstLine="0" w:firstLineChars="0"/>
              <w:jc w:val="center"/>
              <w:rPr>
                <w:color w:val="auto"/>
              </w:rPr>
            </w:pPr>
          </w:p>
        </w:tc>
      </w:tr>
      <w:tr w14:paraId="2C53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Align w:val="center"/>
          </w:tcPr>
          <w:p w14:paraId="6A9023C7">
            <w:pPr>
              <w:pStyle w:val="18"/>
              <w:adjustRightInd w:val="0"/>
              <w:snapToGrid w:val="0"/>
              <w:spacing w:line="240" w:lineRule="auto"/>
              <w:ind w:firstLine="0" w:firstLineChars="0"/>
              <w:jc w:val="center"/>
              <w:rPr>
                <w:color w:val="auto"/>
              </w:rPr>
            </w:pPr>
            <w:r>
              <w:rPr>
                <w:rFonts w:hint="eastAsia"/>
                <w:color w:val="auto"/>
              </w:rPr>
              <w:t>农药生产异味</w:t>
            </w:r>
          </w:p>
        </w:tc>
        <w:tc>
          <w:tcPr>
            <w:tcW w:w="229" w:type="pct"/>
            <w:vAlign w:val="center"/>
          </w:tcPr>
          <w:p w14:paraId="51E64D75">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生产</w:t>
            </w:r>
          </w:p>
        </w:tc>
        <w:tc>
          <w:tcPr>
            <w:tcW w:w="303" w:type="pct"/>
            <w:vAlign w:val="center"/>
          </w:tcPr>
          <w:p w14:paraId="58F1CE17">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无组织</w:t>
            </w:r>
          </w:p>
        </w:tc>
        <w:tc>
          <w:tcPr>
            <w:tcW w:w="371" w:type="pct"/>
            <w:vAlign w:val="center"/>
          </w:tcPr>
          <w:p w14:paraId="4AEEC179">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7200</w:t>
            </w:r>
          </w:p>
        </w:tc>
        <w:tc>
          <w:tcPr>
            <w:tcW w:w="461" w:type="pct"/>
            <w:vAlign w:val="center"/>
          </w:tcPr>
          <w:p w14:paraId="0A8AD68E">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臭气浓度</w:t>
            </w:r>
          </w:p>
        </w:tc>
        <w:tc>
          <w:tcPr>
            <w:tcW w:w="438" w:type="pct"/>
            <w:vAlign w:val="center"/>
          </w:tcPr>
          <w:p w14:paraId="61E1EDCD">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w:t>
            </w:r>
          </w:p>
        </w:tc>
        <w:tc>
          <w:tcPr>
            <w:tcW w:w="1674" w:type="pct"/>
            <w:vAlign w:val="center"/>
          </w:tcPr>
          <w:p w14:paraId="2964BFF1">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rPr>
              <w:t>水乳剂生产线（3#车间）异味气体两级活性炭吸附装置处理后引至排气筒高空排放，其余生产线无组织排放的异味经车间强制通风换气</w:t>
            </w:r>
            <w:r>
              <w:rPr>
                <w:rFonts w:hint="eastAsia"/>
                <w:color w:val="auto"/>
                <w:lang w:val="en-US" w:eastAsia="zh-CN"/>
              </w:rPr>
              <w:t>外排</w:t>
            </w:r>
          </w:p>
        </w:tc>
        <w:tc>
          <w:tcPr>
            <w:tcW w:w="456" w:type="pct"/>
            <w:vAlign w:val="center"/>
          </w:tcPr>
          <w:p w14:paraId="28736B0F">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w:t>
            </w:r>
          </w:p>
        </w:tc>
        <w:tc>
          <w:tcPr>
            <w:tcW w:w="467" w:type="pct"/>
            <w:vAlign w:val="center"/>
          </w:tcPr>
          <w:p w14:paraId="77705913">
            <w:pPr>
              <w:pStyle w:val="18"/>
              <w:adjustRightInd w:val="0"/>
              <w:snapToGrid w:val="0"/>
              <w:spacing w:line="240" w:lineRule="auto"/>
              <w:ind w:firstLine="0" w:firstLineChars="0"/>
              <w:jc w:val="center"/>
              <w:rPr>
                <w:color w:val="auto"/>
              </w:rPr>
            </w:pPr>
            <w:r>
              <w:rPr>
                <w:rFonts w:hint="eastAsia"/>
                <w:color w:val="auto"/>
              </w:rPr>
              <w:t>《恶臭污染物排放标准》（GB14554-93）</w:t>
            </w:r>
          </w:p>
        </w:tc>
      </w:tr>
      <w:tr w14:paraId="7761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Align w:val="center"/>
          </w:tcPr>
          <w:p w14:paraId="062EB454">
            <w:pPr>
              <w:pStyle w:val="18"/>
              <w:adjustRightInd w:val="0"/>
              <w:snapToGrid w:val="0"/>
              <w:spacing w:line="240" w:lineRule="auto"/>
              <w:ind w:firstLine="0" w:firstLineChars="0"/>
              <w:jc w:val="center"/>
              <w:rPr>
                <w:color w:val="auto"/>
              </w:rPr>
            </w:pPr>
            <w:r>
              <w:rPr>
                <w:rFonts w:hint="eastAsia"/>
                <w:color w:val="auto"/>
              </w:rPr>
              <w:t>实验废气</w:t>
            </w:r>
          </w:p>
        </w:tc>
        <w:tc>
          <w:tcPr>
            <w:tcW w:w="229" w:type="pct"/>
            <w:vAlign w:val="center"/>
          </w:tcPr>
          <w:p w14:paraId="0FC32489">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检验</w:t>
            </w:r>
          </w:p>
        </w:tc>
        <w:tc>
          <w:tcPr>
            <w:tcW w:w="303" w:type="pct"/>
            <w:vAlign w:val="center"/>
          </w:tcPr>
          <w:p w14:paraId="5FE5A5C4">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有组织</w:t>
            </w:r>
          </w:p>
        </w:tc>
        <w:tc>
          <w:tcPr>
            <w:tcW w:w="371" w:type="pct"/>
            <w:vAlign w:val="center"/>
          </w:tcPr>
          <w:p w14:paraId="79B75F46">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w:t>
            </w:r>
          </w:p>
        </w:tc>
        <w:tc>
          <w:tcPr>
            <w:tcW w:w="461" w:type="pct"/>
            <w:vAlign w:val="center"/>
          </w:tcPr>
          <w:p w14:paraId="49C43D22">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w:t>
            </w:r>
          </w:p>
        </w:tc>
        <w:tc>
          <w:tcPr>
            <w:tcW w:w="438" w:type="pct"/>
            <w:vAlign w:val="center"/>
          </w:tcPr>
          <w:p w14:paraId="51FAC819">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w:t>
            </w:r>
          </w:p>
        </w:tc>
        <w:tc>
          <w:tcPr>
            <w:tcW w:w="1674" w:type="pct"/>
            <w:vAlign w:val="center"/>
          </w:tcPr>
          <w:p w14:paraId="3AFE87D6">
            <w:pPr>
              <w:pStyle w:val="18"/>
              <w:adjustRightInd w:val="0"/>
              <w:snapToGrid w:val="0"/>
              <w:spacing w:line="240" w:lineRule="auto"/>
              <w:ind w:firstLine="0" w:firstLineChars="0"/>
              <w:jc w:val="center"/>
              <w:rPr>
                <w:color w:val="auto"/>
              </w:rPr>
            </w:pPr>
            <w:r>
              <w:rPr>
                <w:rFonts w:hint="eastAsia"/>
                <w:color w:val="auto"/>
              </w:rPr>
              <w:t>设置通风橱，有机废气经收集后由管道通入活性炭吸附装置处理后排放。</w:t>
            </w:r>
          </w:p>
        </w:tc>
        <w:tc>
          <w:tcPr>
            <w:tcW w:w="456" w:type="pct"/>
            <w:vAlign w:val="center"/>
          </w:tcPr>
          <w:p w14:paraId="2477F2CB">
            <w:pPr>
              <w:pStyle w:val="18"/>
              <w:adjustRightInd w:val="0"/>
              <w:snapToGrid w:val="0"/>
              <w:spacing w:line="240" w:lineRule="auto"/>
              <w:ind w:firstLine="0" w:firstLineChars="0"/>
              <w:jc w:val="center"/>
              <w:rPr>
                <w:color w:val="auto"/>
              </w:rPr>
            </w:pPr>
            <w:r>
              <w:rPr>
                <w:rFonts w:hint="eastAsia"/>
                <w:color w:val="auto"/>
                <w:lang w:val="en-US" w:eastAsia="zh-CN"/>
              </w:rPr>
              <w:t>/</w:t>
            </w:r>
          </w:p>
        </w:tc>
        <w:tc>
          <w:tcPr>
            <w:tcW w:w="467" w:type="pct"/>
            <w:vAlign w:val="center"/>
          </w:tcPr>
          <w:p w14:paraId="739B0BA3">
            <w:pPr>
              <w:pStyle w:val="18"/>
              <w:adjustRightInd w:val="0"/>
              <w:snapToGrid w:val="0"/>
              <w:spacing w:line="240" w:lineRule="auto"/>
              <w:ind w:firstLine="0" w:firstLineChars="0"/>
              <w:jc w:val="center"/>
              <w:rPr>
                <w:color w:val="auto"/>
              </w:rPr>
            </w:pPr>
            <w:r>
              <w:rPr>
                <w:rFonts w:hint="eastAsia"/>
                <w:color w:val="auto"/>
                <w:lang w:val="en-US" w:eastAsia="zh-CN"/>
              </w:rPr>
              <w:t>/</w:t>
            </w:r>
          </w:p>
        </w:tc>
      </w:tr>
      <w:tr w14:paraId="1D3F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pct"/>
            <w:vAlign w:val="center"/>
          </w:tcPr>
          <w:p w14:paraId="5B147B0B">
            <w:pPr>
              <w:pStyle w:val="18"/>
              <w:adjustRightInd w:val="0"/>
              <w:snapToGrid w:val="0"/>
              <w:spacing w:line="240" w:lineRule="auto"/>
              <w:ind w:firstLine="0" w:firstLineChars="0"/>
              <w:jc w:val="center"/>
              <w:rPr>
                <w:color w:val="auto"/>
              </w:rPr>
            </w:pPr>
            <w:r>
              <w:rPr>
                <w:rFonts w:hint="eastAsia"/>
                <w:color w:val="auto"/>
              </w:rPr>
              <w:t>厨房油烟</w:t>
            </w:r>
          </w:p>
        </w:tc>
        <w:tc>
          <w:tcPr>
            <w:tcW w:w="229" w:type="pct"/>
            <w:vAlign w:val="center"/>
          </w:tcPr>
          <w:p w14:paraId="1373A351">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食堂</w:t>
            </w:r>
          </w:p>
        </w:tc>
        <w:tc>
          <w:tcPr>
            <w:tcW w:w="303" w:type="pct"/>
            <w:vAlign w:val="center"/>
          </w:tcPr>
          <w:p w14:paraId="7E16FB31">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有组织</w:t>
            </w:r>
          </w:p>
        </w:tc>
        <w:tc>
          <w:tcPr>
            <w:tcW w:w="371" w:type="pct"/>
            <w:vAlign w:val="center"/>
          </w:tcPr>
          <w:p w14:paraId="140EFB6E">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7200</w:t>
            </w:r>
          </w:p>
        </w:tc>
        <w:tc>
          <w:tcPr>
            <w:tcW w:w="461" w:type="pct"/>
            <w:vAlign w:val="center"/>
          </w:tcPr>
          <w:p w14:paraId="069AA519">
            <w:pPr>
              <w:pStyle w:val="18"/>
              <w:adjustRightInd w:val="0"/>
              <w:snapToGrid w:val="0"/>
              <w:spacing w:line="240" w:lineRule="auto"/>
              <w:ind w:firstLine="0" w:firstLineChars="0"/>
              <w:jc w:val="center"/>
              <w:rPr>
                <w:rFonts w:hint="eastAsia" w:eastAsia="宋体"/>
                <w:color w:val="auto"/>
                <w:lang w:val="en-US" w:eastAsia="zh-CN"/>
              </w:rPr>
            </w:pPr>
            <w:r>
              <w:rPr>
                <w:rFonts w:hint="eastAsia"/>
                <w:color w:val="auto"/>
                <w:lang w:val="en-US" w:eastAsia="zh-CN"/>
              </w:rPr>
              <w:t>油烟</w:t>
            </w:r>
          </w:p>
        </w:tc>
        <w:tc>
          <w:tcPr>
            <w:tcW w:w="438" w:type="pct"/>
            <w:vAlign w:val="center"/>
          </w:tcPr>
          <w:p w14:paraId="40A29A9F">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0.0027</w:t>
            </w:r>
          </w:p>
        </w:tc>
        <w:tc>
          <w:tcPr>
            <w:tcW w:w="1674" w:type="pct"/>
            <w:vAlign w:val="center"/>
          </w:tcPr>
          <w:p w14:paraId="0C742F04">
            <w:pPr>
              <w:pStyle w:val="18"/>
              <w:adjustRightInd w:val="0"/>
              <w:snapToGrid w:val="0"/>
              <w:spacing w:line="240" w:lineRule="auto"/>
              <w:ind w:firstLine="0" w:firstLineChars="0"/>
              <w:jc w:val="center"/>
              <w:rPr>
                <w:color w:val="auto"/>
              </w:rPr>
            </w:pPr>
            <w:r>
              <w:rPr>
                <w:rFonts w:hint="eastAsia"/>
                <w:color w:val="auto"/>
              </w:rPr>
              <w:t>油烟净化装置处理油烟，油烟机排风量为2000m</w:t>
            </w:r>
            <w:r>
              <w:rPr>
                <w:rFonts w:hint="eastAsia"/>
                <w:color w:val="auto"/>
                <w:vertAlign w:val="superscript"/>
              </w:rPr>
              <w:t>3</w:t>
            </w:r>
            <w:r>
              <w:rPr>
                <w:rFonts w:hint="eastAsia"/>
                <w:color w:val="auto"/>
              </w:rPr>
              <w:t>/h，处理后的油烟统一进入专用排烟管于楼顶</w:t>
            </w:r>
          </w:p>
        </w:tc>
        <w:tc>
          <w:tcPr>
            <w:tcW w:w="456" w:type="pct"/>
            <w:vAlign w:val="center"/>
          </w:tcPr>
          <w:p w14:paraId="5EDE70CA">
            <w:pPr>
              <w:pStyle w:val="18"/>
              <w:adjustRightInd w:val="0"/>
              <w:snapToGrid w:val="0"/>
              <w:spacing w:line="240" w:lineRule="auto"/>
              <w:ind w:firstLine="0" w:firstLineChars="0"/>
              <w:jc w:val="center"/>
              <w:rPr>
                <w:color w:val="auto"/>
              </w:rPr>
            </w:pPr>
            <w:r>
              <w:rPr>
                <w:rFonts w:hint="eastAsia"/>
                <w:color w:val="auto"/>
                <w:lang w:val="en-US" w:eastAsia="zh-CN"/>
              </w:rPr>
              <w:t>/</w:t>
            </w:r>
          </w:p>
        </w:tc>
        <w:tc>
          <w:tcPr>
            <w:tcW w:w="467" w:type="pct"/>
            <w:vAlign w:val="center"/>
          </w:tcPr>
          <w:p w14:paraId="1F857477">
            <w:pPr>
              <w:pStyle w:val="18"/>
              <w:adjustRightInd w:val="0"/>
              <w:snapToGrid w:val="0"/>
              <w:spacing w:line="240" w:lineRule="auto"/>
              <w:ind w:firstLine="0" w:firstLineChars="0"/>
              <w:jc w:val="center"/>
              <w:rPr>
                <w:rFonts w:hint="eastAsia" w:eastAsia="宋体"/>
                <w:color w:val="auto"/>
                <w:lang w:eastAsia="zh-CN"/>
              </w:rPr>
            </w:pPr>
            <w:r>
              <w:rPr>
                <w:rFonts w:hint="eastAsia"/>
                <w:color w:val="auto"/>
                <w:lang w:eastAsia="zh-CN"/>
              </w:rPr>
              <w:t>《</w:t>
            </w:r>
            <w:r>
              <w:rPr>
                <w:rFonts w:hint="eastAsia"/>
                <w:color w:val="auto"/>
                <w:lang w:val="en-US" w:eastAsia="zh-CN"/>
              </w:rPr>
              <w:t>饮食业油烟排放标准（试行）</w:t>
            </w:r>
            <w:r>
              <w:rPr>
                <w:rFonts w:hint="eastAsia"/>
                <w:color w:val="auto"/>
                <w:lang w:eastAsia="zh-CN"/>
              </w:rPr>
              <w:t>》</w:t>
            </w:r>
          </w:p>
        </w:tc>
      </w:tr>
      <w:bookmarkEnd w:id="21"/>
    </w:tbl>
    <w:p w14:paraId="7700284D">
      <w:pPr>
        <w:pStyle w:val="6"/>
        <w:sectPr>
          <w:pgSz w:w="16838" w:h="11906" w:orient="landscape"/>
          <w:pgMar w:top="1531" w:right="1701" w:bottom="1531" w:left="170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5"/>
      </w:tblGrid>
      <w:tr w14:paraId="5B11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E47BBA">
            <w:pPr>
              <w:pStyle w:val="18"/>
              <w:ind w:firstLine="0" w:firstLineChars="0"/>
            </w:pPr>
            <w:r>
              <w:rPr>
                <w:rFonts w:hint="eastAsia"/>
              </w:rPr>
              <w:t>运营期环境影响和保护措施</w:t>
            </w:r>
          </w:p>
        </w:tc>
        <w:tc>
          <w:tcPr>
            <w:tcW w:w="8385" w:type="dxa"/>
          </w:tcPr>
          <w:p w14:paraId="13316C2A">
            <w:pPr>
              <w:pStyle w:val="18"/>
            </w:pPr>
            <w:r>
              <w:rPr>
                <w:rFonts w:hint="eastAsia"/>
              </w:rPr>
              <w:t>（</w:t>
            </w:r>
            <w:r>
              <w:t>2）污染物治理措施可行性分析</w:t>
            </w:r>
          </w:p>
          <w:p w14:paraId="27083D43">
            <w:pPr>
              <w:pStyle w:val="18"/>
            </w:pPr>
            <w:r>
              <w:rPr>
                <w:rFonts w:hint="eastAsia"/>
              </w:rPr>
              <w:t>本次评价对照《排污许可证申请与核发技术规范农药制造工业》（HJ862-2017）进行废气治理技术的可行性分析。</w:t>
            </w:r>
          </w:p>
          <w:p w14:paraId="5CE81B07">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表4-</w:t>
            </w:r>
            <w:r>
              <w:rPr>
                <w:rFonts w:hint="eastAsia"/>
                <w:b/>
                <w:bCs/>
                <w:color w:val="000000" w:themeColor="text1"/>
                <w:kern w:val="0"/>
                <w:szCs w:val="21"/>
                <w:lang w:val="en-US" w:eastAsia="zh-CN"/>
                <w14:textFill>
                  <w14:solidFill>
                    <w14:schemeClr w14:val="tx1"/>
                  </w14:solidFill>
                </w14:textFill>
              </w:rPr>
              <w:t>7</w:t>
            </w:r>
            <w:r>
              <w:rPr>
                <w:b/>
                <w:bCs/>
                <w:color w:val="000000" w:themeColor="text1"/>
                <w:kern w:val="0"/>
                <w:szCs w:val="21"/>
                <w14:textFill>
                  <w14:solidFill>
                    <w14:schemeClr w14:val="tx1"/>
                  </w14:solidFill>
                </w14:textFill>
              </w:rPr>
              <w:t>污染防治措施的可行性分析表</w:t>
            </w:r>
          </w:p>
          <w:tbl>
            <w:tblPr>
              <w:tblStyle w:val="19"/>
              <w:tblW w:w="797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118"/>
              <w:gridCol w:w="2794"/>
              <w:gridCol w:w="1900"/>
              <w:gridCol w:w="976"/>
            </w:tblGrid>
            <w:tr w14:paraId="0A85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4ABA7CF3">
                  <w:pPr>
                    <w:pStyle w:val="18"/>
                    <w:adjustRightInd w:val="0"/>
                    <w:snapToGrid w:val="0"/>
                    <w:spacing w:line="240" w:lineRule="auto"/>
                    <w:ind w:firstLine="0" w:firstLineChars="0"/>
                    <w:jc w:val="center"/>
                    <w:rPr>
                      <w:rFonts w:hint="eastAsia"/>
                    </w:rPr>
                  </w:pPr>
                  <w:r>
                    <w:rPr>
                      <w:rFonts w:hint="eastAsia"/>
                    </w:rPr>
                    <w:t>主要生产设施</w:t>
                  </w:r>
                </w:p>
              </w:tc>
              <w:tc>
                <w:tcPr>
                  <w:tcW w:w="1118" w:type="dxa"/>
                  <w:vAlign w:val="center"/>
                </w:tcPr>
                <w:p w14:paraId="36EE3309">
                  <w:pPr>
                    <w:pStyle w:val="18"/>
                    <w:adjustRightInd w:val="0"/>
                    <w:snapToGrid w:val="0"/>
                    <w:spacing w:line="240" w:lineRule="auto"/>
                    <w:ind w:firstLine="0" w:firstLineChars="0"/>
                    <w:jc w:val="center"/>
                    <w:rPr>
                      <w:rFonts w:hint="eastAsia"/>
                    </w:rPr>
                  </w:pPr>
                  <w:r>
                    <w:rPr>
                      <w:rFonts w:hint="eastAsia"/>
                    </w:rPr>
                    <w:t>污染物</w:t>
                  </w:r>
                </w:p>
              </w:tc>
              <w:tc>
                <w:tcPr>
                  <w:tcW w:w="2794" w:type="dxa"/>
                  <w:vAlign w:val="center"/>
                </w:tcPr>
                <w:p w14:paraId="01204349">
                  <w:pPr>
                    <w:pStyle w:val="18"/>
                    <w:adjustRightInd w:val="0"/>
                    <w:snapToGrid w:val="0"/>
                    <w:spacing w:line="240" w:lineRule="auto"/>
                    <w:ind w:firstLine="0" w:firstLineChars="0"/>
                    <w:jc w:val="center"/>
                    <w:rPr>
                      <w:rFonts w:hint="eastAsia"/>
                    </w:rPr>
                  </w:pPr>
                  <w:r>
                    <w:rPr>
                      <w:rFonts w:hint="eastAsia"/>
                    </w:rPr>
                    <w:t>参考废气污染防治措施</w:t>
                  </w:r>
                </w:p>
              </w:tc>
              <w:tc>
                <w:tcPr>
                  <w:tcW w:w="1900" w:type="dxa"/>
                  <w:vAlign w:val="center"/>
                </w:tcPr>
                <w:p w14:paraId="48AD76AC">
                  <w:pPr>
                    <w:pStyle w:val="18"/>
                    <w:adjustRightInd w:val="0"/>
                    <w:snapToGrid w:val="0"/>
                    <w:spacing w:line="240" w:lineRule="auto"/>
                    <w:ind w:firstLine="0" w:firstLineChars="0"/>
                    <w:jc w:val="center"/>
                    <w:rPr>
                      <w:rFonts w:hint="eastAsia"/>
                    </w:rPr>
                  </w:pPr>
                  <w:r>
                    <w:rPr>
                      <w:rFonts w:hint="eastAsia"/>
                    </w:rPr>
                    <w:t>本项目污染防治措施</w:t>
                  </w:r>
                </w:p>
              </w:tc>
              <w:tc>
                <w:tcPr>
                  <w:tcW w:w="976" w:type="dxa"/>
                  <w:vAlign w:val="center"/>
                </w:tcPr>
                <w:p w14:paraId="590C1D59">
                  <w:pPr>
                    <w:pStyle w:val="18"/>
                    <w:adjustRightInd w:val="0"/>
                    <w:snapToGrid w:val="0"/>
                    <w:spacing w:line="240" w:lineRule="auto"/>
                    <w:ind w:firstLine="0" w:firstLineChars="0"/>
                    <w:jc w:val="center"/>
                    <w:rPr>
                      <w:rFonts w:hint="eastAsia"/>
                    </w:rPr>
                  </w:pPr>
                  <w:r>
                    <w:rPr>
                      <w:rFonts w:hint="eastAsia"/>
                    </w:rPr>
                    <w:t>技术是否可行</w:t>
                  </w:r>
                </w:p>
              </w:tc>
            </w:tr>
            <w:tr w14:paraId="529B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59907B59">
                  <w:pPr>
                    <w:pStyle w:val="18"/>
                    <w:adjustRightInd w:val="0"/>
                    <w:snapToGrid w:val="0"/>
                    <w:spacing w:line="240" w:lineRule="auto"/>
                    <w:ind w:firstLine="0" w:firstLineChars="0"/>
                    <w:jc w:val="center"/>
                    <w:rPr>
                      <w:rFonts w:hint="eastAsia"/>
                      <w:lang w:eastAsia="zh-CN"/>
                    </w:rPr>
                  </w:pPr>
                  <w:r>
                    <w:rPr>
                      <w:rFonts w:hint="eastAsia"/>
                      <w:lang w:val="en-US" w:eastAsia="zh-CN"/>
                    </w:rPr>
                    <w:t>备料</w:t>
                  </w:r>
                </w:p>
              </w:tc>
              <w:tc>
                <w:tcPr>
                  <w:tcW w:w="1118" w:type="dxa"/>
                  <w:vAlign w:val="center"/>
                </w:tcPr>
                <w:p w14:paraId="6468EC9B">
                  <w:pPr>
                    <w:pStyle w:val="18"/>
                    <w:adjustRightInd w:val="0"/>
                    <w:snapToGrid w:val="0"/>
                    <w:spacing w:line="240" w:lineRule="auto"/>
                    <w:ind w:firstLine="0" w:firstLineChars="0"/>
                    <w:jc w:val="center"/>
                    <w:rPr>
                      <w:rFonts w:hint="eastAsia"/>
                    </w:rPr>
                  </w:pPr>
                  <w:r>
                    <w:rPr>
                      <w:rFonts w:hint="eastAsia"/>
                    </w:rPr>
                    <w:t>颗粒物</w:t>
                  </w:r>
                </w:p>
              </w:tc>
              <w:tc>
                <w:tcPr>
                  <w:tcW w:w="2794" w:type="dxa"/>
                  <w:vAlign w:val="center"/>
                </w:tcPr>
                <w:p w14:paraId="33EF36D3">
                  <w:pPr>
                    <w:pStyle w:val="18"/>
                    <w:adjustRightInd w:val="0"/>
                    <w:snapToGrid w:val="0"/>
                    <w:spacing w:line="240" w:lineRule="auto"/>
                    <w:ind w:firstLine="0" w:firstLineChars="0"/>
                    <w:jc w:val="center"/>
                    <w:rPr>
                      <w:rFonts w:hint="default"/>
                      <w:lang w:val="en-US" w:eastAsia="zh-CN"/>
                    </w:rPr>
                  </w:pPr>
                  <w:r>
                    <w:rPr>
                      <w:rFonts w:hint="eastAsia"/>
                      <w:lang w:val="en-US" w:eastAsia="zh-CN"/>
                    </w:rPr>
                    <w:t>静电除尘、袋式除尘、电袋复合除尘、旋风除尘等</w:t>
                  </w:r>
                </w:p>
              </w:tc>
              <w:tc>
                <w:tcPr>
                  <w:tcW w:w="1900" w:type="dxa"/>
                  <w:vAlign w:val="center"/>
                </w:tcPr>
                <w:p w14:paraId="18B4603C">
                  <w:pPr>
                    <w:pStyle w:val="18"/>
                    <w:adjustRightInd w:val="0"/>
                    <w:snapToGrid w:val="0"/>
                    <w:spacing w:line="240" w:lineRule="auto"/>
                    <w:ind w:firstLine="0" w:firstLineChars="0"/>
                    <w:jc w:val="center"/>
                    <w:rPr>
                      <w:rFonts w:hint="eastAsia"/>
                    </w:rPr>
                  </w:pPr>
                  <w:r>
                    <w:rPr>
                      <w:rFonts w:hint="eastAsia"/>
                    </w:rPr>
                    <w:t>布袋除尘器</w:t>
                  </w:r>
                </w:p>
              </w:tc>
              <w:tc>
                <w:tcPr>
                  <w:tcW w:w="976" w:type="dxa"/>
                  <w:vAlign w:val="center"/>
                </w:tcPr>
                <w:p w14:paraId="44B876C4">
                  <w:pPr>
                    <w:pStyle w:val="18"/>
                    <w:adjustRightInd w:val="0"/>
                    <w:snapToGrid w:val="0"/>
                    <w:spacing w:line="240" w:lineRule="auto"/>
                    <w:ind w:firstLine="0" w:firstLineChars="0"/>
                    <w:jc w:val="center"/>
                    <w:rPr>
                      <w:rFonts w:hint="eastAsia"/>
                    </w:rPr>
                  </w:pPr>
                  <w:r>
                    <w:rPr>
                      <w:rFonts w:hint="eastAsia"/>
                    </w:rPr>
                    <w:t>是</w:t>
                  </w:r>
                </w:p>
              </w:tc>
            </w:tr>
            <w:tr w14:paraId="71F0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dxa"/>
                  <w:vAlign w:val="center"/>
                </w:tcPr>
                <w:p w14:paraId="6BDE04B5">
                  <w:pPr>
                    <w:pStyle w:val="18"/>
                    <w:adjustRightInd w:val="0"/>
                    <w:snapToGrid w:val="0"/>
                    <w:spacing w:line="240" w:lineRule="auto"/>
                    <w:ind w:firstLine="0" w:firstLineChars="0"/>
                    <w:jc w:val="center"/>
                    <w:rPr>
                      <w:rFonts w:hint="eastAsia"/>
                      <w:lang w:eastAsia="zh-CN"/>
                    </w:rPr>
                  </w:pPr>
                  <w:r>
                    <w:rPr>
                      <w:rFonts w:hint="eastAsia"/>
                      <w:lang w:val="en-US" w:eastAsia="zh-CN"/>
                    </w:rPr>
                    <w:t>制剂</w:t>
                  </w:r>
                </w:p>
              </w:tc>
              <w:tc>
                <w:tcPr>
                  <w:tcW w:w="1118" w:type="dxa"/>
                  <w:vAlign w:val="center"/>
                </w:tcPr>
                <w:p w14:paraId="42A26101">
                  <w:pPr>
                    <w:pStyle w:val="18"/>
                    <w:adjustRightInd w:val="0"/>
                    <w:snapToGrid w:val="0"/>
                    <w:spacing w:line="240" w:lineRule="auto"/>
                    <w:ind w:firstLine="0" w:firstLineChars="0"/>
                    <w:jc w:val="center"/>
                    <w:rPr>
                      <w:rFonts w:hint="default" w:eastAsia="宋体"/>
                      <w:lang w:val="en-US" w:eastAsia="zh-CN"/>
                    </w:rPr>
                  </w:pPr>
                  <w:r>
                    <w:rPr>
                      <w:rFonts w:hint="eastAsia"/>
                      <w:lang w:val="en-US" w:eastAsia="zh-CN"/>
                    </w:rPr>
                    <w:t>挥发性有机物</w:t>
                  </w:r>
                </w:p>
              </w:tc>
              <w:tc>
                <w:tcPr>
                  <w:tcW w:w="2794" w:type="dxa"/>
                  <w:vAlign w:val="center"/>
                </w:tcPr>
                <w:p w14:paraId="6F6C51F9">
                  <w:pPr>
                    <w:pStyle w:val="18"/>
                    <w:adjustRightInd w:val="0"/>
                    <w:snapToGrid w:val="0"/>
                    <w:spacing w:line="240" w:lineRule="auto"/>
                    <w:ind w:firstLine="0" w:firstLineChars="0"/>
                    <w:jc w:val="center"/>
                    <w:rPr>
                      <w:rFonts w:hint="default"/>
                      <w:lang w:val="en-US" w:eastAsia="zh-CN"/>
                    </w:rPr>
                  </w:pPr>
                  <w:r>
                    <w:rPr>
                      <w:rFonts w:hint="eastAsia"/>
                      <w:lang w:val="en-US" w:eastAsia="zh-CN"/>
                    </w:rPr>
                    <w:t>冷凝、吸收、吸附、生物处理等</w:t>
                  </w:r>
                </w:p>
              </w:tc>
              <w:tc>
                <w:tcPr>
                  <w:tcW w:w="1900" w:type="dxa"/>
                  <w:vAlign w:val="center"/>
                </w:tcPr>
                <w:p w14:paraId="7E73F728">
                  <w:pPr>
                    <w:pStyle w:val="18"/>
                    <w:adjustRightInd w:val="0"/>
                    <w:snapToGrid w:val="0"/>
                    <w:spacing w:line="240" w:lineRule="auto"/>
                    <w:ind w:firstLine="0" w:firstLineChars="0"/>
                    <w:jc w:val="center"/>
                    <w:rPr>
                      <w:rFonts w:hint="default"/>
                      <w:lang w:val="en-US" w:eastAsia="zh-CN"/>
                    </w:rPr>
                  </w:pPr>
                  <w:r>
                    <w:rPr>
                      <w:rFonts w:hint="eastAsia"/>
                      <w:lang w:val="en-US" w:eastAsia="zh-CN"/>
                    </w:rPr>
                    <w:t>二级活性炭吸附</w:t>
                  </w:r>
                </w:p>
              </w:tc>
              <w:tc>
                <w:tcPr>
                  <w:tcW w:w="976" w:type="dxa"/>
                  <w:vAlign w:val="center"/>
                </w:tcPr>
                <w:p w14:paraId="3D20B542">
                  <w:pPr>
                    <w:pStyle w:val="18"/>
                    <w:adjustRightInd w:val="0"/>
                    <w:snapToGrid w:val="0"/>
                    <w:spacing w:line="240" w:lineRule="auto"/>
                    <w:ind w:firstLine="0" w:firstLineChars="0"/>
                    <w:jc w:val="center"/>
                    <w:rPr>
                      <w:rFonts w:hint="eastAsia"/>
                    </w:rPr>
                  </w:pPr>
                  <w:r>
                    <w:rPr>
                      <w:rFonts w:hint="eastAsia"/>
                    </w:rPr>
                    <w:t>是</w:t>
                  </w:r>
                </w:p>
              </w:tc>
            </w:tr>
          </w:tbl>
          <w:p w14:paraId="0505F064">
            <w:pPr>
              <w:pStyle w:val="18"/>
              <w:rPr>
                <w:rFonts w:hint="eastAsia"/>
              </w:rPr>
            </w:pPr>
            <w:r>
              <w:rPr>
                <w:rFonts w:hint="eastAsia"/>
              </w:rPr>
              <w:t>本项目生产废气主要为颗粒物、非甲烷总烃，分别采用布袋除尘器、两级活性炭吸附装置进行处理。</w:t>
            </w:r>
          </w:p>
          <w:p w14:paraId="09C3351E">
            <w:pPr>
              <w:pStyle w:val="18"/>
              <w:rPr>
                <w:rFonts w:hint="eastAsia"/>
              </w:rPr>
            </w:pPr>
            <w:r>
              <w:rPr>
                <w:rFonts w:hint="eastAsia"/>
              </w:rPr>
              <w:t>布袋除尘器主要是由整个箱体和灰斗构成的外部。箱体上有风机，卸料器还有就是卸灰阀。箱体的话一般分为三部分，上部箱体，中部箱体和下部箱体。布袋除尘器的工作原理是含尘气流从下部孔板进入圆筒形滤袋内，在通过滤料的孔隙时，粉尘被捕集于滤料上，透过滤料的清洁气体由排出口排出。沉积在滤料上的粉尘，可在机械振动的作用下从滤料表面脱落，落入灰斗中。袋式除尘器很久以前就已广泛应用于各个工业部门中，用以捕集非黏结非纤维性的工业粉尘和挥发物，捕获粉尘微粒可达0.1微米。但是，当用它处理含有水蒸气的气体时，应避免出现结露问题。袋式除尘器具有很高的净化效率，就是捕集细微的粉尘效率也可达99％以上，而且其效率更高。它静电除尘器结构简单、投资省、运行稳定，可以回收高电阻率粉尘；与文丘里洗涤器相比，动力消耗小，回收的干颗粒物便于综合利用。对于微细的干燥颗粒物，采用袋式除尘器捕集是适宜的。袋式除尘器的缺点是过滤速度较低、一般体积庞大、耗钢量大、滤袋材质差、寿命短、压力损失大、运行费用高等。</w:t>
            </w:r>
          </w:p>
          <w:p w14:paraId="1E736E7C">
            <w:pPr>
              <w:pStyle w:val="18"/>
              <w:rPr>
                <w:rFonts w:hint="eastAsia"/>
              </w:rPr>
            </w:pPr>
            <w:r>
              <w:rPr>
                <w:rFonts w:hint="eastAsia"/>
              </w:rPr>
              <w:t>根据《排污许可证申请与核发技术规范农药制造工业》（HJ862-2017），制剂废气可行技术包含袋式除尘、活性炭吸附工艺，因此本项目治理措施可行。《农药制造工业大气污染物排放标准》（GB39727-2020）要求“排放氯气、氰化氢、光气的排气筒高度不低于25m，其他排气筒高度不低于15m（因安全考虑或有特殊工艺要求的除外）”企业现状为空地，周边无集中居住区等敏感目标，排气筒高度均为15m，故要求符合。</w:t>
            </w:r>
          </w:p>
          <w:p w14:paraId="0832CBB3">
            <w:pPr>
              <w:pStyle w:val="18"/>
              <w:rPr>
                <w:rFonts w:hint="eastAsia"/>
              </w:rPr>
            </w:pPr>
            <w:r>
              <w:rPr>
                <w:rFonts w:hint="eastAsia"/>
              </w:rPr>
              <w:t>综上所述，本项目废气防治措施合理可行。</w:t>
            </w:r>
          </w:p>
          <w:p w14:paraId="1A6F2A13">
            <w:pPr>
              <w:pStyle w:val="18"/>
              <w:ind w:firstLine="422"/>
              <w:rPr>
                <w:b/>
                <w:bCs/>
              </w:rPr>
            </w:pPr>
            <w:r>
              <w:rPr>
                <w:b/>
                <w:bCs/>
              </w:rPr>
              <w:t>由上表可知，本项目采取的污染防治措施均是可行技术。</w:t>
            </w:r>
          </w:p>
          <w:p w14:paraId="6313658F">
            <w:pPr>
              <w:pStyle w:val="18"/>
            </w:pPr>
            <w:r>
              <w:rPr>
                <w:rFonts w:hint="eastAsia"/>
              </w:rPr>
              <w:t>（3）</w:t>
            </w:r>
            <w:r>
              <w:t>废气产生及达标排放情况</w:t>
            </w:r>
          </w:p>
          <w:p w14:paraId="64C87A05">
            <w:pPr>
              <w:pStyle w:val="18"/>
            </w:pPr>
            <w:r>
              <w:rPr>
                <w:rFonts w:hint="eastAsia" w:ascii="宋体" w:hAnsi="宋体" w:cs="宋体"/>
              </w:rPr>
              <w:t>①</w:t>
            </w:r>
            <w:r>
              <w:t>有组织排放情况</w:t>
            </w:r>
          </w:p>
          <w:p w14:paraId="0C1D7938">
            <w:pPr>
              <w:pStyle w:val="18"/>
            </w:pPr>
            <w:r>
              <w:t>本项目建成后有组织废气产生及排放情况具体见表4-</w:t>
            </w:r>
            <w:r>
              <w:rPr>
                <w:rFonts w:hint="eastAsia"/>
                <w:lang w:val="en-US" w:eastAsia="zh-CN"/>
              </w:rPr>
              <w:t>8</w:t>
            </w:r>
            <w:r>
              <w:t>。</w:t>
            </w:r>
          </w:p>
          <w:p w14:paraId="428E6800">
            <w:pPr>
              <w:pStyle w:val="18"/>
            </w:pPr>
          </w:p>
        </w:tc>
      </w:tr>
    </w:tbl>
    <w:p w14:paraId="359C2727">
      <w:pPr>
        <w:pStyle w:val="18"/>
        <w:sectPr>
          <w:pgSz w:w="11906" w:h="16838"/>
          <w:pgMar w:top="1701" w:right="1531" w:bottom="1701" w:left="1531" w:header="851" w:footer="851" w:gutter="0"/>
          <w:cols w:space="720" w:num="1"/>
          <w:docGrid w:linePitch="312" w:charSpace="0"/>
        </w:sectPr>
      </w:pPr>
    </w:p>
    <w:p w14:paraId="4025D101">
      <w:pPr>
        <w:autoSpaceDE w:val="0"/>
        <w:autoSpaceDN w:val="0"/>
        <w:adjustRightInd w:val="0"/>
        <w:snapToGrid w:val="0"/>
        <w:jc w:val="center"/>
        <w:rPr>
          <w:b/>
          <w:bCs/>
          <w:color w:val="000000" w:themeColor="text1"/>
          <w:kern w:val="0"/>
          <w:szCs w:val="21"/>
          <w14:textFill>
            <w14:solidFill>
              <w14:schemeClr w14:val="tx1"/>
            </w14:solidFill>
          </w14:textFill>
        </w:rPr>
      </w:pPr>
      <w:bookmarkStart w:id="22" w:name="_Hlk143787973"/>
      <w:r>
        <w:rPr>
          <w:b/>
          <w:bCs/>
          <w:color w:val="000000" w:themeColor="text1"/>
          <w:kern w:val="0"/>
          <w:szCs w:val="21"/>
          <w14:textFill>
            <w14:solidFill>
              <w14:schemeClr w14:val="tx1"/>
            </w14:solidFill>
          </w14:textFill>
        </w:rPr>
        <w:t>表4-</w:t>
      </w:r>
      <w:r>
        <w:rPr>
          <w:rFonts w:hint="eastAsia"/>
          <w:b/>
          <w:bCs/>
          <w:color w:val="000000" w:themeColor="text1"/>
          <w:kern w:val="0"/>
          <w:szCs w:val="21"/>
          <w:lang w:val="en-US" w:eastAsia="zh-CN"/>
          <w14:textFill>
            <w14:solidFill>
              <w14:schemeClr w14:val="tx1"/>
            </w14:solidFill>
          </w14:textFill>
        </w:rPr>
        <w:t>8</w:t>
      </w:r>
      <w:r>
        <w:rPr>
          <w:b/>
          <w:bCs/>
          <w:color w:val="000000" w:themeColor="text1"/>
          <w:kern w:val="0"/>
          <w:szCs w:val="21"/>
          <w14:textFill>
            <w14:solidFill>
              <w14:schemeClr w14:val="tx1"/>
            </w14:solidFill>
          </w14:textFill>
        </w:rPr>
        <w:t>本项目建成后有组织废气达标排放情况</w:t>
      </w:r>
    </w:p>
    <w:bookmarkEnd w:id="22"/>
    <w:tbl>
      <w:tblPr>
        <w:tblStyle w:val="19"/>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40"/>
        <w:gridCol w:w="915"/>
        <w:gridCol w:w="945"/>
        <w:gridCol w:w="810"/>
        <w:gridCol w:w="960"/>
        <w:gridCol w:w="975"/>
        <w:gridCol w:w="945"/>
        <w:gridCol w:w="630"/>
        <w:gridCol w:w="3464"/>
        <w:gridCol w:w="833"/>
        <w:gridCol w:w="868"/>
        <w:gridCol w:w="786"/>
      </w:tblGrid>
      <w:tr w14:paraId="12B3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6" w:type="dxa"/>
            <w:gridSpan w:val="3"/>
            <w:vAlign w:val="center"/>
          </w:tcPr>
          <w:p w14:paraId="34B602F8">
            <w:pPr>
              <w:pStyle w:val="18"/>
              <w:adjustRightInd w:val="0"/>
              <w:snapToGrid w:val="0"/>
              <w:spacing w:line="240" w:lineRule="auto"/>
              <w:ind w:firstLine="0" w:firstLineChars="0"/>
              <w:jc w:val="center"/>
              <w:rPr>
                <w:color w:val="auto"/>
              </w:rPr>
            </w:pPr>
            <w:bookmarkStart w:id="23" w:name="_Hlk139034939"/>
            <w:r>
              <w:rPr>
                <w:color w:val="auto"/>
              </w:rPr>
              <w:t>排气筒参数</w:t>
            </w:r>
          </w:p>
        </w:tc>
        <w:tc>
          <w:tcPr>
            <w:tcW w:w="945" w:type="dxa"/>
            <w:vMerge w:val="restart"/>
            <w:vAlign w:val="center"/>
          </w:tcPr>
          <w:p w14:paraId="771C54B9">
            <w:pPr>
              <w:pStyle w:val="18"/>
              <w:adjustRightInd w:val="0"/>
              <w:snapToGrid w:val="0"/>
              <w:spacing w:line="240" w:lineRule="auto"/>
              <w:ind w:firstLine="0" w:firstLineChars="0"/>
              <w:jc w:val="center"/>
              <w:rPr>
                <w:color w:val="auto"/>
              </w:rPr>
            </w:pPr>
            <w:r>
              <w:rPr>
                <w:color w:val="auto"/>
              </w:rPr>
              <w:t>污染物名称</w:t>
            </w:r>
          </w:p>
        </w:tc>
        <w:tc>
          <w:tcPr>
            <w:tcW w:w="1770" w:type="dxa"/>
            <w:gridSpan w:val="2"/>
            <w:vAlign w:val="center"/>
          </w:tcPr>
          <w:p w14:paraId="49E70CF5">
            <w:pPr>
              <w:pStyle w:val="18"/>
              <w:adjustRightInd w:val="0"/>
              <w:snapToGrid w:val="0"/>
              <w:spacing w:line="240" w:lineRule="auto"/>
              <w:ind w:firstLine="0" w:firstLineChars="0"/>
              <w:jc w:val="center"/>
              <w:rPr>
                <w:color w:val="auto"/>
              </w:rPr>
            </w:pPr>
            <w:r>
              <w:rPr>
                <w:color w:val="auto"/>
              </w:rPr>
              <w:t>处理前</w:t>
            </w:r>
          </w:p>
        </w:tc>
        <w:tc>
          <w:tcPr>
            <w:tcW w:w="1920" w:type="dxa"/>
            <w:gridSpan w:val="2"/>
            <w:vAlign w:val="center"/>
          </w:tcPr>
          <w:p w14:paraId="0C00AB92">
            <w:pPr>
              <w:pStyle w:val="18"/>
              <w:adjustRightInd w:val="0"/>
              <w:snapToGrid w:val="0"/>
              <w:spacing w:line="240" w:lineRule="auto"/>
              <w:ind w:firstLine="0" w:firstLineChars="0"/>
              <w:jc w:val="center"/>
              <w:rPr>
                <w:color w:val="auto"/>
              </w:rPr>
            </w:pPr>
            <w:r>
              <w:rPr>
                <w:color w:val="auto"/>
              </w:rPr>
              <w:t>处理后</w:t>
            </w:r>
          </w:p>
        </w:tc>
        <w:tc>
          <w:tcPr>
            <w:tcW w:w="630" w:type="dxa"/>
            <w:vMerge w:val="restart"/>
            <w:vAlign w:val="center"/>
          </w:tcPr>
          <w:p w14:paraId="5D2F5A08">
            <w:pPr>
              <w:pStyle w:val="18"/>
              <w:adjustRightInd w:val="0"/>
              <w:snapToGrid w:val="0"/>
              <w:spacing w:line="240" w:lineRule="auto"/>
              <w:ind w:firstLine="0" w:firstLineChars="0"/>
              <w:jc w:val="center"/>
              <w:rPr>
                <w:color w:val="auto"/>
              </w:rPr>
            </w:pPr>
            <w:r>
              <w:rPr>
                <w:color w:val="auto"/>
              </w:rPr>
              <w:t>处理效率%</w:t>
            </w:r>
          </w:p>
        </w:tc>
        <w:tc>
          <w:tcPr>
            <w:tcW w:w="3464" w:type="dxa"/>
            <w:vMerge w:val="restart"/>
            <w:vAlign w:val="center"/>
          </w:tcPr>
          <w:p w14:paraId="1E0F29DC">
            <w:pPr>
              <w:pStyle w:val="18"/>
              <w:adjustRightInd w:val="0"/>
              <w:snapToGrid w:val="0"/>
              <w:spacing w:line="240" w:lineRule="auto"/>
              <w:ind w:firstLine="0" w:firstLineChars="0"/>
              <w:jc w:val="center"/>
              <w:rPr>
                <w:color w:val="auto"/>
              </w:rPr>
            </w:pPr>
            <w:r>
              <w:rPr>
                <w:color w:val="auto"/>
              </w:rPr>
              <w:t>处理措施</w:t>
            </w:r>
          </w:p>
        </w:tc>
        <w:tc>
          <w:tcPr>
            <w:tcW w:w="1701" w:type="dxa"/>
            <w:gridSpan w:val="2"/>
            <w:vAlign w:val="center"/>
          </w:tcPr>
          <w:p w14:paraId="7411858F">
            <w:pPr>
              <w:pStyle w:val="18"/>
              <w:adjustRightInd w:val="0"/>
              <w:snapToGrid w:val="0"/>
              <w:spacing w:line="240" w:lineRule="auto"/>
              <w:ind w:firstLine="0" w:firstLineChars="0"/>
              <w:jc w:val="center"/>
              <w:rPr>
                <w:color w:val="auto"/>
              </w:rPr>
            </w:pPr>
            <w:r>
              <w:rPr>
                <w:color w:val="auto"/>
              </w:rPr>
              <w:t>排放标准</w:t>
            </w:r>
          </w:p>
        </w:tc>
        <w:tc>
          <w:tcPr>
            <w:tcW w:w="786" w:type="dxa"/>
            <w:vMerge w:val="restart"/>
            <w:vAlign w:val="center"/>
          </w:tcPr>
          <w:p w14:paraId="13FCE4D1">
            <w:pPr>
              <w:pStyle w:val="18"/>
              <w:adjustRightInd w:val="0"/>
              <w:snapToGrid w:val="0"/>
              <w:spacing w:line="240" w:lineRule="auto"/>
              <w:ind w:firstLine="0" w:firstLineChars="0"/>
              <w:jc w:val="center"/>
              <w:rPr>
                <w:color w:val="auto"/>
              </w:rPr>
            </w:pPr>
            <w:r>
              <w:rPr>
                <w:color w:val="auto"/>
              </w:rPr>
              <w:t>达标情况</w:t>
            </w:r>
          </w:p>
        </w:tc>
      </w:tr>
      <w:tr w14:paraId="69A2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11AE996C">
            <w:pPr>
              <w:pStyle w:val="18"/>
              <w:adjustRightInd w:val="0"/>
              <w:snapToGrid w:val="0"/>
              <w:spacing w:line="240" w:lineRule="auto"/>
              <w:ind w:firstLine="0" w:firstLineChars="0"/>
              <w:jc w:val="center"/>
              <w:rPr>
                <w:color w:val="auto"/>
              </w:rPr>
            </w:pPr>
            <w:r>
              <w:rPr>
                <w:color w:val="auto"/>
              </w:rPr>
              <w:t>编号</w:t>
            </w:r>
          </w:p>
        </w:tc>
        <w:tc>
          <w:tcPr>
            <w:tcW w:w="840" w:type="dxa"/>
            <w:vAlign w:val="center"/>
          </w:tcPr>
          <w:p w14:paraId="5D200DC0">
            <w:pPr>
              <w:pStyle w:val="18"/>
              <w:adjustRightInd w:val="0"/>
              <w:snapToGrid w:val="0"/>
              <w:spacing w:line="240" w:lineRule="auto"/>
              <w:ind w:firstLine="0" w:firstLineChars="0"/>
              <w:jc w:val="center"/>
              <w:rPr>
                <w:color w:val="auto"/>
              </w:rPr>
            </w:pPr>
            <w:r>
              <w:rPr>
                <w:color w:val="auto"/>
              </w:rPr>
              <w:t>高度（m）</w:t>
            </w:r>
          </w:p>
        </w:tc>
        <w:tc>
          <w:tcPr>
            <w:tcW w:w="915" w:type="dxa"/>
            <w:vAlign w:val="center"/>
          </w:tcPr>
          <w:p w14:paraId="7CD80C10">
            <w:pPr>
              <w:pStyle w:val="18"/>
              <w:adjustRightInd w:val="0"/>
              <w:snapToGrid w:val="0"/>
              <w:spacing w:line="240" w:lineRule="auto"/>
              <w:ind w:firstLine="0" w:firstLineChars="0"/>
              <w:jc w:val="center"/>
              <w:rPr>
                <w:color w:val="auto"/>
              </w:rPr>
            </w:pPr>
            <w:r>
              <w:rPr>
                <w:color w:val="auto"/>
              </w:rPr>
              <w:t>总排气量（m</w:t>
            </w:r>
            <w:r>
              <w:rPr>
                <w:color w:val="auto"/>
                <w:vertAlign w:val="superscript"/>
              </w:rPr>
              <w:t>3</w:t>
            </w:r>
            <w:r>
              <w:rPr>
                <w:color w:val="auto"/>
              </w:rPr>
              <w:t>/h）</w:t>
            </w:r>
          </w:p>
        </w:tc>
        <w:tc>
          <w:tcPr>
            <w:tcW w:w="945" w:type="dxa"/>
            <w:vMerge w:val="continue"/>
            <w:vAlign w:val="center"/>
          </w:tcPr>
          <w:p w14:paraId="5FB6CF68">
            <w:pPr>
              <w:pStyle w:val="18"/>
              <w:adjustRightInd w:val="0"/>
              <w:snapToGrid w:val="0"/>
              <w:spacing w:line="240" w:lineRule="auto"/>
              <w:ind w:firstLine="0" w:firstLineChars="0"/>
              <w:jc w:val="center"/>
              <w:rPr>
                <w:color w:val="auto"/>
              </w:rPr>
            </w:pPr>
          </w:p>
        </w:tc>
        <w:tc>
          <w:tcPr>
            <w:tcW w:w="810" w:type="dxa"/>
            <w:vAlign w:val="center"/>
          </w:tcPr>
          <w:p w14:paraId="12C0A6F3">
            <w:pPr>
              <w:pStyle w:val="18"/>
              <w:adjustRightInd w:val="0"/>
              <w:snapToGrid w:val="0"/>
              <w:spacing w:line="240" w:lineRule="auto"/>
              <w:ind w:firstLine="0" w:firstLineChars="0"/>
              <w:jc w:val="center"/>
              <w:rPr>
                <w:color w:val="auto"/>
              </w:rPr>
            </w:pPr>
            <w:r>
              <w:rPr>
                <w:color w:val="auto"/>
              </w:rPr>
              <w:t>产生速率kg/h</w:t>
            </w:r>
          </w:p>
        </w:tc>
        <w:tc>
          <w:tcPr>
            <w:tcW w:w="960" w:type="dxa"/>
            <w:vAlign w:val="center"/>
          </w:tcPr>
          <w:p w14:paraId="7F079928">
            <w:pPr>
              <w:pStyle w:val="18"/>
              <w:adjustRightInd w:val="0"/>
              <w:snapToGrid w:val="0"/>
              <w:spacing w:line="240" w:lineRule="auto"/>
              <w:ind w:firstLine="0" w:firstLineChars="0"/>
              <w:jc w:val="center"/>
              <w:rPr>
                <w:color w:val="auto"/>
              </w:rPr>
            </w:pPr>
            <w:r>
              <w:rPr>
                <w:color w:val="auto"/>
              </w:rPr>
              <w:t>产生浓度mg/m</w:t>
            </w:r>
            <w:r>
              <w:rPr>
                <w:color w:val="auto"/>
                <w:vertAlign w:val="superscript"/>
              </w:rPr>
              <w:t>3</w:t>
            </w:r>
          </w:p>
        </w:tc>
        <w:tc>
          <w:tcPr>
            <w:tcW w:w="975" w:type="dxa"/>
            <w:vAlign w:val="center"/>
          </w:tcPr>
          <w:p w14:paraId="4646195F">
            <w:pPr>
              <w:pStyle w:val="18"/>
              <w:adjustRightInd w:val="0"/>
              <w:snapToGrid w:val="0"/>
              <w:spacing w:line="240" w:lineRule="auto"/>
              <w:ind w:firstLine="0" w:firstLineChars="0"/>
              <w:jc w:val="center"/>
              <w:rPr>
                <w:color w:val="auto"/>
              </w:rPr>
            </w:pPr>
            <w:r>
              <w:rPr>
                <w:color w:val="auto"/>
              </w:rPr>
              <w:t>排放速率kg/h</w:t>
            </w:r>
          </w:p>
        </w:tc>
        <w:tc>
          <w:tcPr>
            <w:tcW w:w="945" w:type="dxa"/>
            <w:vAlign w:val="center"/>
          </w:tcPr>
          <w:p w14:paraId="0EF7FEF6">
            <w:pPr>
              <w:pStyle w:val="18"/>
              <w:adjustRightInd w:val="0"/>
              <w:snapToGrid w:val="0"/>
              <w:spacing w:line="240" w:lineRule="auto"/>
              <w:ind w:firstLine="0" w:firstLineChars="0"/>
              <w:jc w:val="center"/>
              <w:rPr>
                <w:color w:val="auto"/>
              </w:rPr>
            </w:pPr>
            <w:r>
              <w:rPr>
                <w:color w:val="auto"/>
              </w:rPr>
              <w:t>排放浓度mg/m</w:t>
            </w:r>
            <w:r>
              <w:rPr>
                <w:color w:val="auto"/>
                <w:vertAlign w:val="superscript"/>
              </w:rPr>
              <w:t>3</w:t>
            </w:r>
          </w:p>
        </w:tc>
        <w:tc>
          <w:tcPr>
            <w:tcW w:w="630" w:type="dxa"/>
            <w:vMerge w:val="continue"/>
            <w:vAlign w:val="center"/>
          </w:tcPr>
          <w:p w14:paraId="6D1A906F">
            <w:pPr>
              <w:pStyle w:val="18"/>
              <w:adjustRightInd w:val="0"/>
              <w:snapToGrid w:val="0"/>
              <w:spacing w:line="240" w:lineRule="auto"/>
              <w:ind w:firstLine="0" w:firstLineChars="0"/>
              <w:jc w:val="center"/>
              <w:rPr>
                <w:color w:val="auto"/>
              </w:rPr>
            </w:pPr>
          </w:p>
        </w:tc>
        <w:tc>
          <w:tcPr>
            <w:tcW w:w="3464" w:type="dxa"/>
            <w:vMerge w:val="continue"/>
            <w:vAlign w:val="center"/>
          </w:tcPr>
          <w:p w14:paraId="745D1025">
            <w:pPr>
              <w:pStyle w:val="18"/>
              <w:adjustRightInd w:val="0"/>
              <w:snapToGrid w:val="0"/>
              <w:spacing w:line="240" w:lineRule="auto"/>
              <w:ind w:firstLine="0" w:firstLineChars="0"/>
              <w:jc w:val="center"/>
              <w:rPr>
                <w:color w:val="auto"/>
              </w:rPr>
            </w:pPr>
          </w:p>
        </w:tc>
        <w:tc>
          <w:tcPr>
            <w:tcW w:w="833" w:type="dxa"/>
            <w:vAlign w:val="center"/>
          </w:tcPr>
          <w:p w14:paraId="51C2B131">
            <w:pPr>
              <w:pStyle w:val="18"/>
              <w:adjustRightInd w:val="0"/>
              <w:snapToGrid w:val="0"/>
              <w:spacing w:line="240" w:lineRule="auto"/>
              <w:ind w:firstLine="0" w:firstLineChars="0"/>
              <w:jc w:val="center"/>
              <w:rPr>
                <w:color w:val="auto"/>
              </w:rPr>
            </w:pPr>
            <w:r>
              <w:rPr>
                <w:color w:val="auto"/>
              </w:rPr>
              <w:t>排放速率kg/h</w:t>
            </w:r>
          </w:p>
        </w:tc>
        <w:tc>
          <w:tcPr>
            <w:tcW w:w="868" w:type="dxa"/>
            <w:vAlign w:val="center"/>
          </w:tcPr>
          <w:p w14:paraId="44471A43">
            <w:pPr>
              <w:pStyle w:val="18"/>
              <w:adjustRightInd w:val="0"/>
              <w:snapToGrid w:val="0"/>
              <w:spacing w:line="240" w:lineRule="auto"/>
              <w:ind w:firstLine="0" w:firstLineChars="0"/>
              <w:jc w:val="center"/>
              <w:rPr>
                <w:color w:val="auto"/>
              </w:rPr>
            </w:pPr>
            <w:r>
              <w:rPr>
                <w:color w:val="auto"/>
              </w:rPr>
              <w:t>排放浓度mg/m</w:t>
            </w:r>
            <w:r>
              <w:rPr>
                <w:color w:val="auto"/>
                <w:vertAlign w:val="superscript"/>
              </w:rPr>
              <w:t>3</w:t>
            </w:r>
          </w:p>
        </w:tc>
        <w:tc>
          <w:tcPr>
            <w:tcW w:w="786" w:type="dxa"/>
            <w:vMerge w:val="continue"/>
            <w:vAlign w:val="center"/>
          </w:tcPr>
          <w:p w14:paraId="3352BACC">
            <w:pPr>
              <w:pStyle w:val="18"/>
              <w:adjustRightInd w:val="0"/>
              <w:snapToGrid w:val="0"/>
              <w:spacing w:line="240" w:lineRule="auto"/>
              <w:ind w:firstLine="0" w:firstLineChars="0"/>
              <w:jc w:val="center"/>
              <w:rPr>
                <w:color w:val="auto"/>
              </w:rPr>
            </w:pPr>
          </w:p>
        </w:tc>
      </w:tr>
      <w:tr w14:paraId="191E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52A487D7">
            <w:pPr>
              <w:pStyle w:val="18"/>
              <w:adjustRightInd w:val="0"/>
              <w:snapToGrid w:val="0"/>
              <w:spacing w:line="240" w:lineRule="auto"/>
              <w:ind w:firstLine="0" w:firstLineChars="0"/>
              <w:jc w:val="center"/>
              <w:rPr>
                <w:color w:val="auto"/>
              </w:rPr>
            </w:pPr>
            <w:bookmarkStart w:id="24" w:name="_Hlk211874181"/>
            <w:r>
              <w:rPr>
                <w:color w:val="auto"/>
              </w:rPr>
              <w:t>DA001</w:t>
            </w:r>
          </w:p>
        </w:tc>
        <w:tc>
          <w:tcPr>
            <w:tcW w:w="840" w:type="dxa"/>
            <w:vAlign w:val="center"/>
          </w:tcPr>
          <w:p w14:paraId="67EB76D6">
            <w:pPr>
              <w:pStyle w:val="18"/>
              <w:adjustRightInd w:val="0"/>
              <w:snapToGrid w:val="0"/>
              <w:spacing w:line="240" w:lineRule="auto"/>
              <w:ind w:firstLine="0" w:firstLineChars="0"/>
              <w:jc w:val="center"/>
              <w:rPr>
                <w:color w:val="auto"/>
              </w:rPr>
            </w:pPr>
            <w:r>
              <w:rPr>
                <w:color w:val="auto"/>
              </w:rPr>
              <w:t>15</w:t>
            </w:r>
          </w:p>
        </w:tc>
        <w:tc>
          <w:tcPr>
            <w:tcW w:w="915" w:type="dxa"/>
            <w:vAlign w:val="center"/>
          </w:tcPr>
          <w:p w14:paraId="00B04779">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3000</w:t>
            </w:r>
          </w:p>
        </w:tc>
        <w:tc>
          <w:tcPr>
            <w:tcW w:w="945" w:type="dxa"/>
            <w:vAlign w:val="center"/>
          </w:tcPr>
          <w:p w14:paraId="38B07176">
            <w:pPr>
              <w:pStyle w:val="18"/>
              <w:adjustRightInd w:val="0"/>
              <w:snapToGrid w:val="0"/>
              <w:spacing w:line="240" w:lineRule="auto"/>
              <w:ind w:firstLine="0" w:firstLineChars="0"/>
              <w:jc w:val="center"/>
              <w:rPr>
                <w:rFonts w:hint="eastAsia" w:eastAsia="宋体"/>
                <w:color w:val="auto"/>
                <w:lang w:eastAsia="zh-CN"/>
              </w:rPr>
            </w:pPr>
            <w:r>
              <w:rPr>
                <w:rFonts w:hint="eastAsia"/>
                <w:color w:val="auto"/>
                <w:lang w:val="en-US" w:eastAsia="zh-CN"/>
              </w:rPr>
              <w:t>颗粒物</w:t>
            </w:r>
          </w:p>
        </w:tc>
        <w:tc>
          <w:tcPr>
            <w:tcW w:w="810" w:type="dxa"/>
            <w:vAlign w:val="center"/>
          </w:tcPr>
          <w:p w14:paraId="16E04972">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0.0219</w:t>
            </w:r>
          </w:p>
        </w:tc>
        <w:tc>
          <w:tcPr>
            <w:tcW w:w="960" w:type="dxa"/>
            <w:vAlign w:val="center"/>
          </w:tcPr>
          <w:p w14:paraId="3FDC94AE">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7.3055</w:t>
            </w:r>
          </w:p>
        </w:tc>
        <w:tc>
          <w:tcPr>
            <w:tcW w:w="975" w:type="dxa"/>
            <w:vAlign w:val="center"/>
          </w:tcPr>
          <w:p w14:paraId="6A414291">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0.0002</w:t>
            </w:r>
          </w:p>
        </w:tc>
        <w:tc>
          <w:tcPr>
            <w:tcW w:w="945" w:type="dxa"/>
            <w:vAlign w:val="center"/>
          </w:tcPr>
          <w:p w14:paraId="50565743">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0.0730</w:t>
            </w:r>
          </w:p>
        </w:tc>
        <w:tc>
          <w:tcPr>
            <w:tcW w:w="630" w:type="dxa"/>
            <w:vAlign w:val="center"/>
          </w:tcPr>
          <w:p w14:paraId="7A2B0915">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99</w:t>
            </w:r>
          </w:p>
        </w:tc>
        <w:tc>
          <w:tcPr>
            <w:tcW w:w="3464" w:type="dxa"/>
            <w:vAlign w:val="center"/>
          </w:tcPr>
          <w:p w14:paraId="35601823">
            <w:pPr>
              <w:pStyle w:val="18"/>
              <w:adjustRightInd w:val="0"/>
              <w:snapToGrid w:val="0"/>
              <w:spacing w:line="240" w:lineRule="auto"/>
              <w:ind w:firstLine="0" w:firstLineChars="0"/>
              <w:jc w:val="center"/>
              <w:rPr>
                <w:color w:val="auto"/>
              </w:rPr>
            </w:pPr>
            <w:r>
              <w:rPr>
                <w:rFonts w:hint="eastAsia"/>
                <w:color w:val="auto"/>
              </w:rPr>
              <w:t>经由设备上方设置的集气罩收集后（粉尘收集率为30%）经生产线配备的布袋除尘器处理，处理效率99%，15m排气筒排放（DA001）</w:t>
            </w:r>
          </w:p>
        </w:tc>
        <w:tc>
          <w:tcPr>
            <w:tcW w:w="833" w:type="dxa"/>
          </w:tcPr>
          <w:p w14:paraId="01810462">
            <w:pPr>
              <w:pStyle w:val="18"/>
              <w:adjustRightInd w:val="0"/>
              <w:snapToGrid w:val="0"/>
              <w:spacing w:line="240" w:lineRule="auto"/>
              <w:ind w:firstLine="0" w:firstLineChars="0"/>
              <w:jc w:val="center"/>
              <w:rPr>
                <w:color w:val="auto"/>
              </w:rPr>
            </w:pPr>
            <w:r>
              <w:rPr>
                <w:color w:val="auto"/>
              </w:rPr>
              <w:t>/</w:t>
            </w:r>
          </w:p>
        </w:tc>
        <w:tc>
          <w:tcPr>
            <w:tcW w:w="868" w:type="dxa"/>
            <w:vAlign w:val="center"/>
          </w:tcPr>
          <w:p w14:paraId="580F7978">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30</w:t>
            </w:r>
          </w:p>
        </w:tc>
        <w:tc>
          <w:tcPr>
            <w:tcW w:w="786" w:type="dxa"/>
            <w:vAlign w:val="center"/>
          </w:tcPr>
          <w:p w14:paraId="72CD407C">
            <w:pPr>
              <w:pStyle w:val="18"/>
              <w:adjustRightInd w:val="0"/>
              <w:snapToGrid w:val="0"/>
              <w:spacing w:line="240" w:lineRule="auto"/>
              <w:ind w:firstLine="0" w:firstLineChars="0"/>
              <w:jc w:val="center"/>
              <w:rPr>
                <w:color w:val="auto"/>
              </w:rPr>
            </w:pPr>
            <w:r>
              <w:rPr>
                <w:color w:val="auto"/>
              </w:rPr>
              <w:t>达标</w:t>
            </w:r>
          </w:p>
        </w:tc>
      </w:tr>
      <w:tr w14:paraId="096C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636C826A">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DA002</w:t>
            </w:r>
          </w:p>
        </w:tc>
        <w:tc>
          <w:tcPr>
            <w:tcW w:w="840" w:type="dxa"/>
            <w:vAlign w:val="center"/>
          </w:tcPr>
          <w:p w14:paraId="6FFE3173">
            <w:pPr>
              <w:pStyle w:val="18"/>
              <w:adjustRightInd w:val="0"/>
              <w:snapToGrid w:val="0"/>
              <w:spacing w:line="240" w:lineRule="auto"/>
              <w:ind w:firstLine="0" w:firstLineChars="0"/>
              <w:jc w:val="center"/>
              <w:rPr>
                <w:color w:val="auto"/>
              </w:rPr>
            </w:pPr>
            <w:r>
              <w:rPr>
                <w:color w:val="auto"/>
              </w:rPr>
              <w:t>15</w:t>
            </w:r>
          </w:p>
        </w:tc>
        <w:tc>
          <w:tcPr>
            <w:tcW w:w="915" w:type="dxa"/>
            <w:vAlign w:val="center"/>
          </w:tcPr>
          <w:p w14:paraId="22C04545">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5000</w:t>
            </w:r>
          </w:p>
        </w:tc>
        <w:tc>
          <w:tcPr>
            <w:tcW w:w="945" w:type="dxa"/>
            <w:vAlign w:val="center"/>
          </w:tcPr>
          <w:p w14:paraId="79F91784">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非甲烷总烃</w:t>
            </w:r>
          </w:p>
        </w:tc>
        <w:tc>
          <w:tcPr>
            <w:tcW w:w="810" w:type="dxa"/>
            <w:vAlign w:val="center"/>
          </w:tcPr>
          <w:p w14:paraId="19216A17">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0.5828</w:t>
            </w:r>
          </w:p>
        </w:tc>
        <w:tc>
          <w:tcPr>
            <w:tcW w:w="960" w:type="dxa"/>
            <w:vAlign w:val="center"/>
          </w:tcPr>
          <w:p w14:paraId="101C2DF7">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116.56</w:t>
            </w:r>
          </w:p>
        </w:tc>
        <w:tc>
          <w:tcPr>
            <w:tcW w:w="975" w:type="dxa"/>
            <w:vAlign w:val="center"/>
          </w:tcPr>
          <w:p w14:paraId="173B714F">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0.0554</w:t>
            </w:r>
          </w:p>
        </w:tc>
        <w:tc>
          <w:tcPr>
            <w:tcW w:w="945" w:type="dxa"/>
            <w:vAlign w:val="center"/>
          </w:tcPr>
          <w:p w14:paraId="53772124">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11.080</w:t>
            </w:r>
          </w:p>
        </w:tc>
        <w:tc>
          <w:tcPr>
            <w:tcW w:w="630" w:type="dxa"/>
            <w:vAlign w:val="center"/>
          </w:tcPr>
          <w:p w14:paraId="3F4C85B9">
            <w:pPr>
              <w:pStyle w:val="18"/>
              <w:adjustRightInd w:val="0"/>
              <w:snapToGrid w:val="0"/>
              <w:spacing w:line="240" w:lineRule="auto"/>
              <w:ind w:firstLine="0" w:firstLineChars="0"/>
              <w:jc w:val="center"/>
              <w:rPr>
                <w:rFonts w:hint="default"/>
                <w:color w:val="auto"/>
                <w:lang w:val="en-US" w:eastAsia="zh-CN"/>
              </w:rPr>
            </w:pPr>
            <w:r>
              <w:rPr>
                <w:rFonts w:hint="eastAsia"/>
                <w:color w:val="auto"/>
                <w:lang w:val="en-US" w:eastAsia="zh-CN"/>
              </w:rPr>
              <w:t>90</w:t>
            </w:r>
          </w:p>
        </w:tc>
        <w:tc>
          <w:tcPr>
            <w:tcW w:w="3464" w:type="dxa"/>
            <w:vAlign w:val="center"/>
          </w:tcPr>
          <w:p w14:paraId="6FB3D556">
            <w:pPr>
              <w:pStyle w:val="18"/>
              <w:adjustRightInd w:val="0"/>
              <w:snapToGrid w:val="0"/>
              <w:spacing w:line="240" w:lineRule="auto"/>
              <w:ind w:firstLine="0" w:firstLineChars="0"/>
              <w:jc w:val="center"/>
              <w:rPr>
                <w:rFonts w:hint="eastAsia"/>
                <w:color w:val="auto"/>
              </w:rPr>
            </w:pPr>
            <w:r>
              <w:rPr>
                <w:rFonts w:hint="eastAsia"/>
                <w:color w:val="auto"/>
              </w:rPr>
              <w:t>通过管道（收集效率95%）收集“二级活性炭”（5000m</w:t>
            </w:r>
            <w:r>
              <w:rPr>
                <w:rFonts w:hint="eastAsia"/>
                <w:color w:val="auto"/>
                <w:vertAlign w:val="superscript"/>
              </w:rPr>
              <w:t>3</w:t>
            </w:r>
            <w:r>
              <w:rPr>
                <w:rFonts w:hint="eastAsia"/>
                <w:color w:val="auto"/>
              </w:rPr>
              <w:t>/h）处理后15m排放（DA002）</w:t>
            </w:r>
          </w:p>
        </w:tc>
        <w:tc>
          <w:tcPr>
            <w:tcW w:w="833" w:type="dxa"/>
          </w:tcPr>
          <w:p w14:paraId="3013C8BE">
            <w:pPr>
              <w:pStyle w:val="18"/>
              <w:adjustRightInd w:val="0"/>
              <w:snapToGrid w:val="0"/>
              <w:spacing w:line="240" w:lineRule="auto"/>
              <w:ind w:firstLine="0" w:firstLineChars="0"/>
              <w:jc w:val="center"/>
              <w:rPr>
                <w:color w:val="auto"/>
              </w:rPr>
            </w:pPr>
          </w:p>
        </w:tc>
        <w:tc>
          <w:tcPr>
            <w:tcW w:w="868" w:type="dxa"/>
            <w:vAlign w:val="center"/>
          </w:tcPr>
          <w:p w14:paraId="68AA939F">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100</w:t>
            </w:r>
          </w:p>
        </w:tc>
        <w:tc>
          <w:tcPr>
            <w:tcW w:w="786" w:type="dxa"/>
            <w:vAlign w:val="center"/>
          </w:tcPr>
          <w:p w14:paraId="3A2193A6">
            <w:pPr>
              <w:pStyle w:val="18"/>
              <w:adjustRightInd w:val="0"/>
              <w:snapToGrid w:val="0"/>
              <w:spacing w:line="240" w:lineRule="auto"/>
              <w:ind w:firstLine="0" w:firstLineChars="0"/>
              <w:jc w:val="center"/>
              <w:rPr>
                <w:color w:val="auto"/>
              </w:rPr>
            </w:pPr>
            <w:r>
              <w:rPr>
                <w:color w:val="auto"/>
              </w:rPr>
              <w:t>达标</w:t>
            </w:r>
          </w:p>
        </w:tc>
      </w:tr>
      <w:bookmarkEnd w:id="24"/>
      <w:tr w14:paraId="6ECA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14:paraId="2490E177">
            <w:pPr>
              <w:pStyle w:val="18"/>
              <w:adjustRightInd w:val="0"/>
              <w:snapToGrid w:val="0"/>
              <w:spacing w:line="240" w:lineRule="auto"/>
              <w:ind w:firstLine="0" w:firstLineChars="0"/>
              <w:jc w:val="center"/>
              <w:rPr>
                <w:color w:val="auto"/>
              </w:rPr>
            </w:pPr>
            <w:r>
              <w:rPr>
                <w:rFonts w:hint="eastAsia"/>
                <w:color w:val="auto"/>
              </w:rPr>
              <w:t>/</w:t>
            </w:r>
          </w:p>
        </w:tc>
        <w:tc>
          <w:tcPr>
            <w:tcW w:w="840" w:type="dxa"/>
            <w:vAlign w:val="center"/>
          </w:tcPr>
          <w:p w14:paraId="76426D3C">
            <w:pPr>
              <w:pStyle w:val="18"/>
              <w:adjustRightInd w:val="0"/>
              <w:snapToGrid w:val="0"/>
              <w:spacing w:line="240" w:lineRule="auto"/>
              <w:ind w:firstLine="0" w:firstLineChars="0"/>
              <w:jc w:val="center"/>
              <w:rPr>
                <w:color w:val="auto"/>
              </w:rPr>
            </w:pPr>
            <w:r>
              <w:rPr>
                <w:color w:val="auto"/>
              </w:rPr>
              <w:t>15</w:t>
            </w:r>
          </w:p>
        </w:tc>
        <w:tc>
          <w:tcPr>
            <w:tcW w:w="915" w:type="dxa"/>
            <w:vAlign w:val="center"/>
          </w:tcPr>
          <w:p w14:paraId="3A769E29">
            <w:pPr>
              <w:pStyle w:val="18"/>
              <w:adjustRightInd w:val="0"/>
              <w:snapToGrid w:val="0"/>
              <w:spacing w:line="240" w:lineRule="auto"/>
              <w:ind w:firstLine="0" w:firstLineChars="0"/>
              <w:jc w:val="center"/>
              <w:rPr>
                <w:color w:val="auto"/>
              </w:rPr>
            </w:pPr>
            <w:r>
              <w:rPr>
                <w:color w:val="auto"/>
              </w:rPr>
              <w:t>2000</w:t>
            </w:r>
          </w:p>
        </w:tc>
        <w:tc>
          <w:tcPr>
            <w:tcW w:w="945" w:type="dxa"/>
            <w:vAlign w:val="center"/>
          </w:tcPr>
          <w:p w14:paraId="71A64DE0">
            <w:pPr>
              <w:pStyle w:val="18"/>
              <w:adjustRightInd w:val="0"/>
              <w:snapToGrid w:val="0"/>
              <w:spacing w:line="240" w:lineRule="auto"/>
              <w:ind w:firstLine="0" w:firstLineChars="0"/>
              <w:jc w:val="center"/>
              <w:rPr>
                <w:color w:val="auto"/>
              </w:rPr>
            </w:pPr>
            <w:r>
              <w:rPr>
                <w:rFonts w:hint="eastAsia"/>
                <w:color w:val="auto"/>
              </w:rPr>
              <w:t>油烟</w:t>
            </w:r>
          </w:p>
        </w:tc>
        <w:tc>
          <w:tcPr>
            <w:tcW w:w="810" w:type="dxa"/>
            <w:vAlign w:val="center"/>
          </w:tcPr>
          <w:p w14:paraId="451C8CEB">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0.0023</w:t>
            </w:r>
          </w:p>
        </w:tc>
        <w:tc>
          <w:tcPr>
            <w:tcW w:w="960" w:type="dxa"/>
            <w:vAlign w:val="center"/>
          </w:tcPr>
          <w:p w14:paraId="1C4D1E1A">
            <w:pPr>
              <w:pStyle w:val="18"/>
              <w:adjustRightInd w:val="0"/>
              <w:snapToGrid w:val="0"/>
              <w:spacing w:line="240" w:lineRule="auto"/>
              <w:ind w:firstLine="0" w:firstLineChars="0"/>
              <w:jc w:val="center"/>
              <w:rPr>
                <w:color w:val="auto"/>
              </w:rPr>
            </w:pPr>
            <w:r>
              <w:rPr>
                <w:rFonts w:hint="eastAsia"/>
                <w:color w:val="auto"/>
              </w:rPr>
              <w:t>1</w:t>
            </w:r>
            <w:r>
              <w:rPr>
                <w:color w:val="auto"/>
              </w:rPr>
              <w:t>.15</w:t>
            </w:r>
          </w:p>
        </w:tc>
        <w:tc>
          <w:tcPr>
            <w:tcW w:w="975" w:type="dxa"/>
            <w:vAlign w:val="center"/>
          </w:tcPr>
          <w:p w14:paraId="36896F50">
            <w:pPr>
              <w:pStyle w:val="18"/>
              <w:adjustRightInd w:val="0"/>
              <w:snapToGrid w:val="0"/>
              <w:spacing w:line="240" w:lineRule="auto"/>
              <w:ind w:firstLine="0" w:firstLineChars="0"/>
              <w:jc w:val="center"/>
              <w:rPr>
                <w:color w:val="auto"/>
              </w:rPr>
            </w:pPr>
            <w:r>
              <w:rPr>
                <w:rFonts w:hint="eastAsia"/>
                <w:color w:val="auto"/>
              </w:rPr>
              <w:t>0</w:t>
            </w:r>
            <w:r>
              <w:rPr>
                <w:color w:val="auto"/>
              </w:rPr>
              <w:t>.0005</w:t>
            </w:r>
          </w:p>
        </w:tc>
        <w:tc>
          <w:tcPr>
            <w:tcW w:w="945" w:type="dxa"/>
            <w:vAlign w:val="center"/>
          </w:tcPr>
          <w:p w14:paraId="76AB5E47">
            <w:pPr>
              <w:pStyle w:val="18"/>
              <w:adjustRightInd w:val="0"/>
              <w:snapToGrid w:val="0"/>
              <w:spacing w:line="240" w:lineRule="auto"/>
              <w:ind w:firstLine="0" w:firstLineChars="0"/>
              <w:jc w:val="center"/>
              <w:rPr>
                <w:color w:val="auto"/>
              </w:rPr>
            </w:pPr>
            <w:r>
              <w:rPr>
                <w:rFonts w:hint="eastAsia"/>
                <w:color w:val="auto"/>
              </w:rPr>
              <w:t>0</w:t>
            </w:r>
            <w:r>
              <w:rPr>
                <w:color w:val="auto"/>
              </w:rPr>
              <w:t>.23</w:t>
            </w:r>
          </w:p>
        </w:tc>
        <w:tc>
          <w:tcPr>
            <w:tcW w:w="630" w:type="dxa"/>
            <w:vAlign w:val="center"/>
          </w:tcPr>
          <w:p w14:paraId="1B35871E">
            <w:pPr>
              <w:pStyle w:val="18"/>
              <w:adjustRightInd w:val="0"/>
              <w:snapToGrid w:val="0"/>
              <w:spacing w:line="240" w:lineRule="auto"/>
              <w:ind w:firstLine="0" w:firstLineChars="0"/>
              <w:jc w:val="center"/>
              <w:rPr>
                <w:color w:val="auto"/>
              </w:rPr>
            </w:pPr>
            <w:r>
              <w:rPr>
                <w:rFonts w:hint="eastAsia"/>
                <w:color w:val="auto"/>
              </w:rPr>
              <w:t>8</w:t>
            </w:r>
            <w:r>
              <w:rPr>
                <w:color w:val="auto"/>
              </w:rPr>
              <w:t>0</w:t>
            </w:r>
          </w:p>
        </w:tc>
        <w:tc>
          <w:tcPr>
            <w:tcW w:w="3464" w:type="dxa"/>
            <w:vAlign w:val="center"/>
          </w:tcPr>
          <w:p w14:paraId="62166E5A">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rPr>
              <w:t>油烟净化器</w:t>
            </w:r>
            <w:r>
              <w:rPr>
                <w:rFonts w:hint="eastAsia"/>
                <w:color w:val="auto"/>
                <w:lang w:val="en-US" w:eastAsia="zh-CN"/>
              </w:rPr>
              <w:t>+楼顶排放</w:t>
            </w:r>
          </w:p>
        </w:tc>
        <w:tc>
          <w:tcPr>
            <w:tcW w:w="833" w:type="dxa"/>
            <w:vAlign w:val="center"/>
          </w:tcPr>
          <w:p w14:paraId="5EC5B133">
            <w:pPr>
              <w:pStyle w:val="18"/>
              <w:adjustRightInd w:val="0"/>
              <w:snapToGrid w:val="0"/>
              <w:spacing w:line="240" w:lineRule="auto"/>
              <w:ind w:firstLine="0" w:firstLineChars="0"/>
              <w:jc w:val="center"/>
              <w:rPr>
                <w:color w:val="auto"/>
              </w:rPr>
            </w:pPr>
            <w:r>
              <w:rPr>
                <w:color w:val="auto"/>
              </w:rPr>
              <w:t>/</w:t>
            </w:r>
          </w:p>
        </w:tc>
        <w:tc>
          <w:tcPr>
            <w:tcW w:w="868" w:type="dxa"/>
            <w:vAlign w:val="center"/>
          </w:tcPr>
          <w:p w14:paraId="5D2D7AD3">
            <w:pPr>
              <w:pStyle w:val="18"/>
              <w:adjustRightInd w:val="0"/>
              <w:snapToGrid w:val="0"/>
              <w:spacing w:line="240" w:lineRule="auto"/>
              <w:ind w:firstLine="0" w:firstLineChars="0"/>
              <w:jc w:val="center"/>
              <w:rPr>
                <w:color w:val="auto"/>
              </w:rPr>
            </w:pPr>
            <w:r>
              <w:rPr>
                <w:color w:val="auto"/>
              </w:rPr>
              <w:t>2.0</w:t>
            </w:r>
          </w:p>
        </w:tc>
        <w:tc>
          <w:tcPr>
            <w:tcW w:w="786" w:type="dxa"/>
            <w:vAlign w:val="center"/>
          </w:tcPr>
          <w:p w14:paraId="1B5549DF">
            <w:pPr>
              <w:pStyle w:val="18"/>
              <w:adjustRightInd w:val="0"/>
              <w:snapToGrid w:val="0"/>
              <w:spacing w:line="240" w:lineRule="auto"/>
              <w:ind w:firstLine="0" w:firstLineChars="0"/>
              <w:jc w:val="center"/>
              <w:rPr>
                <w:color w:val="auto"/>
              </w:rPr>
            </w:pPr>
            <w:r>
              <w:rPr>
                <w:color w:val="auto"/>
              </w:rPr>
              <w:t>达标</w:t>
            </w:r>
          </w:p>
        </w:tc>
      </w:tr>
      <w:bookmarkEnd w:id="23"/>
    </w:tbl>
    <w:p w14:paraId="5DAD8DD9">
      <w:pPr>
        <w:pStyle w:val="18"/>
      </w:pPr>
    </w:p>
    <w:p w14:paraId="178BDF6E">
      <w:pPr>
        <w:pStyle w:val="18"/>
        <w:rPr>
          <w:snapToGrid w:val="0"/>
        </w:rPr>
      </w:pPr>
    </w:p>
    <w:p w14:paraId="465918EE">
      <w:pPr>
        <w:pStyle w:val="15"/>
        <w:jc w:val="center"/>
        <w:outlineLvl w:val="0"/>
        <w:rPr>
          <w:rFonts w:ascii="Times New Roman" w:hAnsi="Times New Roman"/>
          <w:snapToGrid w:val="0"/>
          <w:sz w:val="30"/>
          <w:szCs w:val="30"/>
        </w:rPr>
        <w:sectPr>
          <w:pgSz w:w="16838" w:h="11906" w:orient="landscape"/>
          <w:pgMar w:top="1531" w:right="1701" w:bottom="1531" w:left="170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5"/>
      </w:tblGrid>
      <w:tr w14:paraId="630E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B7C57B">
            <w:pPr>
              <w:pStyle w:val="18"/>
              <w:ind w:firstLine="0" w:firstLineChars="0"/>
              <w:jc w:val="center"/>
              <w:rPr>
                <w:color w:val="auto"/>
              </w:rPr>
            </w:pPr>
            <w:r>
              <w:rPr>
                <w:color w:val="auto"/>
              </w:rPr>
              <w:t>运营</w:t>
            </w:r>
          </w:p>
          <w:p w14:paraId="3733F7C5">
            <w:pPr>
              <w:pStyle w:val="18"/>
              <w:ind w:firstLine="0" w:firstLineChars="0"/>
              <w:jc w:val="center"/>
              <w:rPr>
                <w:color w:val="auto"/>
              </w:rPr>
            </w:pPr>
            <w:r>
              <w:rPr>
                <w:color w:val="auto"/>
              </w:rPr>
              <w:t>期环</w:t>
            </w:r>
          </w:p>
          <w:p w14:paraId="130B6C31">
            <w:pPr>
              <w:pStyle w:val="18"/>
              <w:ind w:firstLine="0" w:firstLineChars="0"/>
              <w:jc w:val="center"/>
              <w:rPr>
                <w:color w:val="auto"/>
              </w:rPr>
            </w:pPr>
            <w:r>
              <w:rPr>
                <w:color w:val="auto"/>
              </w:rPr>
              <w:t>境影</w:t>
            </w:r>
          </w:p>
          <w:p w14:paraId="20BABBF4">
            <w:pPr>
              <w:pStyle w:val="18"/>
              <w:ind w:firstLine="0" w:firstLineChars="0"/>
              <w:jc w:val="center"/>
              <w:rPr>
                <w:color w:val="auto"/>
              </w:rPr>
            </w:pPr>
            <w:r>
              <w:rPr>
                <w:color w:val="auto"/>
              </w:rPr>
              <w:t>响和</w:t>
            </w:r>
          </w:p>
          <w:p w14:paraId="56DAE64B">
            <w:pPr>
              <w:pStyle w:val="18"/>
              <w:ind w:firstLine="0" w:firstLineChars="0"/>
              <w:jc w:val="center"/>
              <w:rPr>
                <w:color w:val="auto"/>
              </w:rPr>
            </w:pPr>
            <w:r>
              <w:rPr>
                <w:color w:val="auto"/>
              </w:rPr>
              <w:t>保护</w:t>
            </w:r>
          </w:p>
          <w:p w14:paraId="3D609682">
            <w:pPr>
              <w:pStyle w:val="18"/>
              <w:ind w:firstLine="0" w:firstLineChars="0"/>
              <w:jc w:val="center"/>
              <w:rPr>
                <w:snapToGrid w:val="0"/>
                <w:color w:val="auto"/>
              </w:rPr>
            </w:pPr>
            <w:r>
              <w:rPr>
                <w:color w:val="auto"/>
              </w:rPr>
              <w:t>措施</w:t>
            </w:r>
          </w:p>
        </w:tc>
        <w:tc>
          <w:tcPr>
            <w:tcW w:w="8385" w:type="dxa"/>
          </w:tcPr>
          <w:p w14:paraId="5BFDB3CE">
            <w:pPr>
              <w:pStyle w:val="18"/>
              <w:rPr>
                <w:snapToGrid w:val="0"/>
                <w:color w:val="auto"/>
              </w:rPr>
            </w:pPr>
            <w:r>
              <w:rPr>
                <w:snapToGrid w:val="0"/>
                <w:color w:val="auto"/>
              </w:rPr>
              <w:t>根据上表可知，本项目各废气污染物采取相应的防治措施后，生产过程中排放的</w:t>
            </w:r>
            <w:r>
              <w:rPr>
                <w:rFonts w:hint="eastAsia"/>
                <w:snapToGrid w:val="0"/>
                <w:color w:val="auto"/>
                <w:lang w:val="en-US" w:eastAsia="zh-CN"/>
              </w:rPr>
              <w:t>颗粒物和非甲烷总烃</w:t>
            </w:r>
            <w:r>
              <w:rPr>
                <w:snapToGrid w:val="0"/>
                <w:color w:val="auto"/>
              </w:rPr>
              <w:t>满足</w:t>
            </w:r>
            <w:r>
              <w:rPr>
                <w:rFonts w:hint="eastAsia"/>
                <w:snapToGrid w:val="0"/>
                <w:color w:val="auto"/>
              </w:rPr>
              <w:t>《农药制造工业大气污染物排放标准》（GB39727-2020）表1大气污染物排放限值</w:t>
            </w:r>
            <w:r>
              <w:rPr>
                <w:snapToGrid w:val="0"/>
                <w:color w:val="auto"/>
              </w:rPr>
              <w:t>，</w:t>
            </w:r>
            <w:r>
              <w:rPr>
                <w:rFonts w:hint="eastAsia"/>
                <w:snapToGrid w:val="0"/>
                <w:color w:val="auto"/>
                <w:lang w:val="en-US" w:eastAsia="zh-CN"/>
              </w:rPr>
              <w:t>臭气浓度</w:t>
            </w:r>
            <w:r>
              <w:rPr>
                <w:rFonts w:hint="eastAsia"/>
                <w:snapToGrid w:val="0"/>
                <w:color w:val="auto"/>
              </w:rPr>
              <w:t>排放满足《恶臭污染物排放标准》（GB14554-93）中的二级标准，</w:t>
            </w:r>
            <w:r>
              <w:rPr>
                <w:snapToGrid w:val="0"/>
                <w:color w:val="auto"/>
              </w:rPr>
              <w:t>因此，本项目大气污染物能做到达标排放。</w:t>
            </w:r>
          </w:p>
          <w:p w14:paraId="2F5F1A2F">
            <w:pPr>
              <w:pStyle w:val="18"/>
              <w:rPr>
                <w:snapToGrid w:val="0"/>
                <w:color w:val="auto"/>
              </w:rPr>
            </w:pPr>
            <w:r>
              <w:rPr>
                <w:rFonts w:hint="eastAsia" w:ascii="宋体" w:hAnsi="宋体" w:cs="宋体"/>
                <w:snapToGrid w:val="0"/>
                <w:color w:val="auto"/>
              </w:rPr>
              <w:t>②</w:t>
            </w:r>
            <w:r>
              <w:rPr>
                <w:snapToGrid w:val="0"/>
                <w:color w:val="auto"/>
              </w:rPr>
              <w:t>无组织排放情况</w:t>
            </w:r>
          </w:p>
          <w:p w14:paraId="736764B4">
            <w:pPr>
              <w:pStyle w:val="18"/>
              <w:rPr>
                <w:snapToGrid w:val="0"/>
                <w:color w:val="auto"/>
              </w:rPr>
            </w:pPr>
            <w:r>
              <w:rPr>
                <w:snapToGrid w:val="0"/>
                <w:color w:val="auto"/>
              </w:rPr>
              <w:t>本项目无组织废</w:t>
            </w:r>
            <w:bookmarkStart w:id="25" w:name="_Hlk141202305"/>
            <w:r>
              <w:rPr>
                <w:snapToGrid w:val="0"/>
                <w:color w:val="auto"/>
              </w:rPr>
              <w:t>气排放情况具体见下表。</w:t>
            </w:r>
          </w:p>
          <w:p w14:paraId="7972EB44">
            <w:pPr>
              <w:autoSpaceDE w:val="0"/>
              <w:autoSpaceDN w:val="0"/>
              <w:adjustRightInd w:val="0"/>
              <w:snapToGrid w:val="0"/>
              <w:jc w:val="center"/>
              <w:rPr>
                <w:b/>
                <w:bCs/>
                <w:color w:val="auto"/>
                <w:kern w:val="0"/>
                <w:szCs w:val="21"/>
              </w:rPr>
            </w:pPr>
            <w:r>
              <w:rPr>
                <w:b/>
                <w:bCs/>
                <w:color w:val="auto"/>
                <w:kern w:val="0"/>
                <w:szCs w:val="21"/>
              </w:rPr>
              <w:t>表4-</w:t>
            </w:r>
            <w:r>
              <w:rPr>
                <w:rFonts w:hint="eastAsia"/>
                <w:b/>
                <w:bCs/>
                <w:color w:val="auto"/>
                <w:kern w:val="0"/>
                <w:szCs w:val="21"/>
                <w:lang w:val="en-US" w:eastAsia="zh-CN"/>
              </w:rPr>
              <w:t>9</w:t>
            </w:r>
            <w:r>
              <w:rPr>
                <w:b/>
                <w:bCs/>
                <w:color w:val="auto"/>
                <w:kern w:val="0"/>
                <w:szCs w:val="21"/>
              </w:rPr>
              <w:t>无组织废气排放情况一览表</w:t>
            </w:r>
          </w:p>
          <w:tbl>
            <w:tblPr>
              <w:tblStyle w:val="1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2111"/>
              <w:gridCol w:w="1787"/>
              <w:gridCol w:w="2207"/>
            </w:tblGrid>
            <w:tr w14:paraId="0029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1" w:type="dxa"/>
                  <w:vAlign w:val="center"/>
                </w:tcPr>
                <w:p w14:paraId="68D62ED6">
                  <w:pPr>
                    <w:pStyle w:val="18"/>
                    <w:adjustRightInd w:val="0"/>
                    <w:snapToGrid w:val="0"/>
                    <w:spacing w:line="240" w:lineRule="auto"/>
                    <w:ind w:firstLine="0" w:firstLineChars="0"/>
                    <w:jc w:val="center"/>
                    <w:rPr>
                      <w:color w:val="auto"/>
                    </w:rPr>
                  </w:pPr>
                  <w:bookmarkStart w:id="26" w:name="_Hlk137131165"/>
                  <w:r>
                    <w:rPr>
                      <w:color w:val="auto"/>
                    </w:rPr>
                    <w:t>污染源位置</w:t>
                  </w:r>
                </w:p>
              </w:tc>
              <w:tc>
                <w:tcPr>
                  <w:tcW w:w="2111" w:type="dxa"/>
                  <w:vAlign w:val="center"/>
                </w:tcPr>
                <w:p w14:paraId="4F6504C9">
                  <w:pPr>
                    <w:pStyle w:val="18"/>
                    <w:adjustRightInd w:val="0"/>
                    <w:snapToGrid w:val="0"/>
                    <w:spacing w:line="240" w:lineRule="auto"/>
                    <w:ind w:firstLine="0" w:firstLineChars="0"/>
                    <w:jc w:val="center"/>
                    <w:rPr>
                      <w:color w:val="auto"/>
                    </w:rPr>
                  </w:pPr>
                  <w:r>
                    <w:rPr>
                      <w:color w:val="auto"/>
                    </w:rPr>
                    <w:t>污染工序</w:t>
                  </w:r>
                </w:p>
              </w:tc>
              <w:tc>
                <w:tcPr>
                  <w:tcW w:w="1787" w:type="dxa"/>
                  <w:vAlign w:val="center"/>
                </w:tcPr>
                <w:p w14:paraId="63B0CA77">
                  <w:pPr>
                    <w:pStyle w:val="18"/>
                    <w:adjustRightInd w:val="0"/>
                    <w:snapToGrid w:val="0"/>
                    <w:spacing w:line="240" w:lineRule="auto"/>
                    <w:ind w:firstLine="0" w:firstLineChars="0"/>
                    <w:jc w:val="center"/>
                    <w:rPr>
                      <w:color w:val="auto"/>
                    </w:rPr>
                  </w:pPr>
                  <w:r>
                    <w:rPr>
                      <w:color w:val="auto"/>
                    </w:rPr>
                    <w:t>污染物</w:t>
                  </w:r>
                </w:p>
              </w:tc>
              <w:tc>
                <w:tcPr>
                  <w:tcW w:w="2207" w:type="dxa"/>
                  <w:vAlign w:val="center"/>
                </w:tcPr>
                <w:p w14:paraId="5E96E58E">
                  <w:pPr>
                    <w:pStyle w:val="18"/>
                    <w:adjustRightInd w:val="0"/>
                    <w:snapToGrid w:val="0"/>
                    <w:spacing w:line="240" w:lineRule="auto"/>
                    <w:ind w:firstLine="0" w:firstLineChars="0"/>
                    <w:jc w:val="center"/>
                    <w:rPr>
                      <w:color w:val="auto"/>
                    </w:rPr>
                  </w:pPr>
                  <w:r>
                    <w:rPr>
                      <w:color w:val="auto"/>
                    </w:rPr>
                    <w:t>无组织排放量（t/a）</w:t>
                  </w:r>
                </w:p>
              </w:tc>
            </w:tr>
            <w:tr w14:paraId="1C85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1" w:type="dxa"/>
                  <w:vMerge w:val="restart"/>
                  <w:vAlign w:val="center"/>
                </w:tcPr>
                <w:p w14:paraId="2055A177">
                  <w:pPr>
                    <w:pStyle w:val="18"/>
                    <w:adjustRightInd w:val="0"/>
                    <w:snapToGrid w:val="0"/>
                    <w:spacing w:line="240" w:lineRule="auto"/>
                    <w:ind w:firstLine="0" w:firstLineChars="0"/>
                    <w:jc w:val="center"/>
                    <w:rPr>
                      <w:rFonts w:hint="eastAsia" w:eastAsia="宋体"/>
                      <w:color w:val="auto"/>
                      <w:lang w:eastAsia="zh-CN"/>
                    </w:rPr>
                  </w:pPr>
                  <w:r>
                    <w:rPr>
                      <w:rFonts w:hint="eastAsia"/>
                      <w:color w:val="auto"/>
                      <w:lang w:val="en-US" w:eastAsia="zh-CN"/>
                    </w:rPr>
                    <w:t>厂区</w:t>
                  </w:r>
                </w:p>
              </w:tc>
              <w:tc>
                <w:tcPr>
                  <w:tcW w:w="2111" w:type="dxa"/>
                  <w:vMerge w:val="restart"/>
                  <w:vAlign w:val="center"/>
                </w:tcPr>
                <w:p w14:paraId="24E1B153">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rPr>
                    <w:t>投料</w:t>
                  </w:r>
                  <w:r>
                    <w:rPr>
                      <w:rFonts w:hint="eastAsia"/>
                      <w:color w:val="auto"/>
                      <w:lang w:eastAsia="zh-CN"/>
                    </w:rPr>
                    <w:t>、</w:t>
                  </w:r>
                  <w:r>
                    <w:rPr>
                      <w:rFonts w:hint="eastAsia"/>
                      <w:color w:val="auto"/>
                    </w:rPr>
                    <w:t>搅拌、</w:t>
                  </w:r>
                  <w:r>
                    <w:rPr>
                      <w:rFonts w:hint="eastAsia"/>
                      <w:color w:val="auto"/>
                      <w:lang w:val="en-US" w:eastAsia="zh-CN"/>
                    </w:rPr>
                    <w:t>包装等</w:t>
                  </w:r>
                </w:p>
              </w:tc>
              <w:tc>
                <w:tcPr>
                  <w:tcW w:w="1787" w:type="dxa"/>
                  <w:vAlign w:val="center"/>
                </w:tcPr>
                <w:p w14:paraId="5E18530A">
                  <w:pPr>
                    <w:pStyle w:val="18"/>
                    <w:adjustRightInd w:val="0"/>
                    <w:snapToGrid w:val="0"/>
                    <w:spacing w:line="240" w:lineRule="auto"/>
                    <w:ind w:firstLine="0" w:firstLineChars="0"/>
                    <w:jc w:val="center"/>
                    <w:rPr>
                      <w:color w:val="auto"/>
                    </w:rPr>
                  </w:pPr>
                  <w:r>
                    <w:rPr>
                      <w:rFonts w:hint="eastAsia"/>
                      <w:color w:val="auto"/>
                    </w:rPr>
                    <w:t>颗粒物</w:t>
                  </w:r>
                </w:p>
              </w:tc>
              <w:tc>
                <w:tcPr>
                  <w:tcW w:w="2207" w:type="dxa"/>
                  <w:vAlign w:val="center"/>
                </w:tcPr>
                <w:p w14:paraId="40327B0C">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0.4128</w:t>
                  </w:r>
                </w:p>
              </w:tc>
            </w:tr>
            <w:tr w14:paraId="33E8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1" w:type="dxa"/>
                  <w:vMerge w:val="continue"/>
                  <w:vAlign w:val="center"/>
                </w:tcPr>
                <w:p w14:paraId="0086EB8A">
                  <w:pPr>
                    <w:pStyle w:val="18"/>
                    <w:adjustRightInd w:val="0"/>
                    <w:snapToGrid w:val="0"/>
                    <w:spacing w:line="240" w:lineRule="auto"/>
                    <w:ind w:firstLine="0" w:firstLineChars="0"/>
                    <w:jc w:val="center"/>
                    <w:rPr>
                      <w:rFonts w:hint="eastAsia"/>
                      <w:color w:val="auto"/>
                    </w:rPr>
                  </w:pPr>
                </w:p>
              </w:tc>
              <w:tc>
                <w:tcPr>
                  <w:tcW w:w="2111" w:type="dxa"/>
                  <w:vMerge w:val="continue"/>
                  <w:vAlign w:val="center"/>
                </w:tcPr>
                <w:p w14:paraId="3FFC20E6">
                  <w:pPr>
                    <w:pStyle w:val="18"/>
                    <w:adjustRightInd w:val="0"/>
                    <w:snapToGrid w:val="0"/>
                    <w:spacing w:line="240" w:lineRule="auto"/>
                    <w:ind w:firstLine="0" w:firstLineChars="0"/>
                    <w:jc w:val="center"/>
                    <w:rPr>
                      <w:rFonts w:hint="eastAsia"/>
                      <w:color w:val="auto"/>
                    </w:rPr>
                  </w:pPr>
                </w:p>
              </w:tc>
              <w:tc>
                <w:tcPr>
                  <w:tcW w:w="1787" w:type="dxa"/>
                  <w:vAlign w:val="center"/>
                </w:tcPr>
                <w:p w14:paraId="69E705A7">
                  <w:pPr>
                    <w:pStyle w:val="18"/>
                    <w:adjustRightInd w:val="0"/>
                    <w:snapToGrid w:val="0"/>
                    <w:spacing w:line="240" w:lineRule="auto"/>
                    <w:ind w:firstLine="0" w:firstLineChars="0"/>
                    <w:jc w:val="center"/>
                    <w:rPr>
                      <w:rFonts w:hint="eastAsia"/>
                      <w:color w:val="auto"/>
                    </w:rPr>
                  </w:pPr>
                  <w:r>
                    <w:rPr>
                      <w:rFonts w:hint="eastAsia"/>
                      <w:color w:val="auto"/>
                    </w:rPr>
                    <w:t>非甲烷总烃</w:t>
                  </w:r>
                </w:p>
              </w:tc>
              <w:tc>
                <w:tcPr>
                  <w:tcW w:w="2207" w:type="dxa"/>
                  <w:vAlign w:val="center"/>
                </w:tcPr>
                <w:p w14:paraId="07DCE38B">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0.2098</w:t>
                  </w:r>
                </w:p>
              </w:tc>
            </w:tr>
            <w:bookmarkEnd w:id="26"/>
          </w:tbl>
          <w:p w14:paraId="2781F8EC">
            <w:pPr>
              <w:pStyle w:val="18"/>
              <w:rPr>
                <w:b/>
                <w:bCs/>
                <w:color w:val="auto"/>
              </w:rPr>
            </w:pPr>
            <w:r>
              <w:rPr>
                <w:rFonts w:hint="eastAsia"/>
                <w:b/>
                <w:bCs/>
                <w:color w:val="auto"/>
              </w:rPr>
              <w:t>（3）无组织控制措施</w:t>
            </w:r>
          </w:p>
          <w:p w14:paraId="4303958C">
            <w:pPr>
              <w:pStyle w:val="18"/>
              <w:rPr>
                <w:color w:val="auto"/>
              </w:rPr>
            </w:pPr>
            <w:r>
              <w:rPr>
                <w:rFonts w:hint="eastAsia"/>
                <w:color w:val="auto"/>
              </w:rPr>
              <w:t>项目无组织废气主要为生产过程中未被收集的废气，呈无组织形式排放，主要污染物为颗粒物。</w:t>
            </w:r>
          </w:p>
          <w:p w14:paraId="1F5A9995">
            <w:pPr>
              <w:pStyle w:val="18"/>
              <w:ind w:firstLine="422"/>
              <w:rPr>
                <w:b/>
                <w:bCs/>
                <w:color w:val="auto"/>
              </w:rPr>
            </w:pPr>
            <w:r>
              <w:rPr>
                <w:rFonts w:hint="eastAsia"/>
                <w:b/>
                <w:bCs/>
                <w:color w:val="auto"/>
              </w:rPr>
              <w:t>针对无组织排放，本项目采取以下措施：</w:t>
            </w:r>
          </w:p>
          <w:p w14:paraId="70496CA9">
            <w:pPr>
              <w:pStyle w:val="18"/>
              <w:rPr>
                <w:color w:val="auto"/>
              </w:rPr>
            </w:pPr>
            <w:r>
              <w:rPr>
                <w:rFonts w:hint="eastAsia"/>
                <w:color w:val="auto"/>
              </w:rPr>
              <w:t>1）生产车间封闭，粉尘自然沉降；</w:t>
            </w:r>
          </w:p>
          <w:p w14:paraId="6F6759D8">
            <w:pPr>
              <w:pStyle w:val="18"/>
              <w:rPr>
                <w:color w:val="auto"/>
              </w:rPr>
            </w:pPr>
            <w:r>
              <w:rPr>
                <w:color w:val="auto"/>
              </w:rPr>
              <w:t>2</w:t>
            </w:r>
            <w:r>
              <w:rPr>
                <w:rFonts w:hint="eastAsia"/>
                <w:color w:val="auto"/>
              </w:rPr>
              <w:t>）加强厂区植被绿化。</w:t>
            </w:r>
          </w:p>
          <w:p w14:paraId="178956D4">
            <w:pPr>
              <w:pStyle w:val="18"/>
              <w:rPr>
                <w:b/>
                <w:bCs/>
                <w:color w:val="auto"/>
              </w:rPr>
            </w:pPr>
            <w:r>
              <w:rPr>
                <w:rFonts w:hint="eastAsia"/>
                <w:b/>
                <w:bCs/>
                <w:color w:val="auto"/>
              </w:rPr>
              <w:t>（4）</w:t>
            </w:r>
            <w:r>
              <w:rPr>
                <w:b/>
                <w:bCs/>
                <w:color w:val="auto"/>
              </w:rPr>
              <w:t>废气污染物排放量统计</w:t>
            </w:r>
          </w:p>
          <w:p w14:paraId="436CC472">
            <w:pPr>
              <w:pStyle w:val="18"/>
              <w:rPr>
                <w:color w:val="auto"/>
              </w:rPr>
            </w:pPr>
            <w:r>
              <w:rPr>
                <w:color w:val="auto"/>
              </w:rPr>
              <w:t>项目建成后，各类废气污染物年排放量如下：</w:t>
            </w:r>
          </w:p>
          <w:p w14:paraId="1F181266">
            <w:pPr>
              <w:autoSpaceDE w:val="0"/>
              <w:autoSpaceDN w:val="0"/>
              <w:adjustRightInd w:val="0"/>
              <w:snapToGrid w:val="0"/>
              <w:jc w:val="center"/>
              <w:rPr>
                <w:b/>
                <w:bCs/>
                <w:color w:val="auto"/>
                <w:kern w:val="0"/>
                <w:szCs w:val="21"/>
              </w:rPr>
            </w:pPr>
            <w:bookmarkStart w:id="27" w:name="_Hlk161318389"/>
            <w:r>
              <w:rPr>
                <w:b/>
                <w:bCs/>
                <w:color w:val="auto"/>
                <w:kern w:val="0"/>
                <w:szCs w:val="21"/>
              </w:rPr>
              <w:t>表4-</w:t>
            </w:r>
            <w:r>
              <w:rPr>
                <w:rFonts w:hint="eastAsia"/>
                <w:b/>
                <w:bCs/>
                <w:color w:val="auto"/>
                <w:kern w:val="0"/>
                <w:szCs w:val="21"/>
                <w:lang w:val="en-US" w:eastAsia="zh-CN"/>
              </w:rPr>
              <w:t>10</w:t>
            </w:r>
            <w:r>
              <w:rPr>
                <w:b/>
                <w:bCs/>
                <w:color w:val="auto"/>
                <w:kern w:val="0"/>
                <w:szCs w:val="21"/>
              </w:rPr>
              <w:t>项目废气污染物年排放量统计单位：t/a</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2174"/>
              <w:gridCol w:w="1478"/>
              <w:gridCol w:w="1568"/>
              <w:gridCol w:w="1347"/>
            </w:tblGrid>
            <w:tr w14:paraId="17A8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74" w:type="pct"/>
                  <w:vAlign w:val="center"/>
                </w:tcPr>
                <w:p w14:paraId="6AB8313E">
                  <w:pPr>
                    <w:pStyle w:val="18"/>
                    <w:adjustRightInd w:val="0"/>
                    <w:snapToGrid w:val="0"/>
                    <w:spacing w:line="240" w:lineRule="auto"/>
                    <w:ind w:firstLine="0" w:firstLineChars="0"/>
                    <w:jc w:val="center"/>
                    <w:rPr>
                      <w:color w:val="auto"/>
                    </w:rPr>
                  </w:pPr>
                  <w:bookmarkStart w:id="28" w:name="_Hlk139640619"/>
                  <w:r>
                    <w:rPr>
                      <w:color w:val="auto"/>
                    </w:rPr>
                    <w:t>排放类型</w:t>
                  </w:r>
                </w:p>
              </w:tc>
              <w:tc>
                <w:tcPr>
                  <w:tcW w:w="1332" w:type="pct"/>
                  <w:vAlign w:val="center"/>
                </w:tcPr>
                <w:p w14:paraId="2CD3213E">
                  <w:pPr>
                    <w:pStyle w:val="18"/>
                    <w:adjustRightInd w:val="0"/>
                    <w:snapToGrid w:val="0"/>
                    <w:spacing w:line="240" w:lineRule="auto"/>
                    <w:ind w:firstLine="0" w:firstLineChars="0"/>
                    <w:jc w:val="center"/>
                    <w:rPr>
                      <w:color w:val="auto"/>
                    </w:rPr>
                  </w:pPr>
                  <w:r>
                    <w:rPr>
                      <w:color w:val="auto"/>
                    </w:rPr>
                    <w:t>污染物</w:t>
                  </w:r>
                </w:p>
              </w:tc>
              <w:tc>
                <w:tcPr>
                  <w:tcW w:w="906" w:type="pct"/>
                  <w:vAlign w:val="center"/>
                </w:tcPr>
                <w:p w14:paraId="5B3B2CE2">
                  <w:pPr>
                    <w:pStyle w:val="18"/>
                    <w:adjustRightInd w:val="0"/>
                    <w:snapToGrid w:val="0"/>
                    <w:spacing w:line="240" w:lineRule="auto"/>
                    <w:ind w:firstLine="0" w:firstLineChars="0"/>
                    <w:jc w:val="center"/>
                    <w:rPr>
                      <w:color w:val="auto"/>
                    </w:rPr>
                  </w:pPr>
                  <w:r>
                    <w:rPr>
                      <w:color w:val="auto"/>
                    </w:rPr>
                    <w:t>产生量</w:t>
                  </w:r>
                </w:p>
              </w:tc>
              <w:tc>
                <w:tcPr>
                  <w:tcW w:w="961" w:type="pct"/>
                  <w:vAlign w:val="center"/>
                </w:tcPr>
                <w:p w14:paraId="1C533434">
                  <w:pPr>
                    <w:pStyle w:val="18"/>
                    <w:adjustRightInd w:val="0"/>
                    <w:snapToGrid w:val="0"/>
                    <w:spacing w:line="240" w:lineRule="auto"/>
                    <w:ind w:firstLine="0" w:firstLineChars="0"/>
                    <w:jc w:val="center"/>
                    <w:rPr>
                      <w:color w:val="auto"/>
                    </w:rPr>
                  </w:pPr>
                  <w:r>
                    <w:rPr>
                      <w:color w:val="auto"/>
                    </w:rPr>
                    <w:t>削减量</w:t>
                  </w:r>
                </w:p>
              </w:tc>
              <w:tc>
                <w:tcPr>
                  <w:tcW w:w="825" w:type="pct"/>
                  <w:vAlign w:val="center"/>
                </w:tcPr>
                <w:p w14:paraId="6274C3FB">
                  <w:pPr>
                    <w:pStyle w:val="18"/>
                    <w:adjustRightInd w:val="0"/>
                    <w:snapToGrid w:val="0"/>
                    <w:spacing w:line="240" w:lineRule="auto"/>
                    <w:ind w:firstLine="0" w:firstLineChars="0"/>
                    <w:jc w:val="center"/>
                    <w:rPr>
                      <w:color w:val="auto"/>
                    </w:rPr>
                  </w:pPr>
                  <w:r>
                    <w:rPr>
                      <w:color w:val="auto"/>
                    </w:rPr>
                    <w:t>排放量</w:t>
                  </w:r>
                </w:p>
              </w:tc>
            </w:tr>
            <w:tr w14:paraId="6A68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74" w:type="pct"/>
                  <w:vMerge w:val="restart"/>
                  <w:vAlign w:val="center"/>
                </w:tcPr>
                <w:p w14:paraId="6D82DB8E">
                  <w:pPr>
                    <w:pStyle w:val="18"/>
                    <w:adjustRightInd w:val="0"/>
                    <w:snapToGrid w:val="0"/>
                    <w:spacing w:line="240" w:lineRule="auto"/>
                    <w:ind w:firstLine="0" w:firstLineChars="0"/>
                    <w:jc w:val="center"/>
                    <w:rPr>
                      <w:color w:val="auto"/>
                    </w:rPr>
                  </w:pPr>
                  <w:r>
                    <w:rPr>
                      <w:color w:val="auto"/>
                    </w:rPr>
                    <w:t>有组织排放</w:t>
                  </w:r>
                </w:p>
              </w:tc>
              <w:tc>
                <w:tcPr>
                  <w:tcW w:w="1332" w:type="pct"/>
                  <w:vAlign w:val="center"/>
                </w:tcPr>
                <w:p w14:paraId="095DC8CE">
                  <w:pPr>
                    <w:pStyle w:val="18"/>
                    <w:adjustRightInd w:val="0"/>
                    <w:snapToGrid w:val="0"/>
                    <w:spacing w:line="240" w:lineRule="auto"/>
                    <w:ind w:left="0" w:leftChars="0" w:firstLine="0" w:firstLineChars="0"/>
                    <w:jc w:val="center"/>
                    <w:rPr>
                      <w:color w:val="auto"/>
                    </w:rPr>
                  </w:pPr>
                  <w:r>
                    <w:rPr>
                      <w:rFonts w:hint="eastAsia"/>
                      <w:color w:val="auto"/>
                    </w:rPr>
                    <w:t>颗粒物</w:t>
                  </w:r>
                </w:p>
              </w:tc>
              <w:tc>
                <w:tcPr>
                  <w:tcW w:w="906" w:type="pct"/>
                  <w:vAlign w:val="center"/>
                </w:tcPr>
                <w:p w14:paraId="5D6E1ED6">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0.1578</w:t>
                  </w:r>
                </w:p>
              </w:tc>
              <w:tc>
                <w:tcPr>
                  <w:tcW w:w="961" w:type="pct"/>
                  <w:vAlign w:val="center"/>
                </w:tcPr>
                <w:p w14:paraId="109B3F2A">
                  <w:pPr>
                    <w:keepNext w:val="0"/>
                    <w:keepLines w:val="0"/>
                    <w:widowControl/>
                    <w:suppressLineNumbers w:val="0"/>
                    <w:jc w:val="center"/>
                    <w:textAlignment w:val="center"/>
                    <w:rPr>
                      <w:rFonts w:hint="eastAsia"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0.1562</w:t>
                  </w:r>
                </w:p>
              </w:tc>
              <w:tc>
                <w:tcPr>
                  <w:tcW w:w="825" w:type="pct"/>
                  <w:vAlign w:val="center"/>
                </w:tcPr>
                <w:p w14:paraId="7A0A1007">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0.0016</w:t>
                  </w:r>
                </w:p>
              </w:tc>
            </w:tr>
            <w:tr w14:paraId="410B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74" w:type="pct"/>
                  <w:vMerge w:val="continue"/>
                  <w:vAlign w:val="center"/>
                </w:tcPr>
                <w:p w14:paraId="2836C4A0">
                  <w:pPr>
                    <w:pStyle w:val="18"/>
                    <w:adjustRightInd w:val="0"/>
                    <w:snapToGrid w:val="0"/>
                    <w:spacing w:line="240" w:lineRule="auto"/>
                    <w:ind w:firstLine="0" w:firstLineChars="0"/>
                    <w:jc w:val="center"/>
                    <w:rPr>
                      <w:color w:val="auto"/>
                    </w:rPr>
                  </w:pPr>
                </w:p>
              </w:tc>
              <w:tc>
                <w:tcPr>
                  <w:tcW w:w="1332" w:type="pct"/>
                  <w:vAlign w:val="center"/>
                </w:tcPr>
                <w:p w14:paraId="6B9ECD96">
                  <w:pPr>
                    <w:pStyle w:val="18"/>
                    <w:adjustRightInd w:val="0"/>
                    <w:snapToGrid w:val="0"/>
                    <w:spacing w:line="240" w:lineRule="auto"/>
                    <w:ind w:left="0" w:leftChars="0" w:firstLine="0" w:firstLineChars="0"/>
                    <w:jc w:val="center"/>
                    <w:rPr>
                      <w:color w:val="auto"/>
                    </w:rPr>
                  </w:pPr>
                  <w:r>
                    <w:rPr>
                      <w:rFonts w:hint="eastAsia"/>
                      <w:color w:val="auto"/>
                    </w:rPr>
                    <w:t>非甲烷总烃</w:t>
                  </w:r>
                </w:p>
              </w:tc>
              <w:tc>
                <w:tcPr>
                  <w:tcW w:w="906" w:type="pct"/>
                  <w:vAlign w:val="center"/>
                </w:tcPr>
                <w:p w14:paraId="4B0FD2B7">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3.9861</w:t>
                  </w:r>
                </w:p>
              </w:tc>
              <w:tc>
                <w:tcPr>
                  <w:tcW w:w="961" w:type="pct"/>
                  <w:vAlign w:val="center"/>
                </w:tcPr>
                <w:p w14:paraId="1BC7F826">
                  <w:pPr>
                    <w:keepNext w:val="0"/>
                    <w:keepLines w:val="0"/>
                    <w:widowControl/>
                    <w:suppressLineNumbers w:val="0"/>
                    <w:jc w:val="center"/>
                    <w:textAlignment w:val="center"/>
                    <w:rPr>
                      <w:rFonts w:hint="eastAsia"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3.5875</w:t>
                  </w:r>
                </w:p>
              </w:tc>
              <w:tc>
                <w:tcPr>
                  <w:tcW w:w="825" w:type="pct"/>
                  <w:vAlign w:val="center"/>
                </w:tcPr>
                <w:p w14:paraId="786C223E">
                  <w:pPr>
                    <w:pStyle w:val="18"/>
                    <w:adjustRightInd w:val="0"/>
                    <w:snapToGrid w:val="0"/>
                    <w:spacing w:line="240" w:lineRule="auto"/>
                    <w:ind w:left="0" w:leftChars="0" w:firstLine="0" w:firstLineChars="0"/>
                    <w:jc w:val="center"/>
                    <w:rPr>
                      <w:rFonts w:hint="default"/>
                      <w:color w:val="auto"/>
                      <w:lang w:val="en-US"/>
                    </w:rPr>
                  </w:pPr>
                  <w:r>
                    <w:rPr>
                      <w:rFonts w:hint="eastAsia"/>
                      <w:color w:val="auto"/>
                      <w:lang w:val="en-US" w:eastAsia="zh-CN"/>
                    </w:rPr>
                    <w:t>0.3986</w:t>
                  </w:r>
                </w:p>
              </w:tc>
            </w:tr>
            <w:tr w14:paraId="6236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74" w:type="pct"/>
                  <w:vMerge w:val="restart"/>
                  <w:vAlign w:val="center"/>
                </w:tcPr>
                <w:p w14:paraId="12D242D2">
                  <w:pPr>
                    <w:pStyle w:val="18"/>
                    <w:adjustRightInd w:val="0"/>
                    <w:snapToGrid w:val="0"/>
                    <w:spacing w:line="240" w:lineRule="auto"/>
                    <w:ind w:firstLine="0" w:firstLineChars="0"/>
                    <w:jc w:val="center"/>
                    <w:rPr>
                      <w:color w:val="auto"/>
                    </w:rPr>
                  </w:pPr>
                  <w:r>
                    <w:rPr>
                      <w:rFonts w:hint="eastAsia"/>
                      <w:color w:val="auto"/>
                    </w:rPr>
                    <w:t>无组织排放</w:t>
                  </w:r>
                </w:p>
              </w:tc>
              <w:tc>
                <w:tcPr>
                  <w:tcW w:w="1332" w:type="pct"/>
                  <w:vAlign w:val="center"/>
                </w:tcPr>
                <w:p w14:paraId="70300D72">
                  <w:pPr>
                    <w:pStyle w:val="18"/>
                    <w:adjustRightInd w:val="0"/>
                    <w:snapToGrid w:val="0"/>
                    <w:spacing w:line="240" w:lineRule="auto"/>
                    <w:ind w:left="0" w:leftChars="0" w:firstLine="0" w:firstLineChars="0"/>
                    <w:jc w:val="center"/>
                    <w:rPr>
                      <w:color w:val="auto"/>
                    </w:rPr>
                  </w:pPr>
                  <w:r>
                    <w:rPr>
                      <w:rFonts w:hint="eastAsia"/>
                      <w:color w:val="auto"/>
                    </w:rPr>
                    <w:t>颗粒物</w:t>
                  </w:r>
                </w:p>
              </w:tc>
              <w:tc>
                <w:tcPr>
                  <w:tcW w:w="906" w:type="pct"/>
                  <w:vAlign w:val="center"/>
                </w:tcPr>
                <w:p w14:paraId="2AD83BBD">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0.4797</w:t>
                  </w:r>
                </w:p>
              </w:tc>
              <w:tc>
                <w:tcPr>
                  <w:tcW w:w="961" w:type="pct"/>
                  <w:vAlign w:val="center"/>
                </w:tcPr>
                <w:p w14:paraId="2C2F0D55">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0.0669</w:t>
                  </w:r>
                </w:p>
              </w:tc>
              <w:tc>
                <w:tcPr>
                  <w:tcW w:w="825" w:type="pct"/>
                  <w:vAlign w:val="center"/>
                </w:tcPr>
                <w:p w14:paraId="19DD767E">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0.4128</w:t>
                  </w:r>
                </w:p>
              </w:tc>
            </w:tr>
            <w:tr w14:paraId="2275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74" w:type="pct"/>
                  <w:vMerge w:val="continue"/>
                  <w:vAlign w:val="center"/>
                </w:tcPr>
                <w:p w14:paraId="36707EE3">
                  <w:pPr>
                    <w:pStyle w:val="18"/>
                    <w:adjustRightInd w:val="0"/>
                    <w:snapToGrid w:val="0"/>
                    <w:spacing w:line="240" w:lineRule="auto"/>
                    <w:ind w:firstLine="0" w:firstLineChars="0"/>
                    <w:jc w:val="center"/>
                    <w:rPr>
                      <w:rFonts w:hint="eastAsia"/>
                      <w:color w:val="auto"/>
                    </w:rPr>
                  </w:pPr>
                </w:p>
              </w:tc>
              <w:tc>
                <w:tcPr>
                  <w:tcW w:w="1332" w:type="pct"/>
                  <w:vAlign w:val="center"/>
                </w:tcPr>
                <w:p w14:paraId="31763751">
                  <w:pPr>
                    <w:pStyle w:val="18"/>
                    <w:adjustRightInd w:val="0"/>
                    <w:snapToGrid w:val="0"/>
                    <w:spacing w:line="240" w:lineRule="auto"/>
                    <w:ind w:left="0" w:leftChars="0" w:firstLine="0" w:firstLineChars="0"/>
                    <w:jc w:val="center"/>
                    <w:rPr>
                      <w:rFonts w:hint="eastAsia"/>
                      <w:color w:val="auto"/>
                    </w:rPr>
                  </w:pPr>
                  <w:r>
                    <w:rPr>
                      <w:rFonts w:hint="eastAsia"/>
                      <w:color w:val="auto"/>
                    </w:rPr>
                    <w:t>非甲烷总烃</w:t>
                  </w:r>
                </w:p>
              </w:tc>
              <w:tc>
                <w:tcPr>
                  <w:tcW w:w="906" w:type="pct"/>
                  <w:vAlign w:val="center"/>
                </w:tcPr>
                <w:p w14:paraId="30500928">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0.2098</w:t>
                  </w:r>
                </w:p>
              </w:tc>
              <w:tc>
                <w:tcPr>
                  <w:tcW w:w="961" w:type="pct"/>
                  <w:vAlign w:val="center"/>
                </w:tcPr>
                <w:p w14:paraId="0A0D9B75">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825" w:type="pct"/>
                  <w:vAlign w:val="center"/>
                </w:tcPr>
                <w:p w14:paraId="0F6B32F3">
                  <w:pPr>
                    <w:pStyle w:val="18"/>
                    <w:adjustRightInd w:val="0"/>
                    <w:snapToGrid w:val="0"/>
                    <w:spacing w:line="240" w:lineRule="auto"/>
                    <w:ind w:left="0" w:leftChars="0" w:firstLine="0" w:firstLineChars="0"/>
                    <w:jc w:val="center"/>
                    <w:rPr>
                      <w:rFonts w:hint="default" w:eastAsia="宋体"/>
                      <w:color w:val="auto"/>
                      <w:lang w:val="en-US" w:eastAsia="zh-CN"/>
                    </w:rPr>
                  </w:pPr>
                  <w:r>
                    <w:rPr>
                      <w:rFonts w:hint="eastAsia"/>
                      <w:color w:val="auto"/>
                      <w:lang w:val="en-US" w:eastAsia="zh-CN"/>
                    </w:rPr>
                    <w:t>0.2098</w:t>
                  </w:r>
                </w:p>
              </w:tc>
            </w:tr>
            <w:bookmarkEnd w:id="25"/>
            <w:bookmarkEnd w:id="27"/>
            <w:bookmarkEnd w:id="28"/>
          </w:tbl>
          <w:p w14:paraId="63CCDC88">
            <w:pPr>
              <w:pStyle w:val="18"/>
              <w:rPr>
                <w:b/>
                <w:bCs/>
                <w:color w:val="auto"/>
              </w:rPr>
            </w:pPr>
            <w:r>
              <w:rPr>
                <w:rFonts w:hint="eastAsia"/>
                <w:b/>
                <w:bCs/>
                <w:color w:val="auto"/>
              </w:rPr>
              <w:t>（5）</w:t>
            </w:r>
            <w:r>
              <w:rPr>
                <w:b/>
                <w:bCs/>
                <w:color w:val="auto"/>
              </w:rPr>
              <w:t>非正常工况</w:t>
            </w:r>
          </w:p>
          <w:p w14:paraId="4E881566">
            <w:pPr>
              <w:pStyle w:val="18"/>
              <w:rPr>
                <w:color w:val="auto"/>
              </w:rPr>
            </w:pPr>
            <w:bookmarkStart w:id="29" w:name="_Hlk202307507"/>
            <w:r>
              <w:rPr>
                <w:rFonts w:hint="eastAsia"/>
                <w:color w:val="auto"/>
              </w:rPr>
              <w:t>本项目非正常排放主要考虑水乳剂生产线废气（3#车间）治理措施：“</w:t>
            </w:r>
            <w:r>
              <w:rPr>
                <w:rFonts w:hint="eastAsia"/>
                <w:color w:val="auto"/>
                <w:lang w:val="en-US" w:eastAsia="zh-CN"/>
              </w:rPr>
              <w:t>活性炭吸附装置</w:t>
            </w:r>
            <w:r>
              <w:rPr>
                <w:rFonts w:hint="eastAsia"/>
                <w:color w:val="auto"/>
              </w:rPr>
              <w:t>”发生故障，除尘效率</w:t>
            </w:r>
            <w:r>
              <w:rPr>
                <w:color w:val="auto"/>
              </w:rPr>
              <w:t>0%</w:t>
            </w:r>
            <w:r>
              <w:rPr>
                <w:rFonts w:hint="eastAsia"/>
                <w:color w:val="auto"/>
              </w:rPr>
              <w:t>。</w:t>
            </w:r>
          </w:p>
          <w:p w14:paraId="3B3FDC5E">
            <w:pPr>
              <w:autoSpaceDE w:val="0"/>
              <w:autoSpaceDN w:val="0"/>
              <w:adjustRightInd w:val="0"/>
              <w:snapToGrid w:val="0"/>
              <w:jc w:val="center"/>
              <w:rPr>
                <w:b/>
                <w:bCs/>
                <w:color w:val="auto"/>
                <w:kern w:val="0"/>
                <w:szCs w:val="21"/>
              </w:rPr>
            </w:pPr>
            <w:r>
              <w:rPr>
                <w:rFonts w:hint="eastAsia"/>
                <w:b/>
                <w:bCs/>
                <w:color w:val="auto"/>
                <w:kern w:val="0"/>
                <w:szCs w:val="21"/>
              </w:rPr>
              <w:t>表</w:t>
            </w:r>
            <w:r>
              <w:rPr>
                <w:rFonts w:hint="eastAsia"/>
                <w:b/>
                <w:bCs/>
                <w:color w:val="auto"/>
                <w:kern w:val="0"/>
                <w:szCs w:val="21"/>
                <w:lang w:val="en-US" w:eastAsia="zh-CN"/>
              </w:rPr>
              <w:t>4-11</w:t>
            </w:r>
            <w:r>
              <w:rPr>
                <w:rFonts w:hint="eastAsia"/>
                <w:b/>
                <w:bCs/>
                <w:color w:val="auto"/>
                <w:kern w:val="0"/>
                <w:szCs w:val="21"/>
              </w:rPr>
              <w:t>非正常排放参数表</w:t>
            </w:r>
          </w:p>
          <w:bookmarkEnd w:id="29"/>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448"/>
              <w:gridCol w:w="1055"/>
              <w:gridCol w:w="1669"/>
              <w:gridCol w:w="1068"/>
              <w:gridCol w:w="1079"/>
            </w:tblGrid>
            <w:tr w14:paraId="1FB8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13" w:type="pct"/>
                  <w:vAlign w:val="center"/>
                </w:tcPr>
                <w:p w14:paraId="453BBFFB">
                  <w:pPr>
                    <w:pStyle w:val="18"/>
                    <w:adjustRightInd w:val="0"/>
                    <w:snapToGrid w:val="0"/>
                    <w:spacing w:line="240" w:lineRule="auto"/>
                    <w:ind w:left="0" w:leftChars="0" w:firstLine="0" w:firstLineChars="0"/>
                    <w:jc w:val="center"/>
                    <w:rPr>
                      <w:rFonts w:hint="eastAsia"/>
                      <w:color w:val="auto"/>
                    </w:rPr>
                  </w:pPr>
                  <w:r>
                    <w:rPr>
                      <w:rFonts w:hint="eastAsia"/>
                      <w:color w:val="auto"/>
                    </w:rPr>
                    <w:t>非正常排放源</w:t>
                  </w:r>
                </w:p>
              </w:tc>
              <w:tc>
                <w:tcPr>
                  <w:tcW w:w="1500" w:type="pct"/>
                  <w:vAlign w:val="center"/>
                </w:tcPr>
                <w:p w14:paraId="5FE56DDB">
                  <w:pPr>
                    <w:pStyle w:val="18"/>
                    <w:adjustRightInd w:val="0"/>
                    <w:snapToGrid w:val="0"/>
                    <w:spacing w:line="240" w:lineRule="auto"/>
                    <w:ind w:left="0" w:leftChars="0" w:firstLine="0" w:firstLineChars="0"/>
                    <w:jc w:val="center"/>
                    <w:rPr>
                      <w:rFonts w:hint="eastAsia"/>
                      <w:color w:val="auto"/>
                    </w:rPr>
                  </w:pPr>
                  <w:r>
                    <w:rPr>
                      <w:rFonts w:hint="eastAsia"/>
                      <w:color w:val="auto"/>
                    </w:rPr>
                    <w:t>非正常排放原因</w:t>
                  </w:r>
                </w:p>
              </w:tc>
              <w:tc>
                <w:tcPr>
                  <w:tcW w:w="646" w:type="pct"/>
                  <w:vAlign w:val="center"/>
                </w:tcPr>
                <w:p w14:paraId="08995271">
                  <w:pPr>
                    <w:pStyle w:val="18"/>
                    <w:adjustRightInd w:val="0"/>
                    <w:snapToGrid w:val="0"/>
                    <w:spacing w:line="240" w:lineRule="auto"/>
                    <w:ind w:left="0" w:leftChars="0" w:firstLine="0" w:firstLineChars="0"/>
                    <w:jc w:val="center"/>
                    <w:rPr>
                      <w:rFonts w:hint="eastAsia"/>
                      <w:color w:val="auto"/>
                    </w:rPr>
                  </w:pPr>
                  <w:r>
                    <w:rPr>
                      <w:rFonts w:hint="eastAsia"/>
                      <w:color w:val="auto"/>
                    </w:rPr>
                    <w:t>污染物</w:t>
                  </w:r>
                </w:p>
              </w:tc>
              <w:tc>
                <w:tcPr>
                  <w:tcW w:w="1022" w:type="pct"/>
                  <w:vAlign w:val="center"/>
                </w:tcPr>
                <w:p w14:paraId="62CE46CA">
                  <w:pPr>
                    <w:pStyle w:val="18"/>
                    <w:adjustRightInd w:val="0"/>
                    <w:snapToGrid w:val="0"/>
                    <w:spacing w:line="240" w:lineRule="auto"/>
                    <w:ind w:left="0" w:leftChars="0" w:firstLine="0" w:firstLineChars="0"/>
                    <w:jc w:val="center"/>
                    <w:rPr>
                      <w:rFonts w:hint="eastAsia"/>
                      <w:color w:val="auto"/>
                    </w:rPr>
                  </w:pPr>
                  <w:r>
                    <w:rPr>
                      <w:rFonts w:hint="eastAsia"/>
                      <w:color w:val="auto"/>
                    </w:rPr>
                    <w:t>非正常排放速率/（kg/h）</w:t>
                  </w:r>
                </w:p>
              </w:tc>
              <w:tc>
                <w:tcPr>
                  <w:tcW w:w="654" w:type="pct"/>
                  <w:vAlign w:val="center"/>
                </w:tcPr>
                <w:p w14:paraId="6F66FB68">
                  <w:pPr>
                    <w:pStyle w:val="18"/>
                    <w:adjustRightInd w:val="0"/>
                    <w:snapToGrid w:val="0"/>
                    <w:spacing w:line="240" w:lineRule="auto"/>
                    <w:ind w:left="0" w:leftChars="0" w:firstLine="0" w:firstLineChars="0"/>
                    <w:jc w:val="center"/>
                    <w:rPr>
                      <w:rFonts w:hint="eastAsia"/>
                      <w:color w:val="auto"/>
                    </w:rPr>
                  </w:pPr>
                  <w:r>
                    <w:rPr>
                      <w:rFonts w:hint="eastAsia"/>
                      <w:color w:val="auto"/>
                    </w:rPr>
                    <w:t>单次持续时间/h</w:t>
                  </w:r>
                </w:p>
              </w:tc>
              <w:tc>
                <w:tcPr>
                  <w:tcW w:w="661" w:type="pct"/>
                  <w:vAlign w:val="center"/>
                </w:tcPr>
                <w:p w14:paraId="6218599E">
                  <w:pPr>
                    <w:pStyle w:val="18"/>
                    <w:adjustRightInd w:val="0"/>
                    <w:snapToGrid w:val="0"/>
                    <w:spacing w:line="240" w:lineRule="auto"/>
                    <w:ind w:left="0" w:leftChars="0" w:firstLine="0" w:firstLineChars="0"/>
                    <w:jc w:val="center"/>
                    <w:rPr>
                      <w:rFonts w:hint="eastAsia"/>
                      <w:color w:val="auto"/>
                    </w:rPr>
                  </w:pPr>
                  <w:r>
                    <w:rPr>
                      <w:rFonts w:hint="eastAsia"/>
                      <w:color w:val="auto"/>
                    </w:rPr>
                    <w:t>年发生频次/次</w:t>
                  </w:r>
                </w:p>
              </w:tc>
            </w:tr>
            <w:tr w14:paraId="309C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vAlign w:val="center"/>
                </w:tcPr>
                <w:p w14:paraId="5DE64B39">
                  <w:pPr>
                    <w:pStyle w:val="18"/>
                    <w:adjustRightInd w:val="0"/>
                    <w:snapToGrid w:val="0"/>
                    <w:spacing w:line="240" w:lineRule="auto"/>
                    <w:ind w:left="0" w:leftChars="0" w:firstLine="0" w:firstLineChars="0"/>
                    <w:jc w:val="center"/>
                    <w:rPr>
                      <w:rFonts w:hint="default"/>
                      <w:color w:val="auto"/>
                      <w:lang w:val="en-US" w:eastAsia="zh-CN"/>
                    </w:rPr>
                  </w:pPr>
                  <w:r>
                    <w:rPr>
                      <w:rFonts w:hint="eastAsia"/>
                      <w:color w:val="auto"/>
                      <w:lang w:val="en-US" w:eastAsia="zh-CN"/>
                    </w:rPr>
                    <w:t>DA002</w:t>
                  </w:r>
                </w:p>
              </w:tc>
              <w:tc>
                <w:tcPr>
                  <w:tcW w:w="1500" w:type="pct"/>
                  <w:vAlign w:val="center"/>
                </w:tcPr>
                <w:p w14:paraId="17331F98">
                  <w:pPr>
                    <w:pStyle w:val="18"/>
                    <w:adjustRightInd w:val="0"/>
                    <w:snapToGrid w:val="0"/>
                    <w:spacing w:line="240" w:lineRule="auto"/>
                    <w:ind w:left="0" w:leftChars="0" w:firstLine="0" w:firstLineChars="0"/>
                    <w:jc w:val="center"/>
                    <w:rPr>
                      <w:rFonts w:hint="default"/>
                      <w:color w:val="auto"/>
                      <w:lang w:val="en-US" w:eastAsia="zh-CN"/>
                    </w:rPr>
                  </w:pPr>
                  <w:r>
                    <w:rPr>
                      <w:rFonts w:hint="eastAsia"/>
                      <w:color w:val="auto"/>
                    </w:rPr>
                    <w:t>二级活性炭</w:t>
                  </w:r>
                  <w:r>
                    <w:rPr>
                      <w:rFonts w:hint="eastAsia"/>
                      <w:color w:val="auto"/>
                      <w:lang w:val="en-US" w:eastAsia="zh-CN"/>
                    </w:rPr>
                    <w:t>更换不及时，造成污染物事故排放</w:t>
                  </w:r>
                </w:p>
              </w:tc>
              <w:tc>
                <w:tcPr>
                  <w:tcW w:w="646" w:type="pct"/>
                  <w:vAlign w:val="center"/>
                </w:tcPr>
                <w:p w14:paraId="310790D9">
                  <w:pPr>
                    <w:pStyle w:val="18"/>
                    <w:adjustRightInd w:val="0"/>
                    <w:snapToGrid w:val="0"/>
                    <w:spacing w:line="240" w:lineRule="auto"/>
                    <w:ind w:left="0" w:leftChars="0" w:firstLine="0" w:firstLineChars="0"/>
                    <w:jc w:val="center"/>
                    <w:rPr>
                      <w:rFonts w:hint="eastAsia"/>
                      <w:color w:val="auto"/>
                    </w:rPr>
                  </w:pPr>
                  <w:r>
                    <w:rPr>
                      <w:rFonts w:hint="eastAsia"/>
                      <w:color w:val="auto"/>
                    </w:rPr>
                    <w:t>非甲烷总烃</w:t>
                  </w:r>
                </w:p>
              </w:tc>
              <w:tc>
                <w:tcPr>
                  <w:tcW w:w="1022" w:type="pct"/>
                  <w:vAlign w:val="center"/>
                </w:tcPr>
                <w:p w14:paraId="7F28CD0A">
                  <w:pPr>
                    <w:pStyle w:val="18"/>
                    <w:adjustRightInd w:val="0"/>
                    <w:snapToGrid w:val="0"/>
                    <w:spacing w:line="240" w:lineRule="auto"/>
                    <w:ind w:left="0" w:leftChars="0" w:firstLine="0" w:firstLineChars="0"/>
                    <w:jc w:val="center"/>
                    <w:rPr>
                      <w:rFonts w:hint="eastAsia"/>
                      <w:color w:val="auto"/>
                    </w:rPr>
                  </w:pPr>
                  <w:r>
                    <w:rPr>
                      <w:rFonts w:hint="eastAsia"/>
                      <w:color w:val="auto"/>
                      <w:lang w:val="en-US" w:eastAsia="zh-CN"/>
                    </w:rPr>
                    <w:t>0.5828</w:t>
                  </w:r>
                </w:p>
              </w:tc>
              <w:tc>
                <w:tcPr>
                  <w:tcW w:w="654" w:type="pct"/>
                  <w:vAlign w:val="center"/>
                </w:tcPr>
                <w:p w14:paraId="0103F05E">
                  <w:pPr>
                    <w:pStyle w:val="18"/>
                    <w:adjustRightInd w:val="0"/>
                    <w:snapToGrid w:val="0"/>
                    <w:spacing w:line="240" w:lineRule="auto"/>
                    <w:ind w:left="0" w:leftChars="0" w:firstLine="0" w:firstLineChars="0"/>
                    <w:jc w:val="center"/>
                    <w:rPr>
                      <w:rFonts w:hint="eastAsia"/>
                      <w:color w:val="auto"/>
                    </w:rPr>
                  </w:pPr>
                  <w:r>
                    <w:rPr>
                      <w:rFonts w:hint="eastAsia"/>
                      <w:color w:val="auto"/>
                    </w:rPr>
                    <w:t>1</w:t>
                  </w:r>
                </w:p>
              </w:tc>
              <w:tc>
                <w:tcPr>
                  <w:tcW w:w="661" w:type="pct"/>
                  <w:vAlign w:val="center"/>
                </w:tcPr>
                <w:p w14:paraId="66A1DF9B">
                  <w:pPr>
                    <w:pStyle w:val="18"/>
                    <w:adjustRightInd w:val="0"/>
                    <w:snapToGrid w:val="0"/>
                    <w:spacing w:line="240" w:lineRule="auto"/>
                    <w:ind w:left="0" w:leftChars="0" w:firstLine="0" w:firstLineChars="0"/>
                    <w:jc w:val="center"/>
                    <w:rPr>
                      <w:rFonts w:hint="eastAsia"/>
                      <w:color w:val="auto"/>
                    </w:rPr>
                  </w:pPr>
                  <w:r>
                    <w:rPr>
                      <w:rFonts w:hint="eastAsia"/>
                      <w:color w:val="auto"/>
                    </w:rPr>
                    <w:t>0.1</w:t>
                  </w:r>
                </w:p>
              </w:tc>
            </w:tr>
          </w:tbl>
          <w:p w14:paraId="46334D8E">
            <w:pPr>
              <w:pStyle w:val="18"/>
              <w:rPr>
                <w:rFonts w:hint="eastAsia" w:eastAsia="宋体"/>
                <w:color w:val="auto"/>
                <w:lang w:eastAsia="zh-CN"/>
              </w:rPr>
            </w:pPr>
            <w:r>
              <w:rPr>
                <w:rFonts w:hint="eastAsia"/>
                <w:color w:val="auto"/>
              </w:rPr>
              <w:t>为杜绝废气非正常排放，应采取以下措施确保废气达标排放：①安排专人负责环保设备的日常维护和管理，每隔固定时间检查、汇报情况，及时发现废气处理设备的隐患，确保废气处理系统正常运行；②建立健全的环保管理机构，对环保管理人员和技术人员进行岗位培训，委托具有专业资质的环境检测单位对项目排放的各类污染物进行定期检测；③应定期维护</w:t>
            </w:r>
            <w:r>
              <w:rPr>
                <w:rFonts w:hint="eastAsia"/>
                <w:color w:val="auto"/>
                <w:lang w:eastAsia="zh-CN"/>
              </w:rPr>
              <w:t>、</w:t>
            </w:r>
            <w:r>
              <w:rPr>
                <w:rFonts w:hint="eastAsia"/>
                <w:color w:val="auto"/>
                <w:lang w:val="en-US" w:eastAsia="zh-CN"/>
              </w:rPr>
              <w:t>定期更换活性炭</w:t>
            </w:r>
            <w:r>
              <w:rPr>
                <w:rFonts w:hint="eastAsia"/>
                <w:color w:val="auto"/>
              </w:rPr>
              <w:t>、检修废气净化装置，以保持废气处理装置的净化能力和容量</w:t>
            </w:r>
            <w:r>
              <w:rPr>
                <w:rFonts w:hint="eastAsia"/>
                <w:color w:val="auto"/>
                <w:lang w:eastAsia="zh-CN"/>
              </w:rPr>
              <w:t>。</w:t>
            </w:r>
          </w:p>
          <w:p w14:paraId="364ACEEA">
            <w:pPr>
              <w:pStyle w:val="18"/>
              <w:rPr>
                <w:color w:val="auto"/>
              </w:rPr>
            </w:pPr>
            <w:r>
              <w:rPr>
                <w:rFonts w:hint="eastAsia"/>
                <w:color w:val="auto"/>
              </w:rPr>
              <w:t>（</w:t>
            </w:r>
            <w:r>
              <w:rPr>
                <w:rFonts w:hint="eastAsia"/>
                <w:color w:val="auto"/>
                <w:lang w:val="en-US" w:eastAsia="zh-CN"/>
              </w:rPr>
              <w:t>6</w:t>
            </w:r>
            <w:r>
              <w:rPr>
                <w:rFonts w:hint="eastAsia"/>
                <w:color w:val="auto"/>
              </w:rPr>
              <w:t>）</w:t>
            </w:r>
            <w:r>
              <w:rPr>
                <w:color w:val="auto"/>
              </w:rPr>
              <w:t>大气污染源监测</w:t>
            </w:r>
          </w:p>
          <w:p w14:paraId="6F6B2A34">
            <w:pPr>
              <w:pStyle w:val="18"/>
              <w:rPr>
                <w:color w:val="auto"/>
              </w:rPr>
            </w:pPr>
            <w:r>
              <w:rPr>
                <w:rFonts w:hint="eastAsia"/>
                <w:color w:val="auto"/>
              </w:rPr>
              <w:t>根据《排污单位自行监测技术指南总则》（HJ819-2017）、《排污许可证申请与核发技术规范农药制造工业》（HJ862-2017）</w:t>
            </w:r>
            <w:r>
              <w:rPr>
                <w:rFonts w:hint="eastAsia"/>
                <w:color w:val="auto"/>
                <w:lang w:val="en-US" w:eastAsia="zh-CN"/>
              </w:rPr>
              <w:t>等文件中</w:t>
            </w:r>
            <w:r>
              <w:rPr>
                <w:rFonts w:hint="eastAsia"/>
                <w:color w:val="auto"/>
              </w:rPr>
              <w:t>相关内容，本项目监测计划详见下表：</w:t>
            </w:r>
          </w:p>
          <w:p w14:paraId="55E326F9">
            <w:pPr>
              <w:autoSpaceDE w:val="0"/>
              <w:autoSpaceDN w:val="0"/>
              <w:adjustRightInd w:val="0"/>
              <w:snapToGrid w:val="0"/>
              <w:jc w:val="center"/>
              <w:rPr>
                <w:b/>
                <w:bCs/>
                <w:color w:val="auto"/>
                <w:kern w:val="0"/>
                <w:szCs w:val="21"/>
              </w:rPr>
            </w:pPr>
            <w:r>
              <w:rPr>
                <w:b/>
                <w:bCs/>
                <w:color w:val="auto"/>
                <w:kern w:val="0"/>
                <w:szCs w:val="21"/>
              </w:rPr>
              <w:t>表4-1</w:t>
            </w:r>
            <w:r>
              <w:rPr>
                <w:rFonts w:hint="eastAsia"/>
                <w:b/>
                <w:bCs/>
                <w:color w:val="auto"/>
                <w:kern w:val="0"/>
                <w:szCs w:val="21"/>
                <w:lang w:val="en-US" w:eastAsia="zh-CN"/>
              </w:rPr>
              <w:t>2</w:t>
            </w:r>
            <w:r>
              <w:rPr>
                <w:b/>
                <w:bCs/>
                <w:color w:val="auto"/>
                <w:kern w:val="0"/>
                <w:szCs w:val="21"/>
              </w:rPr>
              <w:t>本项目大气污染源监测计划表</w:t>
            </w:r>
          </w:p>
          <w:tbl>
            <w:tblPr>
              <w:tblStyle w:val="1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334"/>
              <w:gridCol w:w="1271"/>
              <w:gridCol w:w="1136"/>
              <w:gridCol w:w="3548"/>
            </w:tblGrid>
            <w:tr w14:paraId="58A7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6" w:type="dxa"/>
                  <w:vAlign w:val="center"/>
                </w:tcPr>
                <w:p w14:paraId="287579F5">
                  <w:pPr>
                    <w:pStyle w:val="18"/>
                    <w:adjustRightInd w:val="0"/>
                    <w:snapToGrid w:val="0"/>
                    <w:spacing w:line="240" w:lineRule="auto"/>
                    <w:ind w:firstLine="0" w:firstLineChars="0"/>
                    <w:jc w:val="center"/>
                    <w:rPr>
                      <w:color w:val="auto"/>
                    </w:rPr>
                  </w:pPr>
                  <w:r>
                    <w:rPr>
                      <w:color w:val="auto"/>
                    </w:rPr>
                    <w:t>排放形式</w:t>
                  </w:r>
                </w:p>
              </w:tc>
              <w:tc>
                <w:tcPr>
                  <w:tcW w:w="1334" w:type="dxa"/>
                  <w:vAlign w:val="center"/>
                </w:tcPr>
                <w:p w14:paraId="3C02DC2F">
                  <w:pPr>
                    <w:pStyle w:val="18"/>
                    <w:adjustRightInd w:val="0"/>
                    <w:snapToGrid w:val="0"/>
                    <w:spacing w:line="240" w:lineRule="auto"/>
                    <w:ind w:firstLine="0" w:firstLineChars="0"/>
                    <w:jc w:val="center"/>
                    <w:rPr>
                      <w:color w:val="auto"/>
                    </w:rPr>
                  </w:pPr>
                  <w:r>
                    <w:rPr>
                      <w:color w:val="auto"/>
                    </w:rPr>
                    <w:t>监测点位</w:t>
                  </w:r>
                </w:p>
              </w:tc>
              <w:tc>
                <w:tcPr>
                  <w:tcW w:w="1271" w:type="dxa"/>
                  <w:vAlign w:val="center"/>
                </w:tcPr>
                <w:p w14:paraId="6FF2B1F3">
                  <w:pPr>
                    <w:pStyle w:val="18"/>
                    <w:adjustRightInd w:val="0"/>
                    <w:snapToGrid w:val="0"/>
                    <w:spacing w:line="240" w:lineRule="auto"/>
                    <w:ind w:firstLine="0" w:firstLineChars="0"/>
                    <w:jc w:val="center"/>
                    <w:rPr>
                      <w:color w:val="auto"/>
                    </w:rPr>
                  </w:pPr>
                  <w:r>
                    <w:rPr>
                      <w:color w:val="auto"/>
                    </w:rPr>
                    <w:t>监测指标</w:t>
                  </w:r>
                </w:p>
              </w:tc>
              <w:tc>
                <w:tcPr>
                  <w:tcW w:w="1136" w:type="dxa"/>
                  <w:vAlign w:val="center"/>
                </w:tcPr>
                <w:p w14:paraId="492061AA">
                  <w:pPr>
                    <w:pStyle w:val="18"/>
                    <w:adjustRightInd w:val="0"/>
                    <w:snapToGrid w:val="0"/>
                    <w:spacing w:line="240" w:lineRule="auto"/>
                    <w:ind w:firstLine="0" w:firstLineChars="0"/>
                    <w:jc w:val="center"/>
                    <w:rPr>
                      <w:color w:val="auto"/>
                    </w:rPr>
                  </w:pPr>
                  <w:r>
                    <w:rPr>
                      <w:color w:val="auto"/>
                    </w:rPr>
                    <w:t>监测频次</w:t>
                  </w:r>
                </w:p>
              </w:tc>
              <w:tc>
                <w:tcPr>
                  <w:tcW w:w="3548" w:type="dxa"/>
                  <w:vAlign w:val="center"/>
                </w:tcPr>
                <w:p w14:paraId="32F94D68">
                  <w:pPr>
                    <w:pStyle w:val="18"/>
                    <w:adjustRightInd w:val="0"/>
                    <w:snapToGrid w:val="0"/>
                    <w:spacing w:line="240" w:lineRule="auto"/>
                    <w:ind w:firstLine="0" w:firstLineChars="0"/>
                    <w:jc w:val="center"/>
                    <w:rPr>
                      <w:color w:val="auto"/>
                    </w:rPr>
                  </w:pPr>
                  <w:r>
                    <w:rPr>
                      <w:color w:val="auto"/>
                    </w:rPr>
                    <w:t>执行标准</w:t>
                  </w:r>
                </w:p>
              </w:tc>
            </w:tr>
            <w:tr w14:paraId="725E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54AC8DCC">
                  <w:pPr>
                    <w:pStyle w:val="18"/>
                    <w:adjustRightInd w:val="0"/>
                    <w:snapToGrid w:val="0"/>
                    <w:spacing w:line="240" w:lineRule="auto"/>
                    <w:ind w:firstLine="0" w:firstLineChars="0"/>
                    <w:jc w:val="center"/>
                    <w:rPr>
                      <w:color w:val="auto"/>
                    </w:rPr>
                  </w:pPr>
                  <w:r>
                    <w:rPr>
                      <w:rFonts w:hint="eastAsia"/>
                      <w:color w:val="auto"/>
                    </w:rPr>
                    <w:t>有组织</w:t>
                  </w:r>
                </w:p>
              </w:tc>
              <w:tc>
                <w:tcPr>
                  <w:tcW w:w="1334" w:type="dxa"/>
                  <w:vAlign w:val="center"/>
                </w:tcPr>
                <w:p w14:paraId="53681947">
                  <w:pPr>
                    <w:pStyle w:val="18"/>
                    <w:adjustRightInd w:val="0"/>
                    <w:snapToGrid w:val="0"/>
                    <w:spacing w:line="240" w:lineRule="auto"/>
                    <w:ind w:firstLine="0" w:firstLineChars="0"/>
                    <w:jc w:val="center"/>
                    <w:rPr>
                      <w:color w:val="auto"/>
                    </w:rPr>
                  </w:pPr>
                  <w:r>
                    <w:rPr>
                      <w:color w:val="auto"/>
                    </w:rPr>
                    <w:t>DA001</w:t>
                  </w:r>
                </w:p>
              </w:tc>
              <w:tc>
                <w:tcPr>
                  <w:tcW w:w="1271" w:type="dxa"/>
                  <w:vAlign w:val="center"/>
                </w:tcPr>
                <w:p w14:paraId="1F4116AC">
                  <w:pPr>
                    <w:pStyle w:val="18"/>
                    <w:adjustRightInd w:val="0"/>
                    <w:snapToGrid w:val="0"/>
                    <w:spacing w:line="240" w:lineRule="auto"/>
                    <w:ind w:firstLine="0" w:firstLineChars="0"/>
                    <w:jc w:val="center"/>
                    <w:rPr>
                      <w:rFonts w:hint="eastAsia" w:eastAsia="宋体"/>
                      <w:color w:val="auto"/>
                      <w:lang w:eastAsia="zh-CN"/>
                    </w:rPr>
                  </w:pPr>
                  <w:r>
                    <w:rPr>
                      <w:rFonts w:hint="eastAsia"/>
                      <w:color w:val="auto"/>
                      <w:lang w:val="en-US" w:eastAsia="zh-CN"/>
                    </w:rPr>
                    <w:t>颗粒物</w:t>
                  </w:r>
                </w:p>
              </w:tc>
              <w:tc>
                <w:tcPr>
                  <w:tcW w:w="1136" w:type="dxa"/>
                  <w:vAlign w:val="center"/>
                </w:tcPr>
                <w:p w14:paraId="2F57BDE5">
                  <w:pPr>
                    <w:pStyle w:val="18"/>
                    <w:adjustRightInd w:val="0"/>
                    <w:snapToGrid w:val="0"/>
                    <w:spacing w:line="240" w:lineRule="auto"/>
                    <w:ind w:firstLine="0" w:firstLineChars="0"/>
                    <w:jc w:val="center"/>
                    <w:rPr>
                      <w:rFonts w:hint="eastAsia" w:eastAsia="宋体"/>
                      <w:color w:val="auto"/>
                      <w:lang w:val="en-US" w:eastAsia="zh-CN"/>
                    </w:rPr>
                  </w:pPr>
                  <w:r>
                    <w:rPr>
                      <w:color w:val="auto"/>
                    </w:rPr>
                    <w:t>1次/</w:t>
                  </w:r>
                  <w:r>
                    <w:rPr>
                      <w:rFonts w:hint="eastAsia"/>
                      <w:color w:val="auto"/>
                      <w:lang w:val="en-US" w:eastAsia="zh-CN"/>
                    </w:rPr>
                    <w:t>季度</w:t>
                  </w:r>
                </w:p>
              </w:tc>
              <w:tc>
                <w:tcPr>
                  <w:tcW w:w="3548" w:type="dxa"/>
                  <w:vMerge w:val="restart"/>
                  <w:vAlign w:val="center"/>
                </w:tcPr>
                <w:p w14:paraId="5138C558">
                  <w:pPr>
                    <w:pStyle w:val="18"/>
                    <w:adjustRightInd w:val="0"/>
                    <w:snapToGrid w:val="0"/>
                    <w:spacing w:line="240" w:lineRule="auto"/>
                    <w:ind w:firstLine="0" w:firstLineChars="0"/>
                    <w:jc w:val="center"/>
                    <w:rPr>
                      <w:color w:val="auto"/>
                    </w:rPr>
                  </w:pPr>
                  <w:r>
                    <w:rPr>
                      <w:rFonts w:hint="eastAsia"/>
                      <w:color w:val="auto"/>
                    </w:rPr>
                    <w:t>《农药制造工业大气污染物排放标准》（GB39727-2020）</w:t>
                  </w:r>
                </w:p>
              </w:tc>
            </w:tr>
            <w:tr w14:paraId="0F96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66369F82">
                  <w:pPr>
                    <w:pStyle w:val="18"/>
                    <w:adjustRightInd w:val="0"/>
                    <w:snapToGrid w:val="0"/>
                    <w:spacing w:line="240" w:lineRule="auto"/>
                    <w:ind w:firstLine="0" w:firstLineChars="0"/>
                    <w:jc w:val="center"/>
                    <w:rPr>
                      <w:rFonts w:hint="eastAsia"/>
                      <w:color w:val="auto"/>
                    </w:rPr>
                  </w:pPr>
                </w:p>
              </w:tc>
              <w:tc>
                <w:tcPr>
                  <w:tcW w:w="1334" w:type="dxa"/>
                  <w:vAlign w:val="center"/>
                </w:tcPr>
                <w:p w14:paraId="6E393EB5">
                  <w:pPr>
                    <w:pStyle w:val="18"/>
                    <w:adjustRightInd w:val="0"/>
                    <w:snapToGrid w:val="0"/>
                    <w:spacing w:line="240" w:lineRule="auto"/>
                    <w:ind w:firstLine="0" w:firstLineChars="0"/>
                    <w:jc w:val="center"/>
                    <w:rPr>
                      <w:rFonts w:hint="eastAsia" w:eastAsia="宋体"/>
                      <w:color w:val="auto"/>
                      <w:lang w:eastAsia="zh-CN"/>
                    </w:rPr>
                  </w:pPr>
                  <w:r>
                    <w:rPr>
                      <w:color w:val="auto"/>
                    </w:rPr>
                    <w:t>DA00</w:t>
                  </w:r>
                  <w:r>
                    <w:rPr>
                      <w:rFonts w:hint="eastAsia"/>
                      <w:color w:val="auto"/>
                      <w:lang w:val="en-US" w:eastAsia="zh-CN"/>
                    </w:rPr>
                    <w:t>2</w:t>
                  </w:r>
                </w:p>
              </w:tc>
              <w:tc>
                <w:tcPr>
                  <w:tcW w:w="1271" w:type="dxa"/>
                  <w:vAlign w:val="center"/>
                </w:tcPr>
                <w:p w14:paraId="1B1EE51A">
                  <w:pPr>
                    <w:pStyle w:val="18"/>
                    <w:adjustRightInd w:val="0"/>
                    <w:snapToGrid w:val="0"/>
                    <w:spacing w:line="240" w:lineRule="auto"/>
                    <w:ind w:firstLine="0" w:firstLineChars="0"/>
                    <w:jc w:val="center"/>
                    <w:rPr>
                      <w:rFonts w:hint="eastAsia"/>
                      <w:color w:val="auto"/>
                      <w:lang w:val="en-US" w:eastAsia="zh-CN"/>
                    </w:rPr>
                  </w:pPr>
                  <w:r>
                    <w:rPr>
                      <w:rFonts w:hint="eastAsia"/>
                      <w:color w:val="auto"/>
                    </w:rPr>
                    <w:t>非甲烷总烃</w:t>
                  </w:r>
                </w:p>
              </w:tc>
              <w:tc>
                <w:tcPr>
                  <w:tcW w:w="1136" w:type="dxa"/>
                  <w:vAlign w:val="center"/>
                </w:tcPr>
                <w:p w14:paraId="18F6CD86">
                  <w:pPr>
                    <w:pStyle w:val="18"/>
                    <w:adjustRightInd w:val="0"/>
                    <w:snapToGrid w:val="0"/>
                    <w:spacing w:line="240" w:lineRule="auto"/>
                    <w:ind w:firstLine="0" w:firstLineChars="0"/>
                    <w:jc w:val="center"/>
                    <w:rPr>
                      <w:color w:val="auto"/>
                    </w:rPr>
                  </w:pPr>
                  <w:r>
                    <w:rPr>
                      <w:color w:val="auto"/>
                    </w:rPr>
                    <w:t>1次/</w:t>
                  </w:r>
                  <w:r>
                    <w:rPr>
                      <w:rFonts w:hint="eastAsia"/>
                      <w:color w:val="auto"/>
                      <w:lang w:val="en-US" w:eastAsia="zh-CN"/>
                    </w:rPr>
                    <w:t>季度</w:t>
                  </w:r>
                </w:p>
              </w:tc>
              <w:tc>
                <w:tcPr>
                  <w:tcW w:w="3548" w:type="dxa"/>
                  <w:vMerge w:val="continue"/>
                  <w:vAlign w:val="center"/>
                </w:tcPr>
                <w:p w14:paraId="58256742">
                  <w:pPr>
                    <w:pStyle w:val="18"/>
                    <w:adjustRightInd w:val="0"/>
                    <w:snapToGrid w:val="0"/>
                    <w:spacing w:line="240" w:lineRule="auto"/>
                    <w:ind w:firstLine="0" w:firstLineChars="0"/>
                    <w:jc w:val="center"/>
                    <w:rPr>
                      <w:rFonts w:hint="eastAsia"/>
                      <w:color w:val="auto"/>
                    </w:rPr>
                  </w:pPr>
                </w:p>
              </w:tc>
            </w:tr>
            <w:tr w14:paraId="6DE7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7F90AB6D">
                  <w:pPr>
                    <w:pStyle w:val="18"/>
                    <w:adjustRightInd w:val="0"/>
                    <w:snapToGrid w:val="0"/>
                    <w:spacing w:line="240" w:lineRule="auto"/>
                    <w:ind w:firstLine="0" w:firstLineChars="0"/>
                    <w:jc w:val="center"/>
                    <w:rPr>
                      <w:color w:val="auto"/>
                    </w:rPr>
                  </w:pPr>
                  <w:r>
                    <w:rPr>
                      <w:color w:val="auto"/>
                    </w:rPr>
                    <w:t>无组织</w:t>
                  </w:r>
                </w:p>
              </w:tc>
              <w:tc>
                <w:tcPr>
                  <w:tcW w:w="1334" w:type="dxa"/>
                  <w:vMerge w:val="restart"/>
                  <w:vAlign w:val="center"/>
                </w:tcPr>
                <w:p w14:paraId="658FAF8C">
                  <w:pPr>
                    <w:pStyle w:val="18"/>
                    <w:adjustRightInd w:val="0"/>
                    <w:snapToGrid w:val="0"/>
                    <w:spacing w:line="240" w:lineRule="auto"/>
                    <w:ind w:firstLine="0" w:firstLineChars="0"/>
                    <w:jc w:val="center"/>
                    <w:rPr>
                      <w:color w:val="auto"/>
                    </w:rPr>
                  </w:pPr>
                  <w:r>
                    <w:rPr>
                      <w:rFonts w:hint="eastAsia"/>
                      <w:color w:val="auto"/>
                    </w:rPr>
                    <w:t>厂界外（厂界上风向1个点、下风向3个点）</w:t>
                  </w:r>
                </w:p>
              </w:tc>
              <w:tc>
                <w:tcPr>
                  <w:tcW w:w="1271" w:type="dxa"/>
                  <w:vAlign w:val="center"/>
                </w:tcPr>
                <w:p w14:paraId="114E5F34">
                  <w:pPr>
                    <w:pStyle w:val="18"/>
                    <w:adjustRightInd w:val="0"/>
                    <w:snapToGrid w:val="0"/>
                    <w:spacing w:line="240" w:lineRule="auto"/>
                    <w:ind w:left="0" w:leftChars="0" w:firstLine="0" w:firstLineChars="0"/>
                    <w:jc w:val="center"/>
                    <w:rPr>
                      <w:color w:val="auto"/>
                    </w:rPr>
                  </w:pPr>
                  <w:r>
                    <w:rPr>
                      <w:rFonts w:hint="eastAsia"/>
                      <w:color w:val="auto"/>
                      <w:lang w:val="en-US" w:eastAsia="zh-CN"/>
                    </w:rPr>
                    <w:t>颗粒物</w:t>
                  </w:r>
                </w:p>
              </w:tc>
              <w:tc>
                <w:tcPr>
                  <w:tcW w:w="1136" w:type="dxa"/>
                  <w:vAlign w:val="center"/>
                </w:tcPr>
                <w:p w14:paraId="7E319D8B">
                  <w:pPr>
                    <w:pStyle w:val="18"/>
                    <w:adjustRightInd w:val="0"/>
                    <w:snapToGrid w:val="0"/>
                    <w:spacing w:line="240" w:lineRule="auto"/>
                    <w:ind w:firstLine="0" w:firstLineChars="0"/>
                    <w:jc w:val="center"/>
                    <w:rPr>
                      <w:color w:val="auto"/>
                    </w:rPr>
                  </w:pPr>
                  <w:r>
                    <w:rPr>
                      <w:color w:val="auto"/>
                    </w:rPr>
                    <w:t>1次/</w:t>
                  </w:r>
                  <w:r>
                    <w:rPr>
                      <w:rFonts w:hint="eastAsia"/>
                      <w:color w:val="auto"/>
                    </w:rPr>
                    <w:t>半</w:t>
                  </w:r>
                  <w:r>
                    <w:rPr>
                      <w:color w:val="auto"/>
                    </w:rPr>
                    <w:t>年</w:t>
                  </w:r>
                </w:p>
              </w:tc>
              <w:tc>
                <w:tcPr>
                  <w:tcW w:w="3548" w:type="dxa"/>
                  <w:vMerge w:val="restart"/>
                  <w:vAlign w:val="center"/>
                </w:tcPr>
                <w:p w14:paraId="293E6A44">
                  <w:pPr>
                    <w:pStyle w:val="18"/>
                    <w:adjustRightInd w:val="0"/>
                    <w:snapToGrid w:val="0"/>
                    <w:spacing w:line="240" w:lineRule="auto"/>
                    <w:ind w:firstLine="0" w:firstLineChars="0"/>
                    <w:jc w:val="center"/>
                    <w:rPr>
                      <w:color w:val="auto"/>
                    </w:rPr>
                  </w:pPr>
                  <w:r>
                    <w:rPr>
                      <w:rFonts w:hint="eastAsia"/>
                      <w:color w:val="auto"/>
                    </w:rPr>
                    <w:t>《大气污染物综合排放标准》（GB16297-1996）表2排放要求</w:t>
                  </w:r>
                  <w:r>
                    <w:rPr>
                      <w:rFonts w:hint="eastAsia"/>
                      <w:color w:val="auto"/>
                      <w:lang w:eastAsia="zh-CN"/>
                    </w:rPr>
                    <w:t>、《农药制造工业大气污染物排放标准》（GB39727-2020）</w:t>
                  </w:r>
                  <w:r>
                    <w:rPr>
                      <w:rFonts w:hint="eastAsia"/>
                      <w:color w:val="auto"/>
                    </w:rPr>
                    <w:t>、《恶臭污染物排放标准》（GB14554-93）</w:t>
                  </w:r>
                </w:p>
              </w:tc>
            </w:tr>
            <w:tr w14:paraId="16A3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318E0511">
                  <w:pPr>
                    <w:pStyle w:val="18"/>
                    <w:adjustRightInd w:val="0"/>
                    <w:snapToGrid w:val="0"/>
                    <w:spacing w:line="240" w:lineRule="auto"/>
                    <w:ind w:firstLine="0" w:firstLineChars="0"/>
                    <w:jc w:val="center"/>
                    <w:rPr>
                      <w:color w:val="auto"/>
                    </w:rPr>
                  </w:pPr>
                </w:p>
              </w:tc>
              <w:tc>
                <w:tcPr>
                  <w:tcW w:w="1334" w:type="dxa"/>
                  <w:vMerge w:val="continue"/>
                  <w:vAlign w:val="center"/>
                </w:tcPr>
                <w:p w14:paraId="49CF17C4">
                  <w:pPr>
                    <w:pStyle w:val="18"/>
                    <w:adjustRightInd w:val="0"/>
                    <w:snapToGrid w:val="0"/>
                    <w:spacing w:line="240" w:lineRule="auto"/>
                    <w:ind w:firstLine="0" w:firstLineChars="0"/>
                    <w:jc w:val="center"/>
                    <w:rPr>
                      <w:color w:val="auto"/>
                    </w:rPr>
                  </w:pPr>
                </w:p>
              </w:tc>
              <w:tc>
                <w:tcPr>
                  <w:tcW w:w="1271" w:type="dxa"/>
                  <w:vAlign w:val="center"/>
                </w:tcPr>
                <w:p w14:paraId="62E1C564">
                  <w:pPr>
                    <w:pStyle w:val="18"/>
                    <w:adjustRightInd w:val="0"/>
                    <w:snapToGrid w:val="0"/>
                    <w:spacing w:line="240" w:lineRule="auto"/>
                    <w:ind w:left="0" w:leftChars="0" w:firstLine="0" w:firstLineChars="0"/>
                    <w:jc w:val="center"/>
                    <w:rPr>
                      <w:color w:val="auto"/>
                    </w:rPr>
                  </w:pPr>
                  <w:r>
                    <w:rPr>
                      <w:rFonts w:hint="eastAsia"/>
                      <w:color w:val="auto"/>
                    </w:rPr>
                    <w:t>非甲烷总烃</w:t>
                  </w:r>
                </w:p>
              </w:tc>
              <w:tc>
                <w:tcPr>
                  <w:tcW w:w="1136" w:type="dxa"/>
                  <w:vAlign w:val="center"/>
                </w:tcPr>
                <w:p w14:paraId="07C08269">
                  <w:pPr>
                    <w:pStyle w:val="18"/>
                    <w:adjustRightInd w:val="0"/>
                    <w:snapToGrid w:val="0"/>
                    <w:spacing w:line="240" w:lineRule="auto"/>
                    <w:ind w:firstLine="0" w:firstLineChars="0"/>
                    <w:jc w:val="center"/>
                    <w:rPr>
                      <w:color w:val="auto"/>
                    </w:rPr>
                  </w:pPr>
                  <w:r>
                    <w:rPr>
                      <w:color w:val="auto"/>
                    </w:rPr>
                    <w:t>1次/</w:t>
                  </w:r>
                  <w:r>
                    <w:rPr>
                      <w:rFonts w:hint="eastAsia"/>
                      <w:color w:val="auto"/>
                    </w:rPr>
                    <w:t>半</w:t>
                  </w:r>
                  <w:r>
                    <w:rPr>
                      <w:color w:val="auto"/>
                    </w:rPr>
                    <w:t>年</w:t>
                  </w:r>
                </w:p>
              </w:tc>
              <w:tc>
                <w:tcPr>
                  <w:tcW w:w="3548" w:type="dxa"/>
                  <w:vMerge w:val="continue"/>
                  <w:vAlign w:val="center"/>
                </w:tcPr>
                <w:p w14:paraId="763A6E49">
                  <w:pPr>
                    <w:pStyle w:val="42"/>
                    <w:kinsoku w:val="0"/>
                    <w:wordWrap w:val="0"/>
                    <w:rPr>
                      <w:color w:val="auto"/>
                      <w:sz w:val="21"/>
                      <w:szCs w:val="21"/>
                    </w:rPr>
                  </w:pPr>
                </w:p>
              </w:tc>
            </w:tr>
            <w:tr w14:paraId="6B22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3D0BF06E">
                  <w:pPr>
                    <w:pStyle w:val="18"/>
                    <w:adjustRightInd w:val="0"/>
                    <w:snapToGrid w:val="0"/>
                    <w:spacing w:line="240" w:lineRule="auto"/>
                    <w:ind w:firstLine="0" w:firstLineChars="0"/>
                    <w:jc w:val="center"/>
                    <w:rPr>
                      <w:color w:val="auto"/>
                    </w:rPr>
                  </w:pPr>
                </w:p>
              </w:tc>
              <w:tc>
                <w:tcPr>
                  <w:tcW w:w="1334" w:type="dxa"/>
                  <w:vMerge w:val="continue"/>
                  <w:vAlign w:val="center"/>
                </w:tcPr>
                <w:p w14:paraId="4D884745">
                  <w:pPr>
                    <w:pStyle w:val="18"/>
                    <w:adjustRightInd w:val="0"/>
                    <w:snapToGrid w:val="0"/>
                    <w:spacing w:line="240" w:lineRule="auto"/>
                    <w:ind w:firstLine="0" w:firstLineChars="0"/>
                    <w:jc w:val="center"/>
                    <w:rPr>
                      <w:color w:val="auto"/>
                    </w:rPr>
                  </w:pPr>
                </w:p>
              </w:tc>
              <w:tc>
                <w:tcPr>
                  <w:tcW w:w="1271" w:type="dxa"/>
                  <w:vAlign w:val="center"/>
                </w:tcPr>
                <w:p w14:paraId="3D2BF952">
                  <w:pPr>
                    <w:pStyle w:val="18"/>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臭气浓度</w:t>
                  </w:r>
                </w:p>
              </w:tc>
              <w:tc>
                <w:tcPr>
                  <w:tcW w:w="1136" w:type="dxa"/>
                  <w:vAlign w:val="center"/>
                </w:tcPr>
                <w:p w14:paraId="7DC925AC">
                  <w:pPr>
                    <w:pStyle w:val="18"/>
                    <w:adjustRightInd w:val="0"/>
                    <w:snapToGrid w:val="0"/>
                    <w:spacing w:line="240" w:lineRule="auto"/>
                    <w:ind w:firstLine="0" w:firstLineChars="0"/>
                    <w:jc w:val="center"/>
                    <w:rPr>
                      <w:color w:val="auto"/>
                    </w:rPr>
                  </w:pPr>
                  <w:r>
                    <w:rPr>
                      <w:color w:val="auto"/>
                    </w:rPr>
                    <w:t>1次/</w:t>
                  </w:r>
                  <w:r>
                    <w:rPr>
                      <w:rFonts w:hint="eastAsia"/>
                      <w:color w:val="auto"/>
                    </w:rPr>
                    <w:t>半</w:t>
                  </w:r>
                  <w:r>
                    <w:rPr>
                      <w:color w:val="auto"/>
                    </w:rPr>
                    <w:t>年</w:t>
                  </w:r>
                </w:p>
              </w:tc>
              <w:tc>
                <w:tcPr>
                  <w:tcW w:w="3548" w:type="dxa"/>
                  <w:vMerge w:val="continue"/>
                  <w:vAlign w:val="center"/>
                </w:tcPr>
                <w:p w14:paraId="1D9F6A35">
                  <w:pPr>
                    <w:pStyle w:val="42"/>
                    <w:kinsoku w:val="0"/>
                    <w:wordWrap w:val="0"/>
                    <w:rPr>
                      <w:color w:val="auto"/>
                      <w:sz w:val="21"/>
                      <w:szCs w:val="21"/>
                    </w:rPr>
                  </w:pPr>
                </w:p>
              </w:tc>
            </w:tr>
          </w:tbl>
          <w:p w14:paraId="2E2EF949">
            <w:pPr>
              <w:pStyle w:val="18"/>
              <w:rPr>
                <w:color w:val="auto"/>
              </w:rPr>
            </w:pPr>
            <w:r>
              <w:rPr>
                <w:rFonts w:hint="eastAsia"/>
                <w:color w:val="auto"/>
              </w:rPr>
              <w:t>（</w:t>
            </w:r>
            <w:r>
              <w:rPr>
                <w:color w:val="auto"/>
              </w:rPr>
              <w:t>8</w:t>
            </w:r>
            <w:r>
              <w:rPr>
                <w:rFonts w:hint="eastAsia"/>
                <w:color w:val="auto"/>
              </w:rPr>
              <w:t>）</w:t>
            </w:r>
            <w:r>
              <w:rPr>
                <w:color w:val="auto"/>
              </w:rPr>
              <w:t>大气环境影响分析</w:t>
            </w:r>
          </w:p>
          <w:p w14:paraId="3DD28A30">
            <w:pPr>
              <w:pStyle w:val="18"/>
              <w:rPr>
                <w:b/>
                <w:bCs/>
                <w:color w:val="auto"/>
              </w:rPr>
            </w:pPr>
            <w:r>
              <w:rPr>
                <w:color w:val="auto"/>
              </w:rPr>
              <w:t>本项目针对各类废气拟采取合理可行的治理措施，项目运营期间各类废气均能做到达标排放。本次环评要求加强废气处理系统的维护，以减轻非正常工况废气排放对大气环境的影响。</w:t>
            </w:r>
            <w:r>
              <w:rPr>
                <w:b/>
                <w:bCs/>
                <w:color w:val="auto"/>
              </w:rPr>
              <w:t>综上，本项目运营期各项大气污染物能够达标排放，在严格落实本次环评各项要求的前提下，对大气环境影响较小，可以接受。</w:t>
            </w:r>
          </w:p>
          <w:p w14:paraId="38857704">
            <w:pPr>
              <w:pStyle w:val="18"/>
              <w:rPr>
                <w:color w:val="auto"/>
              </w:rPr>
            </w:pPr>
            <w:r>
              <w:rPr>
                <w:color w:val="auto"/>
              </w:rPr>
              <w:t>2、废水</w:t>
            </w:r>
          </w:p>
          <w:p w14:paraId="7C9832D0">
            <w:pPr>
              <w:pStyle w:val="18"/>
              <w:rPr>
                <w:snapToGrid w:val="0"/>
                <w:color w:val="auto"/>
              </w:rPr>
            </w:pPr>
            <w:bookmarkStart w:id="30" w:name="_Hlk161316591"/>
            <w:r>
              <w:rPr>
                <w:rFonts w:hint="eastAsia"/>
                <w:snapToGrid w:val="0"/>
                <w:color w:val="auto"/>
              </w:rPr>
              <w:t>（1）废水的产生情况</w:t>
            </w:r>
          </w:p>
          <w:p w14:paraId="6D863E0B">
            <w:pPr>
              <w:pStyle w:val="18"/>
              <w:rPr>
                <w:snapToGrid w:val="0"/>
                <w:color w:val="auto"/>
              </w:rPr>
            </w:pPr>
            <w:r>
              <w:rPr>
                <w:rFonts w:hint="eastAsia"/>
                <w:snapToGrid w:val="0"/>
                <w:color w:val="auto"/>
              </w:rPr>
              <w:t>本项目运营期外排废水为生活污水（包含食堂废水）</w:t>
            </w:r>
            <w:r>
              <w:rPr>
                <w:rFonts w:hint="eastAsia"/>
                <w:snapToGrid w:val="0"/>
                <w:color w:val="auto"/>
                <w:lang w:val="en-US" w:eastAsia="zh-CN"/>
              </w:rPr>
              <w:t>以及纯水制备的浓水</w:t>
            </w:r>
            <w:r>
              <w:rPr>
                <w:rFonts w:hint="eastAsia"/>
                <w:snapToGrid w:val="0"/>
                <w:color w:val="auto"/>
              </w:rPr>
              <w:t>。</w:t>
            </w:r>
          </w:p>
          <w:p w14:paraId="5F527BD6">
            <w:pPr>
              <w:pStyle w:val="18"/>
              <w:rPr>
                <w:rFonts w:hint="eastAsia"/>
                <w:snapToGrid w:val="0"/>
                <w:color w:val="auto"/>
              </w:rPr>
            </w:pPr>
            <w:r>
              <w:rPr>
                <w:rFonts w:hint="eastAsia"/>
                <w:snapToGrid w:val="0"/>
                <w:color w:val="auto"/>
              </w:rPr>
              <w:t>项目</w:t>
            </w:r>
            <w:r>
              <w:rPr>
                <w:rFonts w:hint="eastAsia"/>
                <w:snapToGrid w:val="0"/>
                <w:color w:val="auto"/>
                <w:lang w:val="en-US" w:eastAsia="zh-CN"/>
              </w:rPr>
              <w:t>生活废水</w:t>
            </w:r>
            <w:r>
              <w:rPr>
                <w:rFonts w:hint="eastAsia"/>
                <w:snapToGrid w:val="0"/>
                <w:color w:val="auto"/>
              </w:rPr>
              <w:t>排放量</w:t>
            </w:r>
            <w:r>
              <w:rPr>
                <w:rFonts w:hint="eastAsia"/>
                <w:snapToGrid w:val="0"/>
                <w:color w:val="auto"/>
                <w:lang w:val="en-US" w:eastAsia="zh-CN"/>
              </w:rPr>
              <w:t>5.95</w:t>
            </w:r>
            <w:r>
              <w:rPr>
                <w:rFonts w:hint="eastAsia"/>
                <w:snapToGrid w:val="0"/>
                <w:color w:val="auto"/>
              </w:rPr>
              <w:t>m</w:t>
            </w:r>
            <w:r>
              <w:rPr>
                <w:rFonts w:hint="eastAsia"/>
                <w:snapToGrid w:val="0"/>
                <w:color w:val="auto"/>
                <w:vertAlign w:val="superscript"/>
              </w:rPr>
              <w:t>3</w:t>
            </w:r>
            <w:r>
              <w:rPr>
                <w:rFonts w:hint="eastAsia"/>
                <w:snapToGrid w:val="0"/>
                <w:color w:val="auto"/>
              </w:rPr>
              <w:t>/d（</w:t>
            </w:r>
            <w:r>
              <w:rPr>
                <w:rFonts w:hint="eastAsia"/>
                <w:snapToGrid w:val="0"/>
                <w:color w:val="auto"/>
                <w:lang w:val="en-US" w:eastAsia="zh-CN"/>
              </w:rPr>
              <w:t>1785</w:t>
            </w:r>
            <w:r>
              <w:rPr>
                <w:rFonts w:hint="eastAsia"/>
                <w:snapToGrid w:val="0"/>
                <w:color w:val="auto"/>
              </w:rPr>
              <w:t>m</w:t>
            </w:r>
            <w:r>
              <w:rPr>
                <w:rFonts w:hint="eastAsia"/>
                <w:snapToGrid w:val="0"/>
                <w:color w:val="auto"/>
                <w:vertAlign w:val="superscript"/>
              </w:rPr>
              <w:t>3</w:t>
            </w:r>
            <w:r>
              <w:rPr>
                <w:rFonts w:hint="eastAsia"/>
                <w:snapToGrid w:val="0"/>
                <w:color w:val="auto"/>
              </w:rPr>
              <w:t>/a），根据《排放源统计调查产排污核算方法和系数手册》（公告2021年第24号）中“生活源产排污核算方法和系数手册”，主要污染物浓度COD：325mg/L、BOD</w:t>
            </w:r>
            <w:r>
              <w:rPr>
                <w:rFonts w:hint="eastAsia"/>
                <w:snapToGrid w:val="0"/>
                <w:color w:val="auto"/>
                <w:vertAlign w:val="subscript"/>
              </w:rPr>
              <w:t>5</w:t>
            </w:r>
            <w:r>
              <w:rPr>
                <w:rFonts w:hint="eastAsia"/>
                <w:snapToGrid w:val="0"/>
                <w:color w:val="auto"/>
                <w:lang w:eastAsia="zh-CN"/>
              </w:rPr>
              <w:t>:</w:t>
            </w:r>
            <w:r>
              <w:rPr>
                <w:rFonts w:hint="eastAsia"/>
                <w:snapToGrid w:val="0"/>
                <w:color w:val="auto"/>
              </w:rPr>
              <w:t>140mg/L、SS：200mg/L、NH3-N：37.7mg/L、TP：4.28mg/L、动植物油130mg/L。</w:t>
            </w:r>
          </w:p>
          <w:p w14:paraId="5B88B627">
            <w:pPr>
              <w:pStyle w:val="18"/>
              <w:rPr>
                <w:rFonts w:hint="eastAsia"/>
                <w:snapToGrid w:val="0"/>
                <w:color w:val="auto"/>
                <w:lang w:eastAsia="zh-CN"/>
              </w:rPr>
            </w:pPr>
            <w:r>
              <w:rPr>
                <w:rFonts w:hint="eastAsia"/>
                <w:snapToGrid w:val="0"/>
                <w:color w:val="auto"/>
                <w:lang w:val="en-US" w:eastAsia="zh-CN"/>
              </w:rPr>
              <w:t>纯水制备废水</w:t>
            </w:r>
            <w:r>
              <w:rPr>
                <w:rFonts w:hint="eastAsia"/>
                <w:snapToGrid w:val="0"/>
                <w:color w:val="auto"/>
              </w:rPr>
              <w:t>排放量</w:t>
            </w:r>
            <w:r>
              <w:rPr>
                <w:rFonts w:hint="eastAsia"/>
                <w:snapToGrid w:val="0"/>
                <w:color w:val="auto"/>
                <w:lang w:val="en-US" w:eastAsia="zh-CN"/>
              </w:rPr>
              <w:t>1.917</w:t>
            </w:r>
            <w:r>
              <w:rPr>
                <w:rFonts w:hint="eastAsia"/>
                <w:snapToGrid w:val="0"/>
                <w:color w:val="auto"/>
              </w:rPr>
              <w:t>m</w:t>
            </w:r>
            <w:r>
              <w:rPr>
                <w:rFonts w:hint="eastAsia"/>
                <w:snapToGrid w:val="0"/>
                <w:color w:val="auto"/>
                <w:vertAlign w:val="superscript"/>
              </w:rPr>
              <w:t>3</w:t>
            </w:r>
            <w:r>
              <w:rPr>
                <w:rFonts w:hint="eastAsia"/>
                <w:snapToGrid w:val="0"/>
                <w:color w:val="auto"/>
              </w:rPr>
              <w:t>/d（</w:t>
            </w:r>
            <w:r>
              <w:rPr>
                <w:rFonts w:hint="eastAsia"/>
                <w:snapToGrid w:val="0"/>
                <w:color w:val="auto"/>
                <w:lang w:val="en-US" w:eastAsia="zh-CN"/>
              </w:rPr>
              <w:t>575.1</w:t>
            </w:r>
            <w:r>
              <w:rPr>
                <w:rFonts w:hint="eastAsia"/>
                <w:snapToGrid w:val="0"/>
                <w:color w:val="auto"/>
              </w:rPr>
              <w:t>m</w:t>
            </w:r>
            <w:r>
              <w:rPr>
                <w:rFonts w:hint="eastAsia"/>
                <w:snapToGrid w:val="0"/>
                <w:color w:val="auto"/>
                <w:vertAlign w:val="superscript"/>
              </w:rPr>
              <w:t>3</w:t>
            </w:r>
            <w:r>
              <w:rPr>
                <w:rFonts w:hint="eastAsia"/>
                <w:snapToGrid w:val="0"/>
                <w:color w:val="auto"/>
              </w:rPr>
              <w:t>/a）</w:t>
            </w:r>
            <w:r>
              <w:rPr>
                <w:rFonts w:hint="eastAsia"/>
                <w:snapToGrid w:val="0"/>
                <w:color w:val="auto"/>
                <w:lang w:eastAsia="zh-CN"/>
              </w:rPr>
              <w:t>，</w:t>
            </w:r>
            <w:r>
              <w:rPr>
                <w:rFonts w:hint="eastAsia"/>
                <w:snapToGrid w:val="0"/>
                <w:color w:val="auto"/>
              </w:rPr>
              <w:t>参考文献《纯水制备过程中氨氮和总氮在制水废水中的富集》（无锡市智慧环保技术监测研究院有限公司，214121）：浓水主要污染物为化学需氧量和悬浮物，化学需氧量、悬浮物排放浓度分别约为41mg/L、160mg/L</w:t>
            </w:r>
            <w:r>
              <w:rPr>
                <w:rFonts w:hint="eastAsia"/>
                <w:snapToGrid w:val="0"/>
                <w:color w:val="auto"/>
                <w:lang w:eastAsia="zh-CN"/>
              </w:rPr>
              <w:t>。</w:t>
            </w:r>
          </w:p>
          <w:p w14:paraId="64B319E3">
            <w:pPr>
              <w:pStyle w:val="18"/>
              <w:rPr>
                <w:snapToGrid w:val="0"/>
                <w:color w:val="auto"/>
              </w:rPr>
            </w:pPr>
            <w:r>
              <w:rPr>
                <w:rFonts w:hint="eastAsia"/>
                <w:snapToGrid w:val="0"/>
                <w:color w:val="auto"/>
              </w:rPr>
              <w:t>项目区及周边有完善的供排水管网，排入园区污水管网，最终由胡杨河经济技术开发区南区进行处置。综上所述，本项目拟采取的污水治理措施有效可靠，污水排放去向合理，不会对区域地表水造成影响。</w:t>
            </w:r>
          </w:p>
          <w:p w14:paraId="09BD3E09">
            <w:pPr>
              <w:pStyle w:val="18"/>
              <w:rPr>
                <w:snapToGrid w:val="0"/>
                <w:color w:val="auto"/>
              </w:rPr>
            </w:pPr>
            <w:r>
              <w:rPr>
                <w:rFonts w:hint="eastAsia"/>
                <w:snapToGrid w:val="0"/>
                <w:color w:val="auto"/>
              </w:rPr>
              <w:t>（2）</w:t>
            </w:r>
            <w:r>
              <w:rPr>
                <w:rFonts w:hint="eastAsia"/>
                <w:snapToGrid w:val="0"/>
                <w:color w:val="auto"/>
                <w:lang w:val="en-US" w:eastAsia="zh-CN"/>
              </w:rPr>
              <w:t>达标</w:t>
            </w:r>
            <w:r>
              <w:rPr>
                <w:rFonts w:hint="eastAsia"/>
                <w:snapToGrid w:val="0"/>
                <w:color w:val="auto"/>
              </w:rPr>
              <w:t>情况</w:t>
            </w:r>
          </w:p>
          <w:p w14:paraId="5CDE5ED0">
            <w:pPr>
              <w:pStyle w:val="18"/>
              <w:rPr>
                <w:rFonts w:hint="eastAsia"/>
                <w:color w:val="auto"/>
                <w:lang w:val="en-US" w:eastAsia="zh-CN"/>
              </w:rPr>
            </w:pPr>
            <w:r>
              <w:rPr>
                <w:rFonts w:hint="eastAsia"/>
                <w:color w:val="auto"/>
              </w:rPr>
              <w:t>本项目建设单位</w:t>
            </w:r>
            <w:r>
              <w:rPr>
                <w:rFonts w:hint="eastAsia"/>
                <w:color w:val="auto"/>
                <w:lang w:val="en-US" w:eastAsia="zh-CN"/>
              </w:rPr>
              <w:t>设置隔油池（1m</w:t>
            </w:r>
            <w:r>
              <w:rPr>
                <w:rFonts w:hint="eastAsia"/>
                <w:color w:val="auto"/>
                <w:vertAlign w:val="superscript"/>
                <w:lang w:val="en-US" w:eastAsia="zh-CN"/>
              </w:rPr>
              <w:t>3</w:t>
            </w:r>
            <w:r>
              <w:rPr>
                <w:rFonts w:hint="eastAsia"/>
                <w:color w:val="auto"/>
                <w:lang w:val="en-US" w:eastAsia="zh-CN"/>
              </w:rPr>
              <w:t>），预处理池（6m</w:t>
            </w:r>
            <w:r>
              <w:rPr>
                <w:rFonts w:hint="eastAsia"/>
                <w:color w:val="auto"/>
                <w:vertAlign w:val="superscript"/>
                <w:lang w:val="en-US" w:eastAsia="zh-CN"/>
              </w:rPr>
              <w:t>3</w:t>
            </w:r>
            <w:r>
              <w:rPr>
                <w:rFonts w:hint="eastAsia"/>
                <w:color w:val="auto"/>
                <w:lang w:val="en-US" w:eastAsia="zh-CN"/>
              </w:rPr>
              <w:t>），项目食堂废水先进入隔油池处理后汇同生活废水和纯水制备废水一并进入预处理池，处理后的出水水质可以满足《污水综合排放标准》（GB8978-1996）表4三级标准要求，废水处理措施可行。</w:t>
            </w:r>
          </w:p>
          <w:p w14:paraId="1631207D">
            <w:pPr>
              <w:pStyle w:val="18"/>
              <w:ind w:firstLine="420"/>
              <w:rPr>
                <w:snapToGrid w:val="0"/>
                <w:color w:val="auto"/>
              </w:rPr>
            </w:pPr>
            <w:r>
              <w:rPr>
                <w:snapToGrid w:val="0"/>
                <w:color w:val="auto"/>
              </w:rPr>
              <w:t>项目废水产生及达标排放情况见下表。</w:t>
            </w:r>
          </w:p>
          <w:bookmarkEnd w:id="30"/>
          <w:p w14:paraId="341EC901">
            <w:pPr>
              <w:autoSpaceDE w:val="0"/>
              <w:autoSpaceDN w:val="0"/>
              <w:adjustRightInd w:val="0"/>
              <w:snapToGrid w:val="0"/>
              <w:ind w:firstLine="422"/>
              <w:jc w:val="center"/>
              <w:rPr>
                <w:b/>
                <w:bCs/>
                <w:color w:val="auto"/>
                <w:kern w:val="0"/>
                <w:szCs w:val="21"/>
              </w:rPr>
            </w:pPr>
            <w:r>
              <w:rPr>
                <w:b/>
                <w:bCs/>
                <w:color w:val="auto"/>
                <w:kern w:val="0"/>
                <w:szCs w:val="21"/>
              </w:rPr>
              <w:t>表4-13</w:t>
            </w:r>
            <w:r>
              <w:rPr>
                <w:rFonts w:hint="eastAsia"/>
                <w:b/>
                <w:bCs/>
                <w:color w:val="auto"/>
                <w:kern w:val="0"/>
                <w:szCs w:val="21"/>
                <w:lang w:val="en-US" w:eastAsia="zh-CN"/>
              </w:rPr>
              <w:t xml:space="preserve"> </w:t>
            </w:r>
            <w:r>
              <w:rPr>
                <w:b/>
                <w:bCs/>
                <w:color w:val="auto"/>
                <w:kern w:val="0"/>
                <w:szCs w:val="21"/>
              </w:rPr>
              <w:t>项目主要水污染物产生及排放情况</w:t>
            </w:r>
          </w:p>
          <w:tbl>
            <w:tblPr>
              <w:tblStyle w:val="19"/>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175"/>
              <w:gridCol w:w="1549"/>
              <w:gridCol w:w="795"/>
              <w:gridCol w:w="826"/>
              <w:gridCol w:w="720"/>
              <w:gridCol w:w="826"/>
              <w:gridCol w:w="656"/>
              <w:gridCol w:w="799"/>
            </w:tblGrid>
            <w:tr w14:paraId="7D3734C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Borders>
                    <w:top w:val="single" w:color="auto" w:sz="4" w:space="0"/>
                  </w:tcBorders>
                  <w:vAlign w:val="center"/>
                </w:tcPr>
                <w:p w14:paraId="1B19ADF8">
                  <w:pPr>
                    <w:pStyle w:val="42"/>
                    <w:rPr>
                      <w:snapToGrid w:val="0"/>
                      <w:color w:val="auto"/>
                      <w:sz w:val="21"/>
                      <w:szCs w:val="21"/>
                    </w:rPr>
                  </w:pPr>
                  <w:bookmarkStart w:id="31" w:name="_Hlk139635121"/>
                  <w:r>
                    <w:rPr>
                      <w:snapToGrid w:val="0"/>
                      <w:color w:val="auto"/>
                      <w:sz w:val="21"/>
                      <w:szCs w:val="21"/>
                    </w:rPr>
                    <w:t>废水种类</w:t>
                  </w:r>
                </w:p>
              </w:tc>
              <w:tc>
                <w:tcPr>
                  <w:tcW w:w="720" w:type="pct"/>
                  <w:tcBorders>
                    <w:top w:val="single" w:color="auto" w:sz="4" w:space="0"/>
                  </w:tcBorders>
                  <w:vAlign w:val="center"/>
                </w:tcPr>
                <w:p w14:paraId="709ECF38">
                  <w:pPr>
                    <w:pStyle w:val="42"/>
                    <w:rPr>
                      <w:snapToGrid w:val="0"/>
                      <w:color w:val="auto"/>
                      <w:sz w:val="21"/>
                      <w:szCs w:val="21"/>
                    </w:rPr>
                  </w:pPr>
                  <w:r>
                    <w:rPr>
                      <w:snapToGrid w:val="0"/>
                      <w:color w:val="auto"/>
                      <w:sz w:val="21"/>
                      <w:szCs w:val="21"/>
                    </w:rPr>
                    <w:t>废水量（m</w:t>
                  </w:r>
                  <w:r>
                    <w:rPr>
                      <w:snapToGrid w:val="0"/>
                      <w:color w:val="auto"/>
                      <w:sz w:val="21"/>
                      <w:szCs w:val="21"/>
                      <w:vertAlign w:val="superscript"/>
                    </w:rPr>
                    <w:t>3</w:t>
                  </w:r>
                  <w:r>
                    <w:rPr>
                      <w:snapToGrid w:val="0"/>
                      <w:color w:val="auto"/>
                      <w:sz w:val="21"/>
                      <w:szCs w:val="21"/>
                    </w:rPr>
                    <w:t>/a）</w:t>
                  </w:r>
                </w:p>
              </w:tc>
              <w:tc>
                <w:tcPr>
                  <w:tcW w:w="949" w:type="pct"/>
                  <w:tcBorders>
                    <w:top w:val="single" w:color="auto" w:sz="4" w:space="0"/>
                  </w:tcBorders>
                  <w:vAlign w:val="center"/>
                </w:tcPr>
                <w:p w14:paraId="0D554C11">
                  <w:pPr>
                    <w:pStyle w:val="42"/>
                    <w:rPr>
                      <w:snapToGrid w:val="0"/>
                      <w:color w:val="auto"/>
                      <w:sz w:val="21"/>
                      <w:szCs w:val="21"/>
                    </w:rPr>
                  </w:pPr>
                  <w:r>
                    <w:rPr>
                      <w:snapToGrid w:val="0"/>
                      <w:color w:val="auto"/>
                      <w:sz w:val="21"/>
                      <w:szCs w:val="21"/>
                    </w:rPr>
                    <w:t>水质情况</w:t>
                  </w:r>
                </w:p>
              </w:tc>
              <w:tc>
                <w:tcPr>
                  <w:tcW w:w="487" w:type="pct"/>
                  <w:tcBorders>
                    <w:top w:val="single" w:color="auto" w:sz="4" w:space="0"/>
                  </w:tcBorders>
                  <w:vAlign w:val="center"/>
                </w:tcPr>
                <w:p w14:paraId="4968D3D4">
                  <w:pPr>
                    <w:pStyle w:val="42"/>
                    <w:rPr>
                      <w:snapToGrid w:val="0"/>
                      <w:color w:val="auto"/>
                      <w:sz w:val="21"/>
                      <w:szCs w:val="21"/>
                    </w:rPr>
                  </w:pPr>
                  <w:r>
                    <w:rPr>
                      <w:snapToGrid w:val="0"/>
                      <w:color w:val="auto"/>
                      <w:sz w:val="21"/>
                      <w:szCs w:val="21"/>
                    </w:rPr>
                    <w:t>COD</w:t>
                  </w:r>
                </w:p>
              </w:tc>
              <w:tc>
                <w:tcPr>
                  <w:tcW w:w="506" w:type="pct"/>
                  <w:tcBorders>
                    <w:top w:val="single" w:color="auto" w:sz="4" w:space="0"/>
                  </w:tcBorders>
                  <w:vAlign w:val="center"/>
                </w:tcPr>
                <w:p w14:paraId="2D9A895E">
                  <w:pPr>
                    <w:pStyle w:val="42"/>
                    <w:rPr>
                      <w:snapToGrid w:val="0"/>
                      <w:color w:val="auto"/>
                      <w:sz w:val="21"/>
                      <w:szCs w:val="21"/>
                    </w:rPr>
                  </w:pPr>
                  <w:r>
                    <w:rPr>
                      <w:snapToGrid w:val="0"/>
                      <w:color w:val="auto"/>
                      <w:sz w:val="21"/>
                      <w:szCs w:val="21"/>
                    </w:rPr>
                    <w:t>BOD</w:t>
                  </w:r>
                  <w:r>
                    <w:rPr>
                      <w:snapToGrid w:val="0"/>
                      <w:color w:val="auto"/>
                      <w:sz w:val="21"/>
                      <w:szCs w:val="21"/>
                      <w:vertAlign w:val="subscript"/>
                    </w:rPr>
                    <w:t>5</w:t>
                  </w:r>
                </w:p>
              </w:tc>
              <w:tc>
                <w:tcPr>
                  <w:tcW w:w="441" w:type="pct"/>
                  <w:tcBorders>
                    <w:top w:val="single" w:color="auto" w:sz="4" w:space="0"/>
                  </w:tcBorders>
                  <w:vAlign w:val="center"/>
                </w:tcPr>
                <w:p w14:paraId="2F693023">
                  <w:pPr>
                    <w:pStyle w:val="42"/>
                    <w:rPr>
                      <w:snapToGrid w:val="0"/>
                      <w:color w:val="auto"/>
                      <w:sz w:val="21"/>
                      <w:szCs w:val="21"/>
                    </w:rPr>
                  </w:pPr>
                  <w:r>
                    <w:rPr>
                      <w:snapToGrid w:val="0"/>
                      <w:color w:val="auto"/>
                      <w:sz w:val="21"/>
                      <w:szCs w:val="21"/>
                    </w:rPr>
                    <w:t>SS</w:t>
                  </w:r>
                </w:p>
              </w:tc>
              <w:tc>
                <w:tcPr>
                  <w:tcW w:w="506" w:type="pct"/>
                  <w:tcBorders>
                    <w:top w:val="single" w:color="auto" w:sz="4" w:space="0"/>
                  </w:tcBorders>
                  <w:vAlign w:val="center"/>
                </w:tcPr>
                <w:p w14:paraId="4625215D">
                  <w:pPr>
                    <w:pStyle w:val="42"/>
                    <w:rPr>
                      <w:snapToGrid w:val="0"/>
                      <w:color w:val="auto"/>
                      <w:sz w:val="21"/>
                      <w:szCs w:val="21"/>
                    </w:rPr>
                  </w:pPr>
                  <w:r>
                    <w:rPr>
                      <w:snapToGrid w:val="0"/>
                      <w:color w:val="auto"/>
                      <w:sz w:val="21"/>
                      <w:szCs w:val="21"/>
                    </w:rPr>
                    <w:t>NH</w:t>
                  </w:r>
                  <w:r>
                    <w:rPr>
                      <w:snapToGrid w:val="0"/>
                      <w:color w:val="auto"/>
                      <w:sz w:val="21"/>
                      <w:szCs w:val="21"/>
                      <w:vertAlign w:val="subscript"/>
                    </w:rPr>
                    <w:t>3</w:t>
                  </w:r>
                  <w:r>
                    <w:rPr>
                      <w:snapToGrid w:val="0"/>
                      <w:color w:val="auto"/>
                      <w:sz w:val="21"/>
                      <w:szCs w:val="21"/>
                    </w:rPr>
                    <w:t>-N</w:t>
                  </w:r>
                </w:p>
              </w:tc>
              <w:tc>
                <w:tcPr>
                  <w:tcW w:w="402" w:type="pct"/>
                  <w:tcBorders>
                    <w:top w:val="single" w:color="auto" w:sz="4" w:space="0"/>
                  </w:tcBorders>
                  <w:vAlign w:val="center"/>
                </w:tcPr>
                <w:p w14:paraId="16DB7B9A">
                  <w:pPr>
                    <w:pStyle w:val="42"/>
                    <w:rPr>
                      <w:snapToGrid w:val="0"/>
                      <w:color w:val="auto"/>
                      <w:sz w:val="21"/>
                      <w:szCs w:val="21"/>
                    </w:rPr>
                  </w:pPr>
                  <w:r>
                    <w:rPr>
                      <w:rFonts w:hint="eastAsia"/>
                      <w:snapToGrid w:val="0"/>
                      <w:color w:val="auto"/>
                      <w:sz w:val="21"/>
                      <w:szCs w:val="21"/>
                    </w:rPr>
                    <w:t>TP</w:t>
                  </w:r>
                </w:p>
              </w:tc>
              <w:tc>
                <w:tcPr>
                  <w:tcW w:w="489" w:type="pct"/>
                  <w:tcBorders>
                    <w:top w:val="single" w:color="auto" w:sz="4" w:space="0"/>
                  </w:tcBorders>
                  <w:vAlign w:val="center"/>
                </w:tcPr>
                <w:p w14:paraId="2F4148FD">
                  <w:pPr>
                    <w:pStyle w:val="42"/>
                    <w:rPr>
                      <w:snapToGrid w:val="0"/>
                      <w:color w:val="auto"/>
                      <w:sz w:val="21"/>
                      <w:szCs w:val="21"/>
                    </w:rPr>
                  </w:pPr>
                  <w:r>
                    <w:rPr>
                      <w:rFonts w:hint="eastAsia"/>
                      <w:snapToGrid w:val="0"/>
                      <w:color w:val="auto"/>
                      <w:sz w:val="21"/>
                      <w:szCs w:val="21"/>
                    </w:rPr>
                    <w:t>动植物油</w:t>
                  </w:r>
                </w:p>
              </w:tc>
            </w:tr>
            <w:tr w14:paraId="4935975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vAlign w:val="center"/>
                </w:tcPr>
                <w:p w14:paraId="54CDB1A8">
                  <w:pPr>
                    <w:pStyle w:val="42"/>
                    <w:rPr>
                      <w:snapToGrid w:val="0"/>
                      <w:color w:val="auto"/>
                      <w:sz w:val="21"/>
                      <w:szCs w:val="21"/>
                    </w:rPr>
                  </w:pPr>
                  <w:r>
                    <w:rPr>
                      <w:rFonts w:hint="eastAsia"/>
                      <w:snapToGrid w:val="0"/>
                      <w:color w:val="auto"/>
                      <w:sz w:val="21"/>
                      <w:szCs w:val="21"/>
                    </w:rPr>
                    <w:t>生活废水</w:t>
                  </w:r>
                </w:p>
              </w:tc>
              <w:tc>
                <w:tcPr>
                  <w:tcW w:w="720" w:type="pct"/>
                  <w:vMerge w:val="restart"/>
                  <w:vAlign w:val="center"/>
                </w:tcPr>
                <w:p w14:paraId="622971C5">
                  <w:pPr>
                    <w:pStyle w:val="42"/>
                    <w:rPr>
                      <w:snapToGrid w:val="0"/>
                      <w:color w:val="auto"/>
                      <w:sz w:val="21"/>
                      <w:szCs w:val="21"/>
                    </w:rPr>
                  </w:pPr>
                  <w:r>
                    <w:rPr>
                      <w:rFonts w:hint="eastAsia"/>
                      <w:snapToGrid w:val="0"/>
                      <w:color w:val="auto"/>
                      <w:sz w:val="21"/>
                      <w:szCs w:val="21"/>
                      <w:lang w:val="en-US" w:eastAsia="zh-CN"/>
                    </w:rPr>
                    <w:t>1785</w:t>
                  </w:r>
                </w:p>
              </w:tc>
              <w:tc>
                <w:tcPr>
                  <w:tcW w:w="949" w:type="pct"/>
                  <w:vAlign w:val="center"/>
                </w:tcPr>
                <w:p w14:paraId="55440F63">
                  <w:pPr>
                    <w:pStyle w:val="42"/>
                    <w:rPr>
                      <w:snapToGrid w:val="0"/>
                      <w:color w:val="auto"/>
                      <w:sz w:val="21"/>
                      <w:szCs w:val="21"/>
                    </w:rPr>
                  </w:pPr>
                  <w:r>
                    <w:rPr>
                      <w:snapToGrid w:val="0"/>
                      <w:color w:val="auto"/>
                      <w:sz w:val="21"/>
                      <w:szCs w:val="21"/>
                    </w:rPr>
                    <w:t>浓度（mg/l）</w:t>
                  </w:r>
                </w:p>
              </w:tc>
              <w:tc>
                <w:tcPr>
                  <w:tcW w:w="487" w:type="pct"/>
                  <w:vAlign w:val="center"/>
                </w:tcPr>
                <w:p w14:paraId="0DBFF181">
                  <w:pPr>
                    <w:pStyle w:val="42"/>
                    <w:rPr>
                      <w:snapToGrid w:val="0"/>
                      <w:color w:val="auto"/>
                      <w:sz w:val="21"/>
                      <w:szCs w:val="21"/>
                    </w:rPr>
                  </w:pPr>
                  <w:r>
                    <w:rPr>
                      <w:snapToGrid w:val="0"/>
                      <w:color w:val="auto"/>
                      <w:sz w:val="21"/>
                      <w:szCs w:val="21"/>
                    </w:rPr>
                    <w:t>325</w:t>
                  </w:r>
                </w:p>
              </w:tc>
              <w:tc>
                <w:tcPr>
                  <w:tcW w:w="506" w:type="pct"/>
                  <w:vAlign w:val="center"/>
                </w:tcPr>
                <w:p w14:paraId="5D935A18">
                  <w:pPr>
                    <w:pStyle w:val="42"/>
                    <w:rPr>
                      <w:rFonts w:hint="default"/>
                      <w:snapToGrid w:val="0"/>
                      <w:color w:val="auto"/>
                      <w:sz w:val="21"/>
                      <w:szCs w:val="21"/>
                      <w:lang w:val="en-US" w:eastAsia="zh-CN"/>
                    </w:rPr>
                  </w:pPr>
                  <w:r>
                    <w:rPr>
                      <w:rFonts w:hint="eastAsia"/>
                      <w:snapToGrid w:val="0"/>
                      <w:color w:val="auto"/>
                      <w:sz w:val="21"/>
                      <w:szCs w:val="21"/>
                      <w:lang w:val="en-US" w:eastAsia="zh-CN"/>
                    </w:rPr>
                    <w:t>140</w:t>
                  </w:r>
                </w:p>
              </w:tc>
              <w:tc>
                <w:tcPr>
                  <w:tcW w:w="441" w:type="pct"/>
                  <w:vAlign w:val="center"/>
                </w:tcPr>
                <w:p w14:paraId="608528D1">
                  <w:pPr>
                    <w:pStyle w:val="42"/>
                    <w:rPr>
                      <w:rFonts w:hint="default"/>
                      <w:snapToGrid w:val="0"/>
                      <w:color w:val="auto"/>
                      <w:sz w:val="21"/>
                      <w:szCs w:val="21"/>
                      <w:lang w:val="en-US" w:eastAsia="zh-CN"/>
                    </w:rPr>
                  </w:pPr>
                  <w:r>
                    <w:rPr>
                      <w:rFonts w:hint="eastAsia"/>
                      <w:snapToGrid w:val="0"/>
                      <w:color w:val="auto"/>
                      <w:sz w:val="21"/>
                      <w:szCs w:val="21"/>
                      <w:lang w:val="en-US" w:eastAsia="zh-CN"/>
                    </w:rPr>
                    <w:t>200</w:t>
                  </w:r>
                </w:p>
              </w:tc>
              <w:tc>
                <w:tcPr>
                  <w:tcW w:w="506" w:type="pct"/>
                  <w:vAlign w:val="center"/>
                </w:tcPr>
                <w:p w14:paraId="6A554774">
                  <w:pPr>
                    <w:pStyle w:val="42"/>
                    <w:rPr>
                      <w:snapToGrid w:val="0"/>
                      <w:color w:val="auto"/>
                      <w:sz w:val="21"/>
                      <w:szCs w:val="21"/>
                    </w:rPr>
                  </w:pPr>
                  <w:r>
                    <w:rPr>
                      <w:snapToGrid w:val="0"/>
                      <w:color w:val="auto"/>
                      <w:sz w:val="21"/>
                      <w:szCs w:val="21"/>
                    </w:rPr>
                    <w:t>37.7</w:t>
                  </w:r>
                </w:p>
              </w:tc>
              <w:tc>
                <w:tcPr>
                  <w:tcW w:w="402" w:type="pct"/>
                  <w:vAlign w:val="center"/>
                </w:tcPr>
                <w:p w14:paraId="67AFEB4B">
                  <w:pPr>
                    <w:pStyle w:val="42"/>
                    <w:rPr>
                      <w:snapToGrid w:val="0"/>
                      <w:color w:val="auto"/>
                      <w:sz w:val="21"/>
                      <w:szCs w:val="21"/>
                    </w:rPr>
                  </w:pPr>
                  <w:r>
                    <w:rPr>
                      <w:snapToGrid w:val="0"/>
                      <w:color w:val="auto"/>
                      <w:sz w:val="21"/>
                      <w:szCs w:val="21"/>
                    </w:rPr>
                    <w:t>4.28</w:t>
                  </w:r>
                </w:p>
              </w:tc>
              <w:tc>
                <w:tcPr>
                  <w:tcW w:w="489" w:type="pct"/>
                  <w:vAlign w:val="center"/>
                </w:tcPr>
                <w:p w14:paraId="47F28691">
                  <w:pPr>
                    <w:pStyle w:val="42"/>
                    <w:rPr>
                      <w:rFonts w:hint="default"/>
                      <w:snapToGrid w:val="0"/>
                      <w:color w:val="auto"/>
                      <w:sz w:val="21"/>
                      <w:szCs w:val="21"/>
                      <w:lang w:val="en-US" w:eastAsia="zh-CN"/>
                    </w:rPr>
                  </w:pPr>
                  <w:r>
                    <w:rPr>
                      <w:rFonts w:hint="eastAsia"/>
                      <w:snapToGrid w:val="0"/>
                      <w:color w:val="auto"/>
                      <w:sz w:val="21"/>
                      <w:szCs w:val="21"/>
                      <w:lang w:val="en-US" w:eastAsia="zh-CN"/>
                    </w:rPr>
                    <w:t>130</w:t>
                  </w:r>
                </w:p>
              </w:tc>
            </w:tr>
            <w:tr w14:paraId="01BEF67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14:paraId="4F23A926">
                  <w:pPr>
                    <w:pStyle w:val="42"/>
                    <w:rPr>
                      <w:snapToGrid w:val="0"/>
                      <w:color w:val="auto"/>
                      <w:sz w:val="21"/>
                      <w:szCs w:val="21"/>
                    </w:rPr>
                  </w:pPr>
                </w:p>
              </w:tc>
              <w:tc>
                <w:tcPr>
                  <w:tcW w:w="720" w:type="pct"/>
                  <w:vMerge w:val="continue"/>
                  <w:vAlign w:val="center"/>
                </w:tcPr>
                <w:p w14:paraId="0A41BB14">
                  <w:pPr>
                    <w:pStyle w:val="42"/>
                    <w:rPr>
                      <w:snapToGrid w:val="0"/>
                      <w:color w:val="auto"/>
                      <w:sz w:val="21"/>
                      <w:szCs w:val="21"/>
                    </w:rPr>
                  </w:pPr>
                </w:p>
              </w:tc>
              <w:tc>
                <w:tcPr>
                  <w:tcW w:w="949" w:type="pct"/>
                  <w:vAlign w:val="center"/>
                </w:tcPr>
                <w:p w14:paraId="2FCE7CDA">
                  <w:pPr>
                    <w:pStyle w:val="42"/>
                    <w:rPr>
                      <w:snapToGrid w:val="0"/>
                      <w:color w:val="auto"/>
                      <w:sz w:val="21"/>
                      <w:szCs w:val="21"/>
                    </w:rPr>
                  </w:pPr>
                  <w:r>
                    <w:rPr>
                      <w:snapToGrid w:val="0"/>
                      <w:color w:val="auto"/>
                      <w:sz w:val="21"/>
                      <w:szCs w:val="21"/>
                    </w:rPr>
                    <w:t>排放量（t/a）</w:t>
                  </w:r>
                </w:p>
              </w:tc>
              <w:tc>
                <w:tcPr>
                  <w:tcW w:w="795" w:type="dxa"/>
                  <w:vAlign w:val="center"/>
                </w:tcPr>
                <w:p w14:paraId="4733E9B4">
                  <w:pPr>
                    <w:pStyle w:val="42"/>
                    <w:rPr>
                      <w:snapToGrid w:val="0"/>
                      <w:color w:val="auto"/>
                      <w:sz w:val="21"/>
                      <w:szCs w:val="21"/>
                    </w:rPr>
                  </w:pPr>
                  <w:r>
                    <w:rPr>
                      <w:rFonts w:hint="eastAsia"/>
                      <w:snapToGrid w:val="0"/>
                      <w:color w:val="auto"/>
                      <w:sz w:val="21"/>
                      <w:szCs w:val="21"/>
                      <w:lang w:val="en-US" w:eastAsia="zh-CN"/>
                    </w:rPr>
                    <w:t>0.580</w:t>
                  </w:r>
                </w:p>
              </w:tc>
              <w:tc>
                <w:tcPr>
                  <w:tcW w:w="826" w:type="dxa"/>
                  <w:vAlign w:val="center"/>
                </w:tcPr>
                <w:p w14:paraId="38EE6B73">
                  <w:pPr>
                    <w:pStyle w:val="42"/>
                    <w:rPr>
                      <w:snapToGrid w:val="0"/>
                      <w:color w:val="auto"/>
                      <w:sz w:val="21"/>
                      <w:szCs w:val="21"/>
                    </w:rPr>
                  </w:pPr>
                  <w:r>
                    <w:rPr>
                      <w:rFonts w:hint="eastAsia"/>
                      <w:snapToGrid w:val="0"/>
                      <w:color w:val="auto"/>
                      <w:sz w:val="21"/>
                      <w:szCs w:val="21"/>
                      <w:lang w:val="en-US" w:eastAsia="zh-CN"/>
                    </w:rPr>
                    <w:t>0.250</w:t>
                  </w:r>
                </w:p>
              </w:tc>
              <w:tc>
                <w:tcPr>
                  <w:tcW w:w="720" w:type="dxa"/>
                  <w:vAlign w:val="center"/>
                </w:tcPr>
                <w:p w14:paraId="394BABF5">
                  <w:pPr>
                    <w:pStyle w:val="42"/>
                    <w:rPr>
                      <w:snapToGrid w:val="0"/>
                      <w:color w:val="auto"/>
                      <w:sz w:val="21"/>
                      <w:szCs w:val="21"/>
                    </w:rPr>
                  </w:pPr>
                  <w:r>
                    <w:rPr>
                      <w:rFonts w:hint="eastAsia"/>
                      <w:snapToGrid w:val="0"/>
                      <w:color w:val="auto"/>
                      <w:sz w:val="21"/>
                      <w:szCs w:val="21"/>
                      <w:lang w:val="en-US" w:eastAsia="zh-CN"/>
                    </w:rPr>
                    <w:t>0.357</w:t>
                  </w:r>
                </w:p>
              </w:tc>
              <w:tc>
                <w:tcPr>
                  <w:tcW w:w="826" w:type="dxa"/>
                  <w:vAlign w:val="center"/>
                </w:tcPr>
                <w:p w14:paraId="2684F3CA">
                  <w:pPr>
                    <w:pStyle w:val="42"/>
                    <w:rPr>
                      <w:snapToGrid w:val="0"/>
                      <w:color w:val="auto"/>
                      <w:sz w:val="21"/>
                      <w:szCs w:val="21"/>
                    </w:rPr>
                  </w:pPr>
                  <w:r>
                    <w:rPr>
                      <w:rFonts w:hint="eastAsia"/>
                      <w:snapToGrid w:val="0"/>
                      <w:color w:val="auto"/>
                      <w:sz w:val="21"/>
                      <w:szCs w:val="21"/>
                      <w:lang w:val="en-US" w:eastAsia="zh-CN"/>
                    </w:rPr>
                    <w:t>0.067</w:t>
                  </w:r>
                </w:p>
              </w:tc>
              <w:tc>
                <w:tcPr>
                  <w:tcW w:w="656" w:type="dxa"/>
                  <w:vAlign w:val="center"/>
                </w:tcPr>
                <w:p w14:paraId="038AE8C1">
                  <w:pPr>
                    <w:pStyle w:val="42"/>
                    <w:rPr>
                      <w:snapToGrid w:val="0"/>
                      <w:color w:val="auto"/>
                      <w:sz w:val="21"/>
                      <w:szCs w:val="21"/>
                    </w:rPr>
                  </w:pPr>
                  <w:r>
                    <w:rPr>
                      <w:rFonts w:hint="eastAsia"/>
                      <w:snapToGrid w:val="0"/>
                      <w:color w:val="auto"/>
                      <w:sz w:val="21"/>
                      <w:szCs w:val="21"/>
                      <w:lang w:val="en-US" w:eastAsia="zh-CN"/>
                    </w:rPr>
                    <w:t>0.008</w:t>
                  </w:r>
                </w:p>
              </w:tc>
              <w:tc>
                <w:tcPr>
                  <w:tcW w:w="799" w:type="dxa"/>
                  <w:vAlign w:val="center"/>
                </w:tcPr>
                <w:p w14:paraId="4056AE1C">
                  <w:pPr>
                    <w:pStyle w:val="42"/>
                    <w:rPr>
                      <w:snapToGrid w:val="0"/>
                      <w:color w:val="auto"/>
                      <w:sz w:val="21"/>
                      <w:szCs w:val="21"/>
                    </w:rPr>
                  </w:pPr>
                  <w:r>
                    <w:rPr>
                      <w:rFonts w:hint="eastAsia"/>
                      <w:snapToGrid w:val="0"/>
                      <w:color w:val="auto"/>
                      <w:sz w:val="21"/>
                      <w:szCs w:val="21"/>
                      <w:lang w:val="en-US" w:eastAsia="zh-CN"/>
                    </w:rPr>
                    <w:t>0.232</w:t>
                  </w:r>
                </w:p>
              </w:tc>
            </w:tr>
            <w:tr w14:paraId="35EABC1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vAlign w:val="center"/>
                </w:tcPr>
                <w:p w14:paraId="15C757E9">
                  <w:pPr>
                    <w:pStyle w:val="42"/>
                    <w:rPr>
                      <w:rFonts w:hint="default" w:eastAsia="宋体"/>
                      <w:snapToGrid w:val="0"/>
                      <w:color w:val="auto"/>
                      <w:sz w:val="21"/>
                      <w:szCs w:val="21"/>
                      <w:lang w:val="en-US" w:eastAsia="zh-CN"/>
                    </w:rPr>
                  </w:pPr>
                  <w:r>
                    <w:rPr>
                      <w:rFonts w:hint="eastAsia"/>
                      <w:snapToGrid w:val="0"/>
                      <w:color w:val="auto"/>
                      <w:sz w:val="21"/>
                      <w:szCs w:val="21"/>
                      <w:lang w:val="en-US" w:eastAsia="zh-CN"/>
                    </w:rPr>
                    <w:t>纯水制备</w:t>
                  </w:r>
                </w:p>
              </w:tc>
              <w:tc>
                <w:tcPr>
                  <w:tcW w:w="720" w:type="pct"/>
                  <w:vMerge w:val="restart"/>
                  <w:vAlign w:val="center"/>
                </w:tcPr>
                <w:p w14:paraId="7067E07C">
                  <w:pPr>
                    <w:pStyle w:val="42"/>
                    <w:rPr>
                      <w:snapToGrid w:val="0"/>
                      <w:color w:val="auto"/>
                      <w:sz w:val="21"/>
                      <w:szCs w:val="21"/>
                    </w:rPr>
                  </w:pPr>
                  <w:r>
                    <w:rPr>
                      <w:rFonts w:hint="eastAsia"/>
                      <w:snapToGrid w:val="0"/>
                      <w:color w:val="auto"/>
                      <w:sz w:val="21"/>
                      <w:szCs w:val="21"/>
                      <w:lang w:val="en-US" w:eastAsia="zh-CN"/>
                    </w:rPr>
                    <w:t>575.1</w:t>
                  </w:r>
                </w:p>
              </w:tc>
              <w:tc>
                <w:tcPr>
                  <w:tcW w:w="949" w:type="pct"/>
                  <w:vAlign w:val="center"/>
                </w:tcPr>
                <w:p w14:paraId="414843C7">
                  <w:pPr>
                    <w:pStyle w:val="42"/>
                    <w:rPr>
                      <w:snapToGrid w:val="0"/>
                      <w:color w:val="auto"/>
                      <w:sz w:val="21"/>
                      <w:szCs w:val="21"/>
                    </w:rPr>
                  </w:pPr>
                  <w:r>
                    <w:rPr>
                      <w:snapToGrid w:val="0"/>
                      <w:color w:val="auto"/>
                      <w:sz w:val="21"/>
                      <w:szCs w:val="21"/>
                    </w:rPr>
                    <w:t>浓度（mg/l）</w:t>
                  </w:r>
                </w:p>
              </w:tc>
              <w:tc>
                <w:tcPr>
                  <w:tcW w:w="487" w:type="pct"/>
                  <w:vAlign w:val="center"/>
                </w:tcPr>
                <w:p w14:paraId="4421CECD">
                  <w:pPr>
                    <w:pStyle w:val="42"/>
                    <w:rPr>
                      <w:rFonts w:hint="default"/>
                      <w:snapToGrid w:val="0"/>
                      <w:color w:val="auto"/>
                      <w:sz w:val="21"/>
                      <w:szCs w:val="21"/>
                      <w:lang w:val="en-US" w:eastAsia="zh-CN"/>
                    </w:rPr>
                  </w:pPr>
                  <w:r>
                    <w:rPr>
                      <w:rFonts w:hint="eastAsia"/>
                      <w:snapToGrid w:val="0"/>
                      <w:color w:val="auto"/>
                      <w:sz w:val="21"/>
                      <w:szCs w:val="21"/>
                      <w:lang w:val="en-US" w:eastAsia="zh-CN"/>
                    </w:rPr>
                    <w:t>41</w:t>
                  </w:r>
                </w:p>
              </w:tc>
              <w:tc>
                <w:tcPr>
                  <w:tcW w:w="506" w:type="pct"/>
                  <w:vAlign w:val="center"/>
                </w:tcPr>
                <w:p w14:paraId="6B91D6C7">
                  <w:pPr>
                    <w:pStyle w:val="42"/>
                    <w:rPr>
                      <w:rFonts w:hint="default"/>
                      <w:snapToGrid w:val="0"/>
                      <w:color w:val="auto"/>
                      <w:sz w:val="21"/>
                      <w:szCs w:val="21"/>
                      <w:lang w:val="en-US" w:eastAsia="zh-CN"/>
                    </w:rPr>
                  </w:pPr>
                  <w:r>
                    <w:rPr>
                      <w:rFonts w:hint="eastAsia"/>
                      <w:snapToGrid w:val="0"/>
                      <w:color w:val="auto"/>
                      <w:sz w:val="21"/>
                      <w:szCs w:val="21"/>
                      <w:lang w:val="en-US" w:eastAsia="zh-CN"/>
                    </w:rPr>
                    <w:t>/</w:t>
                  </w:r>
                </w:p>
              </w:tc>
              <w:tc>
                <w:tcPr>
                  <w:tcW w:w="441" w:type="pct"/>
                  <w:vAlign w:val="center"/>
                </w:tcPr>
                <w:p w14:paraId="08E3B9A7">
                  <w:pPr>
                    <w:pStyle w:val="42"/>
                    <w:rPr>
                      <w:rFonts w:hint="default"/>
                      <w:snapToGrid w:val="0"/>
                      <w:color w:val="auto"/>
                      <w:sz w:val="21"/>
                      <w:szCs w:val="21"/>
                      <w:lang w:val="en-US" w:eastAsia="zh-CN"/>
                    </w:rPr>
                  </w:pPr>
                  <w:r>
                    <w:rPr>
                      <w:rFonts w:hint="eastAsia"/>
                      <w:snapToGrid w:val="0"/>
                      <w:color w:val="auto"/>
                      <w:sz w:val="21"/>
                      <w:szCs w:val="21"/>
                      <w:lang w:val="en-US" w:eastAsia="zh-CN"/>
                    </w:rPr>
                    <w:t>160</w:t>
                  </w:r>
                </w:p>
              </w:tc>
              <w:tc>
                <w:tcPr>
                  <w:tcW w:w="506" w:type="pct"/>
                  <w:vAlign w:val="center"/>
                </w:tcPr>
                <w:p w14:paraId="2951291D">
                  <w:pPr>
                    <w:pStyle w:val="42"/>
                    <w:rPr>
                      <w:rFonts w:hint="eastAsia"/>
                      <w:snapToGrid w:val="0"/>
                      <w:color w:val="auto"/>
                      <w:sz w:val="21"/>
                      <w:szCs w:val="21"/>
                    </w:rPr>
                  </w:pPr>
                  <w:r>
                    <w:rPr>
                      <w:rFonts w:hint="eastAsia"/>
                      <w:snapToGrid w:val="0"/>
                      <w:color w:val="auto"/>
                      <w:sz w:val="21"/>
                      <w:szCs w:val="21"/>
                      <w:lang w:val="en-US" w:eastAsia="zh-CN"/>
                    </w:rPr>
                    <w:t>/</w:t>
                  </w:r>
                </w:p>
              </w:tc>
              <w:tc>
                <w:tcPr>
                  <w:tcW w:w="402" w:type="pct"/>
                  <w:vAlign w:val="center"/>
                </w:tcPr>
                <w:p w14:paraId="4D19F760">
                  <w:pPr>
                    <w:pStyle w:val="42"/>
                    <w:rPr>
                      <w:rFonts w:hint="eastAsia"/>
                      <w:snapToGrid w:val="0"/>
                      <w:color w:val="auto"/>
                      <w:sz w:val="21"/>
                      <w:szCs w:val="21"/>
                    </w:rPr>
                  </w:pPr>
                  <w:r>
                    <w:rPr>
                      <w:rFonts w:hint="eastAsia"/>
                      <w:snapToGrid w:val="0"/>
                      <w:color w:val="auto"/>
                      <w:sz w:val="21"/>
                      <w:szCs w:val="21"/>
                      <w:lang w:val="en-US" w:eastAsia="zh-CN"/>
                    </w:rPr>
                    <w:t>/</w:t>
                  </w:r>
                </w:p>
              </w:tc>
              <w:tc>
                <w:tcPr>
                  <w:tcW w:w="489" w:type="pct"/>
                  <w:vAlign w:val="center"/>
                </w:tcPr>
                <w:p w14:paraId="2D014CA3">
                  <w:pPr>
                    <w:pStyle w:val="42"/>
                    <w:rPr>
                      <w:snapToGrid w:val="0"/>
                      <w:color w:val="auto"/>
                      <w:sz w:val="21"/>
                      <w:szCs w:val="21"/>
                    </w:rPr>
                  </w:pPr>
                  <w:r>
                    <w:rPr>
                      <w:rFonts w:hint="eastAsia"/>
                      <w:snapToGrid w:val="0"/>
                      <w:color w:val="auto"/>
                      <w:sz w:val="21"/>
                      <w:szCs w:val="21"/>
                      <w:lang w:val="en-US" w:eastAsia="zh-CN"/>
                    </w:rPr>
                    <w:t>/</w:t>
                  </w:r>
                </w:p>
              </w:tc>
            </w:tr>
            <w:tr w14:paraId="5DE6FF3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14:paraId="356283D2">
                  <w:pPr>
                    <w:pStyle w:val="42"/>
                    <w:rPr>
                      <w:snapToGrid w:val="0"/>
                      <w:color w:val="auto"/>
                      <w:sz w:val="21"/>
                      <w:szCs w:val="21"/>
                    </w:rPr>
                  </w:pPr>
                </w:p>
              </w:tc>
              <w:tc>
                <w:tcPr>
                  <w:tcW w:w="720" w:type="pct"/>
                  <w:vMerge w:val="continue"/>
                  <w:vAlign w:val="center"/>
                </w:tcPr>
                <w:p w14:paraId="73B2D648">
                  <w:pPr>
                    <w:pStyle w:val="42"/>
                    <w:rPr>
                      <w:snapToGrid w:val="0"/>
                      <w:color w:val="auto"/>
                      <w:sz w:val="21"/>
                      <w:szCs w:val="21"/>
                    </w:rPr>
                  </w:pPr>
                </w:p>
              </w:tc>
              <w:tc>
                <w:tcPr>
                  <w:tcW w:w="949" w:type="pct"/>
                  <w:vAlign w:val="center"/>
                </w:tcPr>
                <w:p w14:paraId="75F81D72">
                  <w:pPr>
                    <w:pStyle w:val="42"/>
                    <w:rPr>
                      <w:snapToGrid w:val="0"/>
                      <w:color w:val="auto"/>
                      <w:sz w:val="21"/>
                      <w:szCs w:val="21"/>
                    </w:rPr>
                  </w:pPr>
                  <w:r>
                    <w:rPr>
                      <w:snapToGrid w:val="0"/>
                      <w:color w:val="auto"/>
                      <w:sz w:val="21"/>
                      <w:szCs w:val="21"/>
                    </w:rPr>
                    <w:t>排放量（t/a）</w:t>
                  </w:r>
                </w:p>
              </w:tc>
              <w:tc>
                <w:tcPr>
                  <w:tcW w:w="487" w:type="pct"/>
                  <w:vAlign w:val="center"/>
                </w:tcPr>
                <w:p w14:paraId="4BB5BBC9">
                  <w:pPr>
                    <w:pStyle w:val="42"/>
                    <w:rPr>
                      <w:rFonts w:hint="default"/>
                      <w:snapToGrid w:val="0"/>
                      <w:color w:val="auto"/>
                      <w:sz w:val="21"/>
                      <w:szCs w:val="21"/>
                      <w:lang w:val="en-US" w:eastAsia="zh-CN"/>
                    </w:rPr>
                  </w:pPr>
                  <w:r>
                    <w:rPr>
                      <w:rFonts w:hint="eastAsia"/>
                      <w:snapToGrid w:val="0"/>
                      <w:color w:val="auto"/>
                      <w:sz w:val="21"/>
                      <w:szCs w:val="21"/>
                      <w:lang w:val="en-US" w:eastAsia="zh-CN"/>
                    </w:rPr>
                    <w:t>0.024</w:t>
                  </w:r>
                </w:p>
              </w:tc>
              <w:tc>
                <w:tcPr>
                  <w:tcW w:w="506" w:type="pct"/>
                  <w:vAlign w:val="center"/>
                </w:tcPr>
                <w:p w14:paraId="3BB1FE08">
                  <w:pPr>
                    <w:pStyle w:val="42"/>
                    <w:rPr>
                      <w:rFonts w:hint="eastAsia"/>
                      <w:snapToGrid w:val="0"/>
                      <w:color w:val="auto"/>
                      <w:sz w:val="21"/>
                      <w:szCs w:val="21"/>
                    </w:rPr>
                  </w:pPr>
                  <w:r>
                    <w:rPr>
                      <w:rFonts w:hint="eastAsia"/>
                      <w:snapToGrid w:val="0"/>
                      <w:color w:val="auto"/>
                      <w:sz w:val="21"/>
                      <w:szCs w:val="21"/>
                      <w:lang w:val="en-US" w:eastAsia="zh-CN"/>
                    </w:rPr>
                    <w:t>/</w:t>
                  </w:r>
                </w:p>
              </w:tc>
              <w:tc>
                <w:tcPr>
                  <w:tcW w:w="441" w:type="pct"/>
                  <w:vAlign w:val="center"/>
                </w:tcPr>
                <w:p w14:paraId="3DB81A47">
                  <w:pPr>
                    <w:pStyle w:val="42"/>
                    <w:rPr>
                      <w:rFonts w:hint="default"/>
                      <w:snapToGrid w:val="0"/>
                      <w:color w:val="auto"/>
                      <w:sz w:val="21"/>
                      <w:szCs w:val="21"/>
                      <w:lang w:val="en-US" w:eastAsia="zh-CN"/>
                    </w:rPr>
                  </w:pPr>
                  <w:r>
                    <w:rPr>
                      <w:rFonts w:hint="eastAsia"/>
                      <w:snapToGrid w:val="0"/>
                      <w:color w:val="auto"/>
                      <w:sz w:val="21"/>
                      <w:szCs w:val="21"/>
                      <w:lang w:val="en-US" w:eastAsia="zh-CN"/>
                    </w:rPr>
                    <w:t>0.092</w:t>
                  </w:r>
                </w:p>
              </w:tc>
              <w:tc>
                <w:tcPr>
                  <w:tcW w:w="506" w:type="pct"/>
                  <w:vAlign w:val="center"/>
                </w:tcPr>
                <w:p w14:paraId="4B62D92B">
                  <w:pPr>
                    <w:pStyle w:val="42"/>
                    <w:rPr>
                      <w:rFonts w:hint="eastAsia"/>
                      <w:snapToGrid w:val="0"/>
                      <w:color w:val="auto"/>
                      <w:sz w:val="21"/>
                      <w:szCs w:val="21"/>
                    </w:rPr>
                  </w:pPr>
                  <w:r>
                    <w:rPr>
                      <w:rFonts w:hint="eastAsia"/>
                      <w:snapToGrid w:val="0"/>
                      <w:color w:val="auto"/>
                      <w:sz w:val="21"/>
                      <w:szCs w:val="21"/>
                      <w:lang w:val="en-US" w:eastAsia="zh-CN"/>
                    </w:rPr>
                    <w:t>/</w:t>
                  </w:r>
                </w:p>
              </w:tc>
              <w:tc>
                <w:tcPr>
                  <w:tcW w:w="402" w:type="pct"/>
                  <w:vAlign w:val="center"/>
                </w:tcPr>
                <w:p w14:paraId="79613CE2">
                  <w:pPr>
                    <w:pStyle w:val="42"/>
                    <w:rPr>
                      <w:rFonts w:hint="eastAsia"/>
                      <w:snapToGrid w:val="0"/>
                      <w:color w:val="auto"/>
                      <w:sz w:val="21"/>
                      <w:szCs w:val="21"/>
                    </w:rPr>
                  </w:pPr>
                  <w:r>
                    <w:rPr>
                      <w:rFonts w:hint="eastAsia"/>
                      <w:snapToGrid w:val="0"/>
                      <w:color w:val="auto"/>
                      <w:sz w:val="21"/>
                      <w:szCs w:val="21"/>
                      <w:lang w:val="en-US" w:eastAsia="zh-CN"/>
                    </w:rPr>
                    <w:t>/</w:t>
                  </w:r>
                </w:p>
              </w:tc>
              <w:tc>
                <w:tcPr>
                  <w:tcW w:w="489" w:type="pct"/>
                  <w:vAlign w:val="center"/>
                </w:tcPr>
                <w:p w14:paraId="2C7A59B1">
                  <w:pPr>
                    <w:pStyle w:val="42"/>
                    <w:rPr>
                      <w:snapToGrid w:val="0"/>
                      <w:color w:val="auto"/>
                      <w:sz w:val="21"/>
                      <w:szCs w:val="21"/>
                    </w:rPr>
                  </w:pPr>
                  <w:r>
                    <w:rPr>
                      <w:rFonts w:hint="eastAsia"/>
                      <w:snapToGrid w:val="0"/>
                      <w:color w:val="auto"/>
                      <w:sz w:val="21"/>
                      <w:szCs w:val="21"/>
                      <w:lang w:val="en-US" w:eastAsia="zh-CN"/>
                    </w:rPr>
                    <w:t>/</w:t>
                  </w:r>
                </w:p>
              </w:tc>
            </w:tr>
            <w:tr w14:paraId="5D1FAD4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pct"/>
                  <w:gridSpan w:val="3"/>
                  <w:vAlign w:val="center"/>
                </w:tcPr>
                <w:p w14:paraId="1AA2AD7D">
                  <w:pPr>
                    <w:pStyle w:val="42"/>
                    <w:rPr>
                      <w:snapToGrid w:val="0"/>
                      <w:color w:val="auto"/>
                      <w:sz w:val="21"/>
                      <w:szCs w:val="21"/>
                    </w:rPr>
                  </w:pPr>
                  <w:r>
                    <w:rPr>
                      <w:rFonts w:hint="eastAsia"/>
                      <w:snapToGrid w:val="0"/>
                      <w:color w:val="auto"/>
                      <w:sz w:val="21"/>
                      <w:szCs w:val="21"/>
                    </w:rPr>
                    <w:t>隔油+</w:t>
                  </w:r>
                  <w:r>
                    <w:rPr>
                      <w:snapToGrid w:val="0"/>
                      <w:color w:val="auto"/>
                      <w:sz w:val="21"/>
                      <w:szCs w:val="21"/>
                    </w:rPr>
                    <w:t>预处理池处理效率</w:t>
                  </w:r>
                </w:p>
              </w:tc>
              <w:tc>
                <w:tcPr>
                  <w:tcW w:w="487" w:type="pct"/>
                  <w:vAlign w:val="center"/>
                </w:tcPr>
                <w:p w14:paraId="08E99F49">
                  <w:pPr>
                    <w:pStyle w:val="42"/>
                    <w:rPr>
                      <w:snapToGrid w:val="0"/>
                      <w:color w:val="auto"/>
                      <w:sz w:val="21"/>
                      <w:szCs w:val="21"/>
                    </w:rPr>
                  </w:pPr>
                  <w:r>
                    <w:rPr>
                      <w:rFonts w:hint="eastAsia"/>
                      <w:snapToGrid w:val="0"/>
                      <w:color w:val="auto"/>
                      <w:sz w:val="21"/>
                      <w:szCs w:val="21"/>
                    </w:rPr>
                    <w:t>15%</w:t>
                  </w:r>
                </w:p>
              </w:tc>
              <w:tc>
                <w:tcPr>
                  <w:tcW w:w="506" w:type="pct"/>
                  <w:vAlign w:val="center"/>
                </w:tcPr>
                <w:p w14:paraId="7C947080">
                  <w:pPr>
                    <w:pStyle w:val="42"/>
                    <w:rPr>
                      <w:snapToGrid w:val="0"/>
                      <w:color w:val="auto"/>
                      <w:sz w:val="21"/>
                      <w:szCs w:val="21"/>
                    </w:rPr>
                  </w:pPr>
                  <w:r>
                    <w:rPr>
                      <w:rFonts w:hint="eastAsia"/>
                      <w:snapToGrid w:val="0"/>
                      <w:color w:val="auto"/>
                      <w:sz w:val="21"/>
                      <w:szCs w:val="21"/>
                    </w:rPr>
                    <w:t>15</w:t>
                  </w:r>
                  <w:r>
                    <w:rPr>
                      <w:snapToGrid w:val="0"/>
                      <w:color w:val="auto"/>
                      <w:sz w:val="21"/>
                      <w:szCs w:val="21"/>
                    </w:rPr>
                    <w:t>%</w:t>
                  </w:r>
                </w:p>
              </w:tc>
              <w:tc>
                <w:tcPr>
                  <w:tcW w:w="441" w:type="pct"/>
                  <w:vAlign w:val="center"/>
                </w:tcPr>
                <w:p w14:paraId="75F76B0C">
                  <w:pPr>
                    <w:pStyle w:val="42"/>
                    <w:rPr>
                      <w:snapToGrid w:val="0"/>
                      <w:color w:val="auto"/>
                      <w:sz w:val="21"/>
                      <w:szCs w:val="21"/>
                    </w:rPr>
                  </w:pPr>
                  <w:r>
                    <w:rPr>
                      <w:snapToGrid w:val="0"/>
                      <w:color w:val="auto"/>
                      <w:sz w:val="21"/>
                      <w:szCs w:val="21"/>
                    </w:rPr>
                    <w:t>40%</w:t>
                  </w:r>
                </w:p>
              </w:tc>
              <w:tc>
                <w:tcPr>
                  <w:tcW w:w="506" w:type="pct"/>
                  <w:vAlign w:val="center"/>
                </w:tcPr>
                <w:p w14:paraId="06BDA956">
                  <w:pPr>
                    <w:pStyle w:val="42"/>
                    <w:rPr>
                      <w:snapToGrid w:val="0"/>
                      <w:color w:val="auto"/>
                      <w:sz w:val="21"/>
                      <w:szCs w:val="21"/>
                    </w:rPr>
                  </w:pPr>
                  <w:r>
                    <w:rPr>
                      <w:snapToGrid w:val="0"/>
                      <w:color w:val="auto"/>
                      <w:sz w:val="21"/>
                      <w:szCs w:val="21"/>
                    </w:rPr>
                    <w:t>10%</w:t>
                  </w:r>
                </w:p>
              </w:tc>
              <w:tc>
                <w:tcPr>
                  <w:tcW w:w="402" w:type="pct"/>
                  <w:vAlign w:val="center"/>
                </w:tcPr>
                <w:p w14:paraId="37981CC4">
                  <w:pPr>
                    <w:pStyle w:val="42"/>
                    <w:rPr>
                      <w:snapToGrid w:val="0"/>
                      <w:color w:val="auto"/>
                      <w:sz w:val="21"/>
                      <w:szCs w:val="21"/>
                    </w:rPr>
                  </w:pPr>
                  <w:r>
                    <w:rPr>
                      <w:rFonts w:hint="eastAsia"/>
                      <w:snapToGrid w:val="0"/>
                      <w:color w:val="auto"/>
                      <w:sz w:val="21"/>
                      <w:szCs w:val="21"/>
                    </w:rPr>
                    <w:t>10%</w:t>
                  </w:r>
                </w:p>
              </w:tc>
              <w:tc>
                <w:tcPr>
                  <w:tcW w:w="489" w:type="pct"/>
                  <w:vAlign w:val="center"/>
                </w:tcPr>
                <w:p w14:paraId="2CA53F15">
                  <w:pPr>
                    <w:pStyle w:val="42"/>
                    <w:rPr>
                      <w:rFonts w:hint="default"/>
                      <w:snapToGrid w:val="0"/>
                      <w:color w:val="auto"/>
                      <w:sz w:val="21"/>
                      <w:szCs w:val="21"/>
                      <w:lang w:val="en-US" w:eastAsia="zh-CN"/>
                    </w:rPr>
                  </w:pPr>
                  <w:r>
                    <w:rPr>
                      <w:rFonts w:hint="eastAsia"/>
                      <w:snapToGrid w:val="0"/>
                      <w:color w:val="auto"/>
                      <w:sz w:val="21"/>
                      <w:szCs w:val="21"/>
                      <w:lang w:val="en-US" w:eastAsia="zh-CN"/>
                    </w:rPr>
                    <w:t>60%</w:t>
                  </w:r>
                </w:p>
              </w:tc>
            </w:tr>
            <w:tr w14:paraId="34E1D12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498" w:type="pct"/>
                  <w:vMerge w:val="restart"/>
                  <w:vAlign w:val="center"/>
                </w:tcPr>
                <w:p w14:paraId="5629B696">
                  <w:pPr>
                    <w:pStyle w:val="42"/>
                    <w:rPr>
                      <w:snapToGrid w:val="0"/>
                      <w:color w:val="auto"/>
                      <w:sz w:val="21"/>
                      <w:szCs w:val="21"/>
                    </w:rPr>
                  </w:pPr>
                  <w:r>
                    <w:rPr>
                      <w:snapToGrid w:val="0"/>
                      <w:color w:val="auto"/>
                      <w:sz w:val="21"/>
                      <w:szCs w:val="21"/>
                    </w:rPr>
                    <w:t>污水处理后</w:t>
                  </w:r>
                </w:p>
              </w:tc>
              <w:tc>
                <w:tcPr>
                  <w:tcW w:w="720" w:type="pct"/>
                  <w:vMerge w:val="restart"/>
                  <w:vAlign w:val="center"/>
                </w:tcPr>
                <w:p w14:paraId="77A65C66">
                  <w:pPr>
                    <w:pStyle w:val="42"/>
                    <w:rPr>
                      <w:rFonts w:hint="default" w:eastAsia="宋体"/>
                      <w:snapToGrid w:val="0"/>
                      <w:color w:val="auto"/>
                      <w:sz w:val="21"/>
                      <w:szCs w:val="21"/>
                      <w:lang w:val="en-US" w:eastAsia="zh-CN"/>
                    </w:rPr>
                  </w:pPr>
                  <w:r>
                    <w:rPr>
                      <w:rFonts w:hint="eastAsia"/>
                      <w:snapToGrid w:val="0"/>
                      <w:color w:val="auto"/>
                      <w:sz w:val="21"/>
                      <w:szCs w:val="21"/>
                      <w:lang w:val="en-US" w:eastAsia="zh-CN"/>
                    </w:rPr>
                    <w:t>2360.1</w:t>
                  </w:r>
                </w:p>
              </w:tc>
              <w:tc>
                <w:tcPr>
                  <w:tcW w:w="949" w:type="pct"/>
                  <w:vAlign w:val="center"/>
                </w:tcPr>
                <w:p w14:paraId="47B549A0">
                  <w:pPr>
                    <w:pStyle w:val="42"/>
                    <w:rPr>
                      <w:snapToGrid w:val="0"/>
                      <w:color w:val="auto"/>
                      <w:sz w:val="21"/>
                      <w:szCs w:val="21"/>
                    </w:rPr>
                  </w:pPr>
                  <w:r>
                    <w:rPr>
                      <w:snapToGrid w:val="0"/>
                      <w:color w:val="auto"/>
                      <w:sz w:val="21"/>
                      <w:szCs w:val="21"/>
                    </w:rPr>
                    <w:t>浓度（mg/l）</w:t>
                  </w:r>
                </w:p>
              </w:tc>
              <w:tc>
                <w:tcPr>
                  <w:tcW w:w="795" w:type="dxa"/>
                  <w:vAlign w:val="center"/>
                </w:tcPr>
                <w:p w14:paraId="30BF2602">
                  <w:pPr>
                    <w:pStyle w:val="42"/>
                    <w:rPr>
                      <w:snapToGrid w:val="0"/>
                      <w:color w:val="auto"/>
                      <w:sz w:val="21"/>
                      <w:szCs w:val="21"/>
                    </w:rPr>
                  </w:pPr>
                  <w:r>
                    <w:rPr>
                      <w:rFonts w:hint="eastAsia"/>
                      <w:snapToGrid w:val="0"/>
                      <w:color w:val="auto"/>
                      <w:sz w:val="21"/>
                      <w:szCs w:val="21"/>
                      <w:lang w:val="en-US" w:eastAsia="zh-CN"/>
                    </w:rPr>
                    <w:t>217.5</w:t>
                  </w:r>
                </w:p>
              </w:tc>
              <w:tc>
                <w:tcPr>
                  <w:tcW w:w="826" w:type="dxa"/>
                  <w:vAlign w:val="center"/>
                </w:tcPr>
                <w:p w14:paraId="24935DB3">
                  <w:pPr>
                    <w:pStyle w:val="42"/>
                    <w:rPr>
                      <w:snapToGrid w:val="0"/>
                      <w:color w:val="auto"/>
                      <w:sz w:val="21"/>
                      <w:szCs w:val="21"/>
                    </w:rPr>
                  </w:pPr>
                  <w:r>
                    <w:rPr>
                      <w:rFonts w:hint="eastAsia"/>
                      <w:snapToGrid w:val="0"/>
                      <w:color w:val="auto"/>
                      <w:sz w:val="21"/>
                      <w:szCs w:val="21"/>
                      <w:lang w:val="en-US" w:eastAsia="zh-CN"/>
                    </w:rPr>
                    <w:t>90.0</w:t>
                  </w:r>
                </w:p>
              </w:tc>
              <w:tc>
                <w:tcPr>
                  <w:tcW w:w="720" w:type="dxa"/>
                  <w:vAlign w:val="center"/>
                </w:tcPr>
                <w:p w14:paraId="5812BDA6">
                  <w:pPr>
                    <w:pStyle w:val="42"/>
                    <w:rPr>
                      <w:snapToGrid w:val="0"/>
                      <w:color w:val="auto"/>
                      <w:sz w:val="21"/>
                      <w:szCs w:val="21"/>
                    </w:rPr>
                  </w:pPr>
                  <w:r>
                    <w:rPr>
                      <w:rFonts w:hint="eastAsia"/>
                      <w:snapToGrid w:val="0"/>
                      <w:color w:val="auto"/>
                      <w:sz w:val="21"/>
                      <w:szCs w:val="21"/>
                      <w:lang w:val="en-US" w:eastAsia="zh-CN"/>
                    </w:rPr>
                    <w:t>114.1</w:t>
                  </w:r>
                </w:p>
              </w:tc>
              <w:tc>
                <w:tcPr>
                  <w:tcW w:w="826" w:type="dxa"/>
                  <w:vAlign w:val="center"/>
                </w:tcPr>
                <w:p w14:paraId="4996DEFC">
                  <w:pPr>
                    <w:pStyle w:val="42"/>
                    <w:rPr>
                      <w:snapToGrid w:val="0"/>
                      <w:color w:val="auto"/>
                      <w:sz w:val="21"/>
                      <w:szCs w:val="21"/>
                    </w:rPr>
                  </w:pPr>
                  <w:r>
                    <w:rPr>
                      <w:rFonts w:hint="eastAsia"/>
                      <w:snapToGrid w:val="0"/>
                      <w:color w:val="auto"/>
                      <w:sz w:val="21"/>
                      <w:szCs w:val="21"/>
                      <w:lang w:val="en-US" w:eastAsia="zh-CN"/>
                    </w:rPr>
                    <w:t>25.5</w:t>
                  </w:r>
                </w:p>
              </w:tc>
              <w:tc>
                <w:tcPr>
                  <w:tcW w:w="656" w:type="dxa"/>
                  <w:vAlign w:val="center"/>
                </w:tcPr>
                <w:p w14:paraId="192515F9">
                  <w:pPr>
                    <w:pStyle w:val="42"/>
                    <w:rPr>
                      <w:snapToGrid w:val="0"/>
                      <w:color w:val="auto"/>
                      <w:sz w:val="21"/>
                      <w:szCs w:val="21"/>
                    </w:rPr>
                  </w:pPr>
                  <w:r>
                    <w:rPr>
                      <w:rFonts w:hint="eastAsia"/>
                      <w:snapToGrid w:val="0"/>
                      <w:color w:val="auto"/>
                      <w:sz w:val="21"/>
                      <w:szCs w:val="21"/>
                      <w:lang w:val="en-US" w:eastAsia="zh-CN"/>
                    </w:rPr>
                    <w:t>3.1</w:t>
                  </w:r>
                </w:p>
              </w:tc>
              <w:tc>
                <w:tcPr>
                  <w:tcW w:w="799" w:type="dxa"/>
                  <w:vAlign w:val="center"/>
                </w:tcPr>
                <w:p w14:paraId="3A9AE46F">
                  <w:pPr>
                    <w:pStyle w:val="42"/>
                    <w:rPr>
                      <w:snapToGrid w:val="0"/>
                      <w:color w:val="auto"/>
                      <w:sz w:val="21"/>
                      <w:szCs w:val="21"/>
                    </w:rPr>
                  </w:pPr>
                  <w:r>
                    <w:rPr>
                      <w:rFonts w:hint="eastAsia"/>
                      <w:snapToGrid w:val="0"/>
                      <w:color w:val="auto"/>
                      <w:sz w:val="21"/>
                      <w:szCs w:val="21"/>
                      <w:lang w:val="en-US" w:eastAsia="zh-CN"/>
                    </w:rPr>
                    <w:t>39.3</w:t>
                  </w:r>
                </w:p>
              </w:tc>
            </w:tr>
            <w:tr w14:paraId="78B5E8D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vAlign w:val="center"/>
                </w:tcPr>
                <w:p w14:paraId="23D5CAC8">
                  <w:pPr>
                    <w:pStyle w:val="42"/>
                    <w:rPr>
                      <w:snapToGrid w:val="0"/>
                      <w:color w:val="auto"/>
                      <w:sz w:val="21"/>
                      <w:szCs w:val="21"/>
                    </w:rPr>
                  </w:pPr>
                </w:p>
              </w:tc>
              <w:tc>
                <w:tcPr>
                  <w:tcW w:w="720" w:type="pct"/>
                  <w:vMerge w:val="continue"/>
                  <w:vAlign w:val="center"/>
                </w:tcPr>
                <w:p w14:paraId="1760B69B">
                  <w:pPr>
                    <w:pStyle w:val="42"/>
                    <w:rPr>
                      <w:snapToGrid w:val="0"/>
                      <w:color w:val="auto"/>
                      <w:sz w:val="21"/>
                      <w:szCs w:val="21"/>
                    </w:rPr>
                  </w:pPr>
                </w:p>
              </w:tc>
              <w:tc>
                <w:tcPr>
                  <w:tcW w:w="949" w:type="pct"/>
                  <w:vAlign w:val="center"/>
                </w:tcPr>
                <w:p w14:paraId="7B606F07">
                  <w:pPr>
                    <w:pStyle w:val="42"/>
                    <w:rPr>
                      <w:snapToGrid w:val="0"/>
                      <w:color w:val="auto"/>
                      <w:sz w:val="21"/>
                      <w:szCs w:val="21"/>
                    </w:rPr>
                  </w:pPr>
                  <w:r>
                    <w:rPr>
                      <w:snapToGrid w:val="0"/>
                      <w:color w:val="auto"/>
                      <w:sz w:val="21"/>
                      <w:szCs w:val="21"/>
                    </w:rPr>
                    <w:t>排放量（t/a）</w:t>
                  </w:r>
                </w:p>
              </w:tc>
              <w:tc>
                <w:tcPr>
                  <w:tcW w:w="795" w:type="dxa"/>
                  <w:vAlign w:val="center"/>
                </w:tcPr>
                <w:p w14:paraId="1F5406F1">
                  <w:pPr>
                    <w:pStyle w:val="42"/>
                    <w:rPr>
                      <w:snapToGrid w:val="0"/>
                      <w:color w:val="auto"/>
                      <w:sz w:val="21"/>
                      <w:szCs w:val="21"/>
                    </w:rPr>
                  </w:pPr>
                  <w:r>
                    <w:rPr>
                      <w:rFonts w:hint="eastAsia"/>
                      <w:snapToGrid w:val="0"/>
                      <w:color w:val="auto"/>
                      <w:sz w:val="21"/>
                      <w:szCs w:val="21"/>
                      <w:lang w:val="en-US" w:eastAsia="zh-CN"/>
                    </w:rPr>
                    <w:t>0.513</w:t>
                  </w:r>
                </w:p>
              </w:tc>
              <w:tc>
                <w:tcPr>
                  <w:tcW w:w="826" w:type="dxa"/>
                  <w:vAlign w:val="center"/>
                </w:tcPr>
                <w:p w14:paraId="7913A649">
                  <w:pPr>
                    <w:pStyle w:val="42"/>
                    <w:rPr>
                      <w:snapToGrid w:val="0"/>
                      <w:color w:val="auto"/>
                      <w:sz w:val="21"/>
                      <w:szCs w:val="21"/>
                    </w:rPr>
                  </w:pPr>
                  <w:r>
                    <w:rPr>
                      <w:rFonts w:hint="eastAsia"/>
                      <w:snapToGrid w:val="0"/>
                      <w:color w:val="auto"/>
                      <w:sz w:val="21"/>
                      <w:szCs w:val="21"/>
                      <w:lang w:val="en-US" w:eastAsia="zh-CN"/>
                    </w:rPr>
                    <w:t>0.213</w:t>
                  </w:r>
                </w:p>
              </w:tc>
              <w:tc>
                <w:tcPr>
                  <w:tcW w:w="720" w:type="dxa"/>
                  <w:vAlign w:val="center"/>
                </w:tcPr>
                <w:p w14:paraId="07D60FDD">
                  <w:pPr>
                    <w:pStyle w:val="42"/>
                    <w:rPr>
                      <w:snapToGrid w:val="0"/>
                      <w:color w:val="auto"/>
                      <w:sz w:val="21"/>
                      <w:szCs w:val="21"/>
                    </w:rPr>
                  </w:pPr>
                  <w:r>
                    <w:rPr>
                      <w:rFonts w:hint="eastAsia"/>
                      <w:snapToGrid w:val="0"/>
                      <w:color w:val="auto"/>
                      <w:sz w:val="21"/>
                      <w:szCs w:val="21"/>
                      <w:lang w:val="en-US" w:eastAsia="zh-CN"/>
                    </w:rPr>
                    <w:t>0.269</w:t>
                  </w:r>
                </w:p>
              </w:tc>
              <w:tc>
                <w:tcPr>
                  <w:tcW w:w="826" w:type="dxa"/>
                  <w:vAlign w:val="center"/>
                </w:tcPr>
                <w:p w14:paraId="5F1F732E">
                  <w:pPr>
                    <w:pStyle w:val="42"/>
                    <w:rPr>
                      <w:snapToGrid w:val="0"/>
                      <w:color w:val="auto"/>
                      <w:sz w:val="21"/>
                      <w:szCs w:val="21"/>
                    </w:rPr>
                  </w:pPr>
                  <w:r>
                    <w:rPr>
                      <w:rFonts w:hint="eastAsia"/>
                      <w:snapToGrid w:val="0"/>
                      <w:color w:val="auto"/>
                      <w:sz w:val="21"/>
                      <w:szCs w:val="21"/>
                      <w:lang w:val="en-US" w:eastAsia="zh-CN"/>
                    </w:rPr>
                    <w:t>0.060</w:t>
                  </w:r>
                </w:p>
              </w:tc>
              <w:tc>
                <w:tcPr>
                  <w:tcW w:w="656" w:type="dxa"/>
                  <w:vAlign w:val="center"/>
                </w:tcPr>
                <w:p w14:paraId="14014FC0">
                  <w:pPr>
                    <w:pStyle w:val="42"/>
                    <w:rPr>
                      <w:snapToGrid w:val="0"/>
                      <w:color w:val="auto"/>
                      <w:sz w:val="21"/>
                      <w:szCs w:val="21"/>
                    </w:rPr>
                  </w:pPr>
                  <w:r>
                    <w:rPr>
                      <w:rFonts w:hint="eastAsia"/>
                      <w:snapToGrid w:val="0"/>
                      <w:color w:val="auto"/>
                      <w:sz w:val="21"/>
                      <w:szCs w:val="21"/>
                      <w:lang w:val="en-US" w:eastAsia="zh-CN"/>
                    </w:rPr>
                    <w:t>0.007</w:t>
                  </w:r>
                </w:p>
              </w:tc>
              <w:tc>
                <w:tcPr>
                  <w:tcW w:w="799" w:type="dxa"/>
                  <w:vAlign w:val="center"/>
                </w:tcPr>
                <w:p w14:paraId="447621C9">
                  <w:pPr>
                    <w:pStyle w:val="42"/>
                    <w:rPr>
                      <w:snapToGrid w:val="0"/>
                      <w:color w:val="auto"/>
                      <w:sz w:val="21"/>
                      <w:szCs w:val="21"/>
                    </w:rPr>
                  </w:pPr>
                  <w:r>
                    <w:rPr>
                      <w:rFonts w:hint="eastAsia"/>
                      <w:snapToGrid w:val="0"/>
                      <w:color w:val="auto"/>
                      <w:sz w:val="21"/>
                      <w:szCs w:val="21"/>
                      <w:lang w:val="en-US" w:eastAsia="zh-CN"/>
                    </w:rPr>
                    <w:t>0.093</w:t>
                  </w:r>
                </w:p>
              </w:tc>
            </w:tr>
            <w:tr w14:paraId="39DFA8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pct"/>
                  <w:gridSpan w:val="3"/>
                  <w:tcBorders>
                    <w:bottom w:val="single" w:color="auto" w:sz="4" w:space="0"/>
                  </w:tcBorders>
                  <w:vAlign w:val="center"/>
                </w:tcPr>
                <w:p w14:paraId="6575415E">
                  <w:pPr>
                    <w:pStyle w:val="42"/>
                    <w:rPr>
                      <w:snapToGrid w:val="0"/>
                      <w:color w:val="auto"/>
                      <w:sz w:val="21"/>
                      <w:szCs w:val="21"/>
                    </w:rPr>
                  </w:pPr>
                  <w:bookmarkStart w:id="32" w:name="_Hlk140478610"/>
                  <w:r>
                    <w:rPr>
                      <w:snapToGrid w:val="0"/>
                      <w:color w:val="auto"/>
                      <w:sz w:val="21"/>
                      <w:szCs w:val="21"/>
                    </w:rPr>
                    <w:t>《污水综合排放标准》GB8978-96三级标准，氨氮</w:t>
                  </w:r>
                  <w:r>
                    <w:rPr>
                      <w:rFonts w:hint="eastAsia"/>
                      <w:snapToGrid w:val="0"/>
                      <w:color w:val="auto"/>
                      <w:sz w:val="21"/>
                      <w:szCs w:val="21"/>
                    </w:rPr>
                    <w:t>、TP</w:t>
                  </w:r>
                  <w:r>
                    <w:rPr>
                      <w:snapToGrid w:val="0"/>
                      <w:color w:val="auto"/>
                      <w:sz w:val="21"/>
                      <w:szCs w:val="21"/>
                    </w:rPr>
                    <w:t>参照《污水排入城镇下水道水质标准》（GB/T31962-2015）</w:t>
                  </w:r>
                  <w:bookmarkEnd w:id="32"/>
                </w:p>
              </w:tc>
              <w:tc>
                <w:tcPr>
                  <w:tcW w:w="487" w:type="pct"/>
                  <w:tcBorders>
                    <w:bottom w:val="single" w:color="auto" w:sz="4" w:space="0"/>
                  </w:tcBorders>
                  <w:vAlign w:val="center"/>
                </w:tcPr>
                <w:p w14:paraId="43EEC7C5">
                  <w:pPr>
                    <w:pStyle w:val="42"/>
                    <w:rPr>
                      <w:snapToGrid w:val="0"/>
                      <w:color w:val="auto"/>
                      <w:sz w:val="21"/>
                      <w:szCs w:val="21"/>
                    </w:rPr>
                  </w:pPr>
                  <w:r>
                    <w:rPr>
                      <w:snapToGrid w:val="0"/>
                      <w:color w:val="auto"/>
                      <w:sz w:val="21"/>
                      <w:szCs w:val="21"/>
                    </w:rPr>
                    <w:t>500</w:t>
                  </w:r>
                </w:p>
              </w:tc>
              <w:tc>
                <w:tcPr>
                  <w:tcW w:w="506" w:type="pct"/>
                  <w:tcBorders>
                    <w:bottom w:val="single" w:color="auto" w:sz="4" w:space="0"/>
                  </w:tcBorders>
                  <w:vAlign w:val="center"/>
                </w:tcPr>
                <w:p w14:paraId="220D92F0">
                  <w:pPr>
                    <w:pStyle w:val="42"/>
                    <w:rPr>
                      <w:snapToGrid w:val="0"/>
                      <w:color w:val="auto"/>
                      <w:sz w:val="21"/>
                      <w:szCs w:val="21"/>
                    </w:rPr>
                  </w:pPr>
                  <w:r>
                    <w:rPr>
                      <w:snapToGrid w:val="0"/>
                      <w:color w:val="auto"/>
                      <w:sz w:val="21"/>
                      <w:szCs w:val="21"/>
                    </w:rPr>
                    <w:t>300</w:t>
                  </w:r>
                </w:p>
              </w:tc>
              <w:tc>
                <w:tcPr>
                  <w:tcW w:w="441" w:type="pct"/>
                  <w:tcBorders>
                    <w:bottom w:val="single" w:color="auto" w:sz="4" w:space="0"/>
                  </w:tcBorders>
                  <w:vAlign w:val="center"/>
                </w:tcPr>
                <w:p w14:paraId="1AE014B4">
                  <w:pPr>
                    <w:pStyle w:val="42"/>
                    <w:rPr>
                      <w:snapToGrid w:val="0"/>
                      <w:color w:val="auto"/>
                      <w:sz w:val="21"/>
                      <w:szCs w:val="21"/>
                    </w:rPr>
                  </w:pPr>
                  <w:r>
                    <w:rPr>
                      <w:snapToGrid w:val="0"/>
                      <w:color w:val="auto"/>
                      <w:sz w:val="21"/>
                      <w:szCs w:val="21"/>
                    </w:rPr>
                    <w:t>400</w:t>
                  </w:r>
                </w:p>
              </w:tc>
              <w:tc>
                <w:tcPr>
                  <w:tcW w:w="506" w:type="pct"/>
                  <w:tcBorders>
                    <w:bottom w:val="single" w:color="auto" w:sz="4" w:space="0"/>
                  </w:tcBorders>
                  <w:vAlign w:val="center"/>
                </w:tcPr>
                <w:p w14:paraId="320C7A9F">
                  <w:pPr>
                    <w:pStyle w:val="42"/>
                    <w:rPr>
                      <w:snapToGrid w:val="0"/>
                      <w:color w:val="auto"/>
                      <w:sz w:val="21"/>
                      <w:szCs w:val="21"/>
                    </w:rPr>
                  </w:pPr>
                  <w:r>
                    <w:rPr>
                      <w:snapToGrid w:val="0"/>
                      <w:color w:val="auto"/>
                      <w:sz w:val="21"/>
                      <w:szCs w:val="21"/>
                    </w:rPr>
                    <w:t>45</w:t>
                  </w:r>
                </w:p>
              </w:tc>
              <w:tc>
                <w:tcPr>
                  <w:tcW w:w="402" w:type="pct"/>
                  <w:tcBorders>
                    <w:bottom w:val="single" w:color="auto" w:sz="4" w:space="0"/>
                  </w:tcBorders>
                  <w:vAlign w:val="center"/>
                </w:tcPr>
                <w:p w14:paraId="7F439D57">
                  <w:pPr>
                    <w:pStyle w:val="42"/>
                    <w:rPr>
                      <w:snapToGrid w:val="0"/>
                      <w:color w:val="auto"/>
                      <w:sz w:val="21"/>
                      <w:szCs w:val="21"/>
                    </w:rPr>
                  </w:pPr>
                  <w:r>
                    <w:rPr>
                      <w:rFonts w:hint="eastAsia"/>
                      <w:snapToGrid w:val="0"/>
                      <w:color w:val="auto"/>
                      <w:sz w:val="21"/>
                      <w:szCs w:val="21"/>
                    </w:rPr>
                    <w:t>8</w:t>
                  </w:r>
                </w:p>
              </w:tc>
              <w:tc>
                <w:tcPr>
                  <w:tcW w:w="489" w:type="pct"/>
                  <w:tcBorders>
                    <w:bottom w:val="single" w:color="auto" w:sz="4" w:space="0"/>
                  </w:tcBorders>
                  <w:vAlign w:val="center"/>
                </w:tcPr>
                <w:p w14:paraId="733BB5ED">
                  <w:pPr>
                    <w:pStyle w:val="42"/>
                    <w:rPr>
                      <w:snapToGrid w:val="0"/>
                      <w:color w:val="auto"/>
                      <w:sz w:val="21"/>
                      <w:szCs w:val="21"/>
                    </w:rPr>
                  </w:pPr>
                  <w:r>
                    <w:rPr>
                      <w:snapToGrid w:val="0"/>
                      <w:color w:val="auto"/>
                      <w:sz w:val="21"/>
                      <w:szCs w:val="21"/>
                    </w:rPr>
                    <w:t>100</w:t>
                  </w:r>
                </w:p>
              </w:tc>
            </w:tr>
            <w:bookmarkEnd w:id="31"/>
          </w:tbl>
          <w:p w14:paraId="09B2AED6">
            <w:pPr>
              <w:autoSpaceDE w:val="0"/>
              <w:autoSpaceDN w:val="0"/>
              <w:adjustRightInd w:val="0"/>
              <w:snapToGrid w:val="0"/>
              <w:ind w:firstLine="422"/>
              <w:jc w:val="center"/>
              <w:rPr>
                <w:b/>
                <w:bCs/>
                <w:color w:val="auto"/>
                <w:kern w:val="0"/>
                <w:szCs w:val="21"/>
              </w:rPr>
            </w:pPr>
            <w:r>
              <w:rPr>
                <w:b/>
                <w:bCs/>
                <w:color w:val="auto"/>
                <w:kern w:val="0"/>
                <w:szCs w:val="21"/>
              </w:rPr>
              <w:t>表4-14废水类别、污染物及污染治理设施信息表</w:t>
            </w:r>
          </w:p>
          <w:tbl>
            <w:tblPr>
              <w:tblStyle w:val="1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30"/>
              <w:gridCol w:w="481"/>
              <w:gridCol w:w="820"/>
              <w:gridCol w:w="901"/>
              <w:gridCol w:w="827"/>
              <w:gridCol w:w="1000"/>
              <w:gridCol w:w="552"/>
              <w:gridCol w:w="534"/>
              <w:gridCol w:w="547"/>
              <w:gridCol w:w="744"/>
              <w:gridCol w:w="715"/>
              <w:gridCol w:w="608"/>
            </w:tblGrid>
            <w:tr w14:paraId="2EBE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7" w:hRule="atLeast"/>
              </w:trPr>
              <w:tc>
                <w:tcPr>
                  <w:tcW w:w="430" w:type="dxa"/>
                  <w:vMerge w:val="restart"/>
                  <w:vAlign w:val="center"/>
                </w:tcPr>
                <w:p w14:paraId="186E2DCA">
                  <w:pPr>
                    <w:pStyle w:val="42"/>
                    <w:rPr>
                      <w:snapToGrid w:val="0"/>
                      <w:color w:val="auto"/>
                      <w:sz w:val="21"/>
                      <w:szCs w:val="21"/>
                    </w:rPr>
                  </w:pPr>
                  <w:r>
                    <w:rPr>
                      <w:snapToGrid w:val="0"/>
                      <w:color w:val="auto"/>
                      <w:sz w:val="21"/>
                      <w:szCs w:val="21"/>
                    </w:rPr>
                    <w:t>序号</w:t>
                  </w:r>
                </w:p>
              </w:tc>
              <w:tc>
                <w:tcPr>
                  <w:tcW w:w="481" w:type="dxa"/>
                  <w:vMerge w:val="restart"/>
                  <w:vAlign w:val="center"/>
                </w:tcPr>
                <w:p w14:paraId="5B314006">
                  <w:pPr>
                    <w:pStyle w:val="42"/>
                    <w:rPr>
                      <w:snapToGrid w:val="0"/>
                      <w:color w:val="auto"/>
                      <w:sz w:val="21"/>
                      <w:szCs w:val="21"/>
                    </w:rPr>
                  </w:pPr>
                  <w:r>
                    <w:rPr>
                      <w:snapToGrid w:val="0"/>
                      <w:color w:val="auto"/>
                      <w:sz w:val="21"/>
                      <w:szCs w:val="21"/>
                    </w:rPr>
                    <w:t>废水类别</w:t>
                  </w:r>
                </w:p>
              </w:tc>
              <w:tc>
                <w:tcPr>
                  <w:tcW w:w="820" w:type="dxa"/>
                  <w:vMerge w:val="restart"/>
                  <w:vAlign w:val="center"/>
                </w:tcPr>
                <w:p w14:paraId="6F2C9216">
                  <w:pPr>
                    <w:pStyle w:val="42"/>
                    <w:rPr>
                      <w:snapToGrid w:val="0"/>
                      <w:color w:val="auto"/>
                      <w:sz w:val="21"/>
                      <w:szCs w:val="21"/>
                    </w:rPr>
                  </w:pPr>
                  <w:r>
                    <w:rPr>
                      <w:snapToGrid w:val="0"/>
                      <w:color w:val="auto"/>
                      <w:sz w:val="21"/>
                      <w:szCs w:val="21"/>
                    </w:rPr>
                    <w:t>污染物种类</w:t>
                  </w:r>
                </w:p>
              </w:tc>
              <w:tc>
                <w:tcPr>
                  <w:tcW w:w="901" w:type="dxa"/>
                  <w:vMerge w:val="restart"/>
                  <w:vAlign w:val="center"/>
                </w:tcPr>
                <w:p w14:paraId="178B0009">
                  <w:pPr>
                    <w:pStyle w:val="42"/>
                    <w:rPr>
                      <w:snapToGrid w:val="0"/>
                      <w:color w:val="auto"/>
                      <w:sz w:val="21"/>
                      <w:szCs w:val="21"/>
                    </w:rPr>
                  </w:pPr>
                  <w:r>
                    <w:rPr>
                      <w:rFonts w:hint="eastAsia"/>
                      <w:snapToGrid w:val="0"/>
                      <w:color w:val="auto"/>
                      <w:sz w:val="21"/>
                      <w:szCs w:val="21"/>
                    </w:rPr>
                    <w:t>排放口坐标</w:t>
                  </w:r>
                </w:p>
              </w:tc>
              <w:tc>
                <w:tcPr>
                  <w:tcW w:w="827" w:type="dxa"/>
                  <w:vMerge w:val="restart"/>
                  <w:vAlign w:val="center"/>
                </w:tcPr>
                <w:p w14:paraId="07EC73A2">
                  <w:pPr>
                    <w:pStyle w:val="42"/>
                    <w:rPr>
                      <w:snapToGrid w:val="0"/>
                      <w:color w:val="auto"/>
                      <w:sz w:val="21"/>
                      <w:szCs w:val="21"/>
                    </w:rPr>
                  </w:pPr>
                  <w:r>
                    <w:rPr>
                      <w:snapToGrid w:val="0"/>
                      <w:color w:val="auto"/>
                      <w:sz w:val="21"/>
                      <w:szCs w:val="21"/>
                    </w:rPr>
                    <w:t>排放去向</w:t>
                  </w:r>
                </w:p>
              </w:tc>
              <w:tc>
                <w:tcPr>
                  <w:tcW w:w="1000" w:type="dxa"/>
                  <w:vMerge w:val="restart"/>
                  <w:vAlign w:val="center"/>
                </w:tcPr>
                <w:p w14:paraId="5BEFB7F1">
                  <w:pPr>
                    <w:pStyle w:val="42"/>
                    <w:rPr>
                      <w:snapToGrid w:val="0"/>
                      <w:color w:val="auto"/>
                      <w:sz w:val="21"/>
                      <w:szCs w:val="21"/>
                    </w:rPr>
                  </w:pPr>
                  <w:r>
                    <w:rPr>
                      <w:snapToGrid w:val="0"/>
                      <w:color w:val="auto"/>
                      <w:sz w:val="21"/>
                      <w:szCs w:val="21"/>
                    </w:rPr>
                    <w:t>排放规律</w:t>
                  </w:r>
                </w:p>
              </w:tc>
              <w:tc>
                <w:tcPr>
                  <w:tcW w:w="1633" w:type="dxa"/>
                  <w:gridSpan w:val="3"/>
                  <w:vAlign w:val="center"/>
                </w:tcPr>
                <w:p w14:paraId="71082F44">
                  <w:pPr>
                    <w:pStyle w:val="42"/>
                    <w:rPr>
                      <w:snapToGrid w:val="0"/>
                      <w:color w:val="auto"/>
                      <w:sz w:val="21"/>
                      <w:szCs w:val="21"/>
                    </w:rPr>
                  </w:pPr>
                  <w:r>
                    <w:rPr>
                      <w:snapToGrid w:val="0"/>
                      <w:color w:val="auto"/>
                      <w:sz w:val="21"/>
                      <w:szCs w:val="21"/>
                    </w:rPr>
                    <w:t>污染治理设施</w:t>
                  </w:r>
                </w:p>
              </w:tc>
              <w:tc>
                <w:tcPr>
                  <w:tcW w:w="744" w:type="dxa"/>
                  <w:vMerge w:val="restart"/>
                  <w:vAlign w:val="center"/>
                </w:tcPr>
                <w:p w14:paraId="39C85471">
                  <w:pPr>
                    <w:pStyle w:val="42"/>
                    <w:rPr>
                      <w:snapToGrid w:val="0"/>
                      <w:color w:val="auto"/>
                      <w:sz w:val="21"/>
                      <w:szCs w:val="21"/>
                    </w:rPr>
                  </w:pPr>
                  <w:r>
                    <w:rPr>
                      <w:snapToGrid w:val="0"/>
                      <w:color w:val="auto"/>
                      <w:sz w:val="21"/>
                      <w:szCs w:val="21"/>
                    </w:rPr>
                    <w:t>排放口编号</w:t>
                  </w:r>
                </w:p>
              </w:tc>
              <w:tc>
                <w:tcPr>
                  <w:tcW w:w="715" w:type="dxa"/>
                  <w:vMerge w:val="restart"/>
                  <w:vAlign w:val="center"/>
                </w:tcPr>
                <w:p w14:paraId="52B00E95">
                  <w:pPr>
                    <w:pStyle w:val="42"/>
                    <w:rPr>
                      <w:snapToGrid w:val="0"/>
                      <w:color w:val="auto"/>
                      <w:sz w:val="21"/>
                      <w:szCs w:val="21"/>
                    </w:rPr>
                  </w:pPr>
                  <w:r>
                    <w:rPr>
                      <w:snapToGrid w:val="0"/>
                      <w:color w:val="auto"/>
                      <w:sz w:val="21"/>
                      <w:szCs w:val="21"/>
                    </w:rPr>
                    <w:t>排放</w:t>
                  </w:r>
                </w:p>
                <w:p w14:paraId="47824F5C">
                  <w:pPr>
                    <w:pStyle w:val="42"/>
                    <w:rPr>
                      <w:snapToGrid w:val="0"/>
                      <w:color w:val="auto"/>
                      <w:sz w:val="21"/>
                      <w:szCs w:val="21"/>
                    </w:rPr>
                  </w:pPr>
                  <w:r>
                    <w:rPr>
                      <w:snapToGrid w:val="0"/>
                      <w:color w:val="auto"/>
                      <w:sz w:val="21"/>
                      <w:szCs w:val="21"/>
                    </w:rPr>
                    <w:t>口设</w:t>
                  </w:r>
                </w:p>
                <w:p w14:paraId="071E8B9C">
                  <w:pPr>
                    <w:pStyle w:val="42"/>
                    <w:rPr>
                      <w:snapToGrid w:val="0"/>
                      <w:color w:val="auto"/>
                      <w:sz w:val="21"/>
                      <w:szCs w:val="21"/>
                    </w:rPr>
                  </w:pPr>
                  <w:r>
                    <w:rPr>
                      <w:snapToGrid w:val="0"/>
                      <w:color w:val="auto"/>
                      <w:sz w:val="21"/>
                      <w:szCs w:val="21"/>
                    </w:rPr>
                    <w:t>施是</w:t>
                  </w:r>
                </w:p>
                <w:p w14:paraId="6C8AB991">
                  <w:pPr>
                    <w:pStyle w:val="42"/>
                    <w:rPr>
                      <w:snapToGrid w:val="0"/>
                      <w:color w:val="auto"/>
                      <w:sz w:val="21"/>
                      <w:szCs w:val="21"/>
                    </w:rPr>
                  </w:pPr>
                  <w:r>
                    <w:rPr>
                      <w:snapToGrid w:val="0"/>
                      <w:color w:val="auto"/>
                      <w:sz w:val="21"/>
                      <w:szCs w:val="21"/>
                    </w:rPr>
                    <w:t>否符</w:t>
                  </w:r>
                </w:p>
                <w:p w14:paraId="6B4985B1">
                  <w:pPr>
                    <w:pStyle w:val="42"/>
                    <w:rPr>
                      <w:snapToGrid w:val="0"/>
                      <w:color w:val="auto"/>
                      <w:sz w:val="21"/>
                      <w:szCs w:val="21"/>
                    </w:rPr>
                  </w:pPr>
                  <w:r>
                    <w:rPr>
                      <w:snapToGrid w:val="0"/>
                      <w:color w:val="auto"/>
                      <w:sz w:val="21"/>
                      <w:szCs w:val="21"/>
                    </w:rPr>
                    <w:t>合要</w:t>
                  </w:r>
                </w:p>
                <w:p w14:paraId="2747773D">
                  <w:pPr>
                    <w:pStyle w:val="42"/>
                    <w:rPr>
                      <w:snapToGrid w:val="0"/>
                      <w:color w:val="auto"/>
                      <w:sz w:val="21"/>
                      <w:szCs w:val="21"/>
                    </w:rPr>
                  </w:pPr>
                  <w:r>
                    <w:rPr>
                      <w:snapToGrid w:val="0"/>
                      <w:color w:val="auto"/>
                      <w:sz w:val="21"/>
                      <w:szCs w:val="21"/>
                    </w:rPr>
                    <w:t>求</w:t>
                  </w:r>
                </w:p>
              </w:tc>
              <w:tc>
                <w:tcPr>
                  <w:tcW w:w="608" w:type="dxa"/>
                  <w:vMerge w:val="restart"/>
                  <w:vAlign w:val="center"/>
                </w:tcPr>
                <w:p w14:paraId="0D24C55E">
                  <w:pPr>
                    <w:pStyle w:val="42"/>
                    <w:rPr>
                      <w:snapToGrid w:val="0"/>
                      <w:color w:val="auto"/>
                      <w:sz w:val="21"/>
                      <w:szCs w:val="21"/>
                    </w:rPr>
                  </w:pPr>
                  <w:r>
                    <w:rPr>
                      <w:snapToGrid w:val="0"/>
                      <w:color w:val="auto"/>
                      <w:sz w:val="21"/>
                      <w:szCs w:val="21"/>
                    </w:rPr>
                    <w:t>排放口类型</w:t>
                  </w:r>
                </w:p>
              </w:tc>
            </w:tr>
            <w:tr w14:paraId="524E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7" w:hRule="atLeast"/>
              </w:trPr>
              <w:tc>
                <w:tcPr>
                  <w:tcW w:w="430" w:type="dxa"/>
                  <w:vMerge w:val="continue"/>
                  <w:vAlign w:val="center"/>
                </w:tcPr>
                <w:p w14:paraId="019137C0">
                  <w:pPr>
                    <w:pStyle w:val="42"/>
                    <w:rPr>
                      <w:snapToGrid w:val="0"/>
                      <w:color w:val="auto"/>
                      <w:sz w:val="21"/>
                      <w:szCs w:val="21"/>
                    </w:rPr>
                  </w:pPr>
                </w:p>
              </w:tc>
              <w:tc>
                <w:tcPr>
                  <w:tcW w:w="481" w:type="dxa"/>
                  <w:vMerge w:val="continue"/>
                  <w:vAlign w:val="center"/>
                </w:tcPr>
                <w:p w14:paraId="7DD16237">
                  <w:pPr>
                    <w:pStyle w:val="42"/>
                    <w:rPr>
                      <w:snapToGrid w:val="0"/>
                      <w:color w:val="auto"/>
                      <w:sz w:val="21"/>
                      <w:szCs w:val="21"/>
                    </w:rPr>
                  </w:pPr>
                </w:p>
              </w:tc>
              <w:tc>
                <w:tcPr>
                  <w:tcW w:w="820" w:type="dxa"/>
                  <w:vMerge w:val="continue"/>
                  <w:vAlign w:val="center"/>
                </w:tcPr>
                <w:p w14:paraId="11660A0B">
                  <w:pPr>
                    <w:pStyle w:val="42"/>
                    <w:rPr>
                      <w:snapToGrid w:val="0"/>
                      <w:color w:val="auto"/>
                      <w:sz w:val="21"/>
                      <w:szCs w:val="21"/>
                    </w:rPr>
                  </w:pPr>
                </w:p>
              </w:tc>
              <w:tc>
                <w:tcPr>
                  <w:tcW w:w="901" w:type="dxa"/>
                  <w:vMerge w:val="continue"/>
                  <w:vAlign w:val="center"/>
                </w:tcPr>
                <w:p w14:paraId="0CC3566A">
                  <w:pPr>
                    <w:pStyle w:val="42"/>
                    <w:rPr>
                      <w:snapToGrid w:val="0"/>
                      <w:color w:val="auto"/>
                      <w:sz w:val="21"/>
                      <w:szCs w:val="21"/>
                    </w:rPr>
                  </w:pPr>
                </w:p>
              </w:tc>
              <w:tc>
                <w:tcPr>
                  <w:tcW w:w="827" w:type="dxa"/>
                  <w:vMerge w:val="continue"/>
                  <w:vAlign w:val="center"/>
                </w:tcPr>
                <w:p w14:paraId="4A97CC1B">
                  <w:pPr>
                    <w:pStyle w:val="42"/>
                    <w:rPr>
                      <w:snapToGrid w:val="0"/>
                      <w:color w:val="auto"/>
                      <w:sz w:val="21"/>
                      <w:szCs w:val="21"/>
                    </w:rPr>
                  </w:pPr>
                </w:p>
              </w:tc>
              <w:tc>
                <w:tcPr>
                  <w:tcW w:w="1000" w:type="dxa"/>
                  <w:vMerge w:val="continue"/>
                  <w:vAlign w:val="center"/>
                </w:tcPr>
                <w:p w14:paraId="4AE1B42E">
                  <w:pPr>
                    <w:pStyle w:val="42"/>
                    <w:rPr>
                      <w:snapToGrid w:val="0"/>
                      <w:color w:val="auto"/>
                      <w:sz w:val="21"/>
                      <w:szCs w:val="21"/>
                    </w:rPr>
                  </w:pPr>
                </w:p>
              </w:tc>
              <w:tc>
                <w:tcPr>
                  <w:tcW w:w="552" w:type="dxa"/>
                  <w:vAlign w:val="center"/>
                </w:tcPr>
                <w:p w14:paraId="7ACFA677">
                  <w:pPr>
                    <w:pStyle w:val="42"/>
                    <w:rPr>
                      <w:snapToGrid w:val="0"/>
                      <w:color w:val="auto"/>
                      <w:sz w:val="21"/>
                      <w:szCs w:val="21"/>
                    </w:rPr>
                  </w:pPr>
                  <w:r>
                    <w:rPr>
                      <w:snapToGrid w:val="0"/>
                      <w:color w:val="auto"/>
                      <w:sz w:val="21"/>
                      <w:szCs w:val="21"/>
                    </w:rPr>
                    <w:t>污染治理设施编号</w:t>
                  </w:r>
                </w:p>
              </w:tc>
              <w:tc>
                <w:tcPr>
                  <w:tcW w:w="534" w:type="dxa"/>
                  <w:vAlign w:val="center"/>
                </w:tcPr>
                <w:p w14:paraId="76CAB316">
                  <w:pPr>
                    <w:pStyle w:val="42"/>
                    <w:rPr>
                      <w:snapToGrid w:val="0"/>
                      <w:color w:val="auto"/>
                      <w:sz w:val="21"/>
                      <w:szCs w:val="21"/>
                    </w:rPr>
                  </w:pPr>
                  <w:r>
                    <w:rPr>
                      <w:snapToGrid w:val="0"/>
                      <w:color w:val="auto"/>
                      <w:sz w:val="21"/>
                      <w:szCs w:val="21"/>
                    </w:rPr>
                    <w:t>污染治理设施名称</w:t>
                  </w:r>
                </w:p>
              </w:tc>
              <w:tc>
                <w:tcPr>
                  <w:tcW w:w="547" w:type="dxa"/>
                  <w:vAlign w:val="center"/>
                </w:tcPr>
                <w:p w14:paraId="537C80C6">
                  <w:pPr>
                    <w:pStyle w:val="42"/>
                    <w:rPr>
                      <w:snapToGrid w:val="0"/>
                      <w:color w:val="auto"/>
                      <w:sz w:val="21"/>
                      <w:szCs w:val="21"/>
                    </w:rPr>
                  </w:pPr>
                  <w:r>
                    <w:rPr>
                      <w:snapToGrid w:val="0"/>
                      <w:color w:val="auto"/>
                      <w:sz w:val="21"/>
                      <w:szCs w:val="21"/>
                    </w:rPr>
                    <w:t>污染治理设施工艺</w:t>
                  </w:r>
                </w:p>
              </w:tc>
              <w:tc>
                <w:tcPr>
                  <w:tcW w:w="744" w:type="dxa"/>
                  <w:vMerge w:val="continue"/>
                  <w:vAlign w:val="center"/>
                </w:tcPr>
                <w:p w14:paraId="64F99003">
                  <w:pPr>
                    <w:pStyle w:val="42"/>
                    <w:rPr>
                      <w:snapToGrid w:val="0"/>
                      <w:color w:val="auto"/>
                      <w:sz w:val="21"/>
                      <w:szCs w:val="21"/>
                    </w:rPr>
                  </w:pPr>
                </w:p>
              </w:tc>
              <w:tc>
                <w:tcPr>
                  <w:tcW w:w="715" w:type="dxa"/>
                  <w:vMerge w:val="continue"/>
                  <w:vAlign w:val="center"/>
                </w:tcPr>
                <w:p w14:paraId="0950409C">
                  <w:pPr>
                    <w:pStyle w:val="42"/>
                    <w:rPr>
                      <w:snapToGrid w:val="0"/>
                      <w:color w:val="auto"/>
                      <w:sz w:val="21"/>
                      <w:szCs w:val="21"/>
                    </w:rPr>
                  </w:pPr>
                </w:p>
              </w:tc>
              <w:tc>
                <w:tcPr>
                  <w:tcW w:w="608" w:type="dxa"/>
                  <w:vMerge w:val="continue"/>
                  <w:vAlign w:val="center"/>
                </w:tcPr>
                <w:p w14:paraId="166E72F9">
                  <w:pPr>
                    <w:pStyle w:val="42"/>
                    <w:rPr>
                      <w:snapToGrid w:val="0"/>
                      <w:color w:val="auto"/>
                      <w:sz w:val="21"/>
                      <w:szCs w:val="21"/>
                    </w:rPr>
                  </w:pPr>
                </w:p>
              </w:tc>
            </w:tr>
            <w:tr w14:paraId="7646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30" w:type="dxa"/>
                  <w:vAlign w:val="center"/>
                </w:tcPr>
                <w:p w14:paraId="2ECEE41F">
                  <w:pPr>
                    <w:pStyle w:val="42"/>
                    <w:rPr>
                      <w:snapToGrid w:val="0"/>
                      <w:color w:val="auto"/>
                      <w:sz w:val="21"/>
                      <w:szCs w:val="21"/>
                    </w:rPr>
                  </w:pPr>
                  <w:r>
                    <w:rPr>
                      <w:snapToGrid w:val="0"/>
                      <w:color w:val="auto"/>
                      <w:sz w:val="21"/>
                      <w:szCs w:val="21"/>
                    </w:rPr>
                    <w:t>1</w:t>
                  </w:r>
                </w:p>
              </w:tc>
              <w:tc>
                <w:tcPr>
                  <w:tcW w:w="481" w:type="dxa"/>
                  <w:vAlign w:val="center"/>
                </w:tcPr>
                <w:p w14:paraId="74A283BC">
                  <w:pPr>
                    <w:pStyle w:val="42"/>
                    <w:rPr>
                      <w:snapToGrid w:val="0"/>
                      <w:color w:val="auto"/>
                      <w:sz w:val="21"/>
                      <w:szCs w:val="21"/>
                    </w:rPr>
                  </w:pPr>
                  <w:r>
                    <w:rPr>
                      <w:rFonts w:hint="eastAsia"/>
                      <w:snapToGrid w:val="0"/>
                      <w:color w:val="auto"/>
                      <w:sz w:val="21"/>
                      <w:szCs w:val="21"/>
                      <w:lang w:val="en-US" w:eastAsia="zh-CN"/>
                    </w:rPr>
                    <w:t>综合</w:t>
                  </w:r>
                  <w:r>
                    <w:rPr>
                      <w:snapToGrid w:val="0"/>
                      <w:color w:val="auto"/>
                      <w:sz w:val="21"/>
                      <w:szCs w:val="21"/>
                    </w:rPr>
                    <w:t>污水</w:t>
                  </w:r>
                </w:p>
              </w:tc>
              <w:tc>
                <w:tcPr>
                  <w:tcW w:w="820" w:type="dxa"/>
                  <w:vAlign w:val="center"/>
                </w:tcPr>
                <w:p w14:paraId="23E6B8A0">
                  <w:pPr>
                    <w:pStyle w:val="42"/>
                    <w:rPr>
                      <w:snapToGrid w:val="0"/>
                      <w:color w:val="auto"/>
                      <w:sz w:val="21"/>
                      <w:szCs w:val="21"/>
                    </w:rPr>
                  </w:pPr>
                  <w:r>
                    <w:rPr>
                      <w:snapToGrid w:val="0"/>
                      <w:color w:val="auto"/>
                      <w:sz w:val="21"/>
                      <w:szCs w:val="21"/>
                    </w:rPr>
                    <w:t>COD、BOD5、SS、氨氮、TP</w:t>
                  </w:r>
                </w:p>
              </w:tc>
              <w:tc>
                <w:tcPr>
                  <w:tcW w:w="901" w:type="dxa"/>
                  <w:vAlign w:val="center"/>
                </w:tcPr>
                <w:p w14:paraId="4959509A">
                  <w:pPr>
                    <w:pStyle w:val="42"/>
                    <w:rPr>
                      <w:rFonts w:hint="eastAsia" w:eastAsia="宋体"/>
                      <w:snapToGrid w:val="0"/>
                      <w:color w:val="auto"/>
                      <w:sz w:val="21"/>
                      <w:szCs w:val="21"/>
                      <w:lang w:eastAsia="zh-CN"/>
                    </w:rPr>
                  </w:pPr>
                  <w:r>
                    <w:rPr>
                      <w:rFonts w:hint="eastAsia"/>
                      <w:snapToGrid w:val="0"/>
                      <w:color w:val="auto"/>
                      <w:sz w:val="21"/>
                      <w:szCs w:val="21"/>
                    </w:rPr>
                    <w:t>84.85646725</w:t>
                  </w:r>
                  <w:r>
                    <w:rPr>
                      <w:rFonts w:hint="eastAsia"/>
                      <w:snapToGrid w:val="0"/>
                      <w:color w:val="auto"/>
                      <w:sz w:val="21"/>
                      <w:szCs w:val="21"/>
                      <w:lang w:eastAsia="zh-CN"/>
                    </w:rPr>
                    <w:t>，44.83679107</w:t>
                  </w:r>
                </w:p>
              </w:tc>
              <w:tc>
                <w:tcPr>
                  <w:tcW w:w="827" w:type="dxa"/>
                  <w:vAlign w:val="center"/>
                </w:tcPr>
                <w:p w14:paraId="359ECAB9">
                  <w:pPr>
                    <w:pStyle w:val="42"/>
                    <w:rPr>
                      <w:snapToGrid w:val="0"/>
                      <w:color w:val="auto"/>
                      <w:sz w:val="21"/>
                      <w:szCs w:val="21"/>
                    </w:rPr>
                  </w:pPr>
                  <w:r>
                    <w:rPr>
                      <w:rFonts w:hint="eastAsia"/>
                      <w:snapToGrid w:val="0"/>
                      <w:color w:val="auto"/>
                      <w:sz w:val="21"/>
                      <w:szCs w:val="21"/>
                    </w:rPr>
                    <w:t>胡杨河经济开发区南区污水处理厂</w:t>
                  </w:r>
                </w:p>
              </w:tc>
              <w:tc>
                <w:tcPr>
                  <w:tcW w:w="1000" w:type="dxa"/>
                  <w:vAlign w:val="center"/>
                </w:tcPr>
                <w:p w14:paraId="0EBE4427">
                  <w:pPr>
                    <w:pStyle w:val="42"/>
                    <w:rPr>
                      <w:snapToGrid w:val="0"/>
                      <w:color w:val="auto"/>
                      <w:sz w:val="21"/>
                      <w:szCs w:val="21"/>
                    </w:rPr>
                  </w:pPr>
                  <w:r>
                    <w:rPr>
                      <w:snapToGrid w:val="0"/>
                      <w:color w:val="auto"/>
                      <w:sz w:val="21"/>
                      <w:szCs w:val="21"/>
                    </w:rPr>
                    <w:t>间断排放，排放期间流量不稳定，但有周期性规律</w:t>
                  </w:r>
                </w:p>
              </w:tc>
              <w:tc>
                <w:tcPr>
                  <w:tcW w:w="552" w:type="dxa"/>
                  <w:vAlign w:val="center"/>
                </w:tcPr>
                <w:p w14:paraId="21F58E3D">
                  <w:pPr>
                    <w:pStyle w:val="42"/>
                    <w:rPr>
                      <w:snapToGrid w:val="0"/>
                      <w:color w:val="auto"/>
                      <w:sz w:val="21"/>
                      <w:szCs w:val="21"/>
                    </w:rPr>
                  </w:pPr>
                  <w:r>
                    <w:rPr>
                      <w:snapToGrid w:val="0"/>
                      <w:color w:val="auto"/>
                      <w:sz w:val="21"/>
                      <w:szCs w:val="21"/>
                    </w:rPr>
                    <w:t>/</w:t>
                  </w:r>
                </w:p>
              </w:tc>
              <w:tc>
                <w:tcPr>
                  <w:tcW w:w="534" w:type="dxa"/>
                  <w:vAlign w:val="center"/>
                </w:tcPr>
                <w:p w14:paraId="0665F978">
                  <w:pPr>
                    <w:pStyle w:val="42"/>
                    <w:rPr>
                      <w:rFonts w:hint="eastAsia" w:eastAsia="宋体"/>
                      <w:snapToGrid w:val="0"/>
                      <w:color w:val="auto"/>
                      <w:sz w:val="21"/>
                      <w:szCs w:val="21"/>
                      <w:lang w:eastAsia="zh-CN"/>
                    </w:rPr>
                  </w:pPr>
                  <w:r>
                    <w:rPr>
                      <w:rFonts w:hint="eastAsia"/>
                      <w:snapToGrid w:val="0"/>
                      <w:color w:val="auto"/>
                      <w:sz w:val="21"/>
                      <w:szCs w:val="21"/>
                    </w:rPr>
                    <w:t>隔油+</w:t>
                  </w:r>
                  <w:r>
                    <w:rPr>
                      <w:rFonts w:hint="eastAsia"/>
                      <w:snapToGrid w:val="0"/>
                      <w:color w:val="auto"/>
                      <w:sz w:val="21"/>
                      <w:szCs w:val="21"/>
                      <w:lang w:val="en-US" w:eastAsia="zh-CN"/>
                    </w:rPr>
                    <w:t>预处理池</w:t>
                  </w:r>
                </w:p>
              </w:tc>
              <w:tc>
                <w:tcPr>
                  <w:tcW w:w="547" w:type="dxa"/>
                  <w:vAlign w:val="center"/>
                </w:tcPr>
                <w:p w14:paraId="486E3758">
                  <w:pPr>
                    <w:pStyle w:val="42"/>
                    <w:rPr>
                      <w:snapToGrid w:val="0"/>
                      <w:color w:val="auto"/>
                      <w:sz w:val="21"/>
                      <w:szCs w:val="21"/>
                    </w:rPr>
                  </w:pPr>
                  <w:r>
                    <w:rPr>
                      <w:snapToGrid w:val="0"/>
                      <w:color w:val="auto"/>
                      <w:sz w:val="21"/>
                      <w:szCs w:val="21"/>
                    </w:rPr>
                    <w:t>/</w:t>
                  </w:r>
                </w:p>
              </w:tc>
              <w:tc>
                <w:tcPr>
                  <w:tcW w:w="744" w:type="dxa"/>
                  <w:vAlign w:val="center"/>
                </w:tcPr>
                <w:p w14:paraId="32834867">
                  <w:pPr>
                    <w:pStyle w:val="42"/>
                    <w:rPr>
                      <w:snapToGrid w:val="0"/>
                      <w:color w:val="auto"/>
                      <w:sz w:val="21"/>
                      <w:szCs w:val="21"/>
                    </w:rPr>
                  </w:pPr>
                  <w:r>
                    <w:rPr>
                      <w:snapToGrid w:val="0"/>
                      <w:color w:val="auto"/>
                      <w:sz w:val="21"/>
                      <w:szCs w:val="21"/>
                    </w:rPr>
                    <w:t>DW001</w:t>
                  </w:r>
                </w:p>
              </w:tc>
              <w:tc>
                <w:tcPr>
                  <w:tcW w:w="715" w:type="dxa"/>
                  <w:vAlign w:val="center"/>
                </w:tcPr>
                <w:p w14:paraId="1FD8282F">
                  <w:pPr>
                    <w:pStyle w:val="42"/>
                    <w:rPr>
                      <w:snapToGrid w:val="0"/>
                      <w:color w:val="auto"/>
                      <w:sz w:val="21"/>
                      <w:szCs w:val="21"/>
                    </w:rPr>
                  </w:pPr>
                  <w:r>
                    <w:rPr>
                      <w:snapToGrid w:val="0"/>
                      <w:color w:val="auto"/>
                      <w:sz w:val="21"/>
                      <w:szCs w:val="21"/>
                    </w:rPr>
                    <w:sym w:font="Wingdings 2" w:char="0052"/>
                  </w:r>
                  <w:r>
                    <w:rPr>
                      <w:snapToGrid w:val="0"/>
                      <w:color w:val="auto"/>
                      <w:sz w:val="21"/>
                      <w:szCs w:val="21"/>
                    </w:rPr>
                    <w:t>是</w:t>
                  </w:r>
                </w:p>
                <w:p w14:paraId="31DCE0B6">
                  <w:pPr>
                    <w:pStyle w:val="42"/>
                    <w:rPr>
                      <w:snapToGrid w:val="0"/>
                      <w:color w:val="auto"/>
                      <w:sz w:val="21"/>
                      <w:szCs w:val="21"/>
                    </w:rPr>
                  </w:pPr>
                  <w:r>
                    <w:rPr>
                      <w:snapToGrid w:val="0"/>
                      <w:color w:val="auto"/>
                      <w:sz w:val="21"/>
                      <w:szCs w:val="21"/>
                    </w:rPr>
                    <w:t>□否</w:t>
                  </w:r>
                </w:p>
              </w:tc>
              <w:tc>
                <w:tcPr>
                  <w:tcW w:w="608" w:type="dxa"/>
                  <w:vAlign w:val="center"/>
                </w:tcPr>
                <w:p w14:paraId="0B635092">
                  <w:pPr>
                    <w:pStyle w:val="42"/>
                    <w:rPr>
                      <w:snapToGrid w:val="0"/>
                      <w:color w:val="auto"/>
                      <w:sz w:val="21"/>
                      <w:szCs w:val="21"/>
                    </w:rPr>
                  </w:pPr>
                  <w:r>
                    <w:rPr>
                      <w:snapToGrid w:val="0"/>
                      <w:color w:val="auto"/>
                      <w:sz w:val="21"/>
                      <w:szCs w:val="21"/>
                    </w:rPr>
                    <w:t>☑企业总排</w:t>
                  </w:r>
                </w:p>
                <w:p w14:paraId="13CBB877">
                  <w:pPr>
                    <w:pStyle w:val="42"/>
                    <w:rPr>
                      <w:snapToGrid w:val="0"/>
                      <w:color w:val="auto"/>
                      <w:sz w:val="21"/>
                      <w:szCs w:val="21"/>
                    </w:rPr>
                  </w:pPr>
                </w:p>
              </w:tc>
            </w:tr>
          </w:tbl>
          <w:p w14:paraId="1FAE3ABA">
            <w:pPr>
              <w:spacing w:line="360" w:lineRule="auto"/>
              <w:ind w:firstLine="420" w:firstLineChars="200"/>
              <w:rPr>
                <w:color w:val="auto"/>
              </w:rPr>
            </w:pPr>
            <w:r>
              <w:rPr>
                <w:color w:val="auto"/>
              </w:rPr>
              <w:t>（3）</w:t>
            </w:r>
            <w:r>
              <w:rPr>
                <w:rFonts w:hint="eastAsia"/>
                <w:color w:val="auto"/>
              </w:rPr>
              <w:t>废水依托胡杨河经济开发区</w:t>
            </w:r>
            <w:r>
              <w:rPr>
                <w:color w:val="auto"/>
              </w:rPr>
              <w:t>南区</w:t>
            </w:r>
            <w:r>
              <w:rPr>
                <w:rFonts w:hint="eastAsia"/>
                <w:color w:val="auto"/>
              </w:rPr>
              <w:t>污水处理厂的可行性分析</w:t>
            </w:r>
          </w:p>
          <w:p w14:paraId="2CB7B066">
            <w:pPr>
              <w:spacing w:line="360" w:lineRule="auto"/>
              <w:ind w:firstLine="420" w:firstLineChars="200"/>
              <w:rPr>
                <w:color w:val="auto"/>
              </w:rPr>
            </w:pPr>
            <w:r>
              <w:rPr>
                <w:rFonts w:hint="eastAsia"/>
                <w:color w:val="auto"/>
                <w:lang w:val="en-US" w:eastAsia="zh-CN"/>
              </w:rPr>
              <w:t>①</w:t>
            </w:r>
            <w:r>
              <w:rPr>
                <w:color w:val="auto"/>
              </w:rPr>
              <w:t>胡杨河经济技术开发区南区污水处理厂基本情况</w:t>
            </w:r>
          </w:p>
          <w:p w14:paraId="15204B4E">
            <w:pPr>
              <w:spacing w:line="360" w:lineRule="auto"/>
              <w:ind w:firstLine="420" w:firstLineChars="200"/>
              <w:rPr>
                <w:color w:val="auto"/>
              </w:rPr>
            </w:pPr>
            <w:r>
              <w:rPr>
                <w:color w:val="auto"/>
              </w:rPr>
              <w:t>开发区南园区现状已有一座园区污水处理厂，处理规模3万m</w:t>
            </w:r>
            <w:r>
              <w:rPr>
                <w:color w:val="auto"/>
                <w:vertAlign w:val="superscript"/>
              </w:rPr>
              <w:t>3</w:t>
            </w:r>
            <w:r>
              <w:rPr>
                <w:color w:val="auto"/>
              </w:rPr>
              <w:t>/d，采用的处理工艺是“预处理—生化处理—深度处理”工艺，其中预处理单元采用“混凝沉淀+气浮”工艺，生化单元采用“水解酸化+A2/O”工艺，深度处理单元采用“臭氧-曝气生物滤池”工艺，污泥处理工艺为浓缩+双隔膜压滤机脱水，然后卫生填埋处理。出水达到《城镇污水处理厂污染物排放标准》（GB18918-2002）一级A标准后，通过中水管线排至中水库暂存。</w:t>
            </w:r>
          </w:p>
          <w:p w14:paraId="5DDF8662">
            <w:pPr>
              <w:spacing w:line="360" w:lineRule="auto"/>
              <w:ind w:firstLine="422" w:firstLineChars="200"/>
              <w:rPr>
                <w:color w:val="auto"/>
              </w:rPr>
            </w:pPr>
            <w:r>
              <w:rPr>
                <w:b/>
                <w:bCs/>
                <w:color w:val="auto"/>
              </w:rPr>
              <w:t>根据兵团第七师胡杨河市生态环境局《关于师市开发区企业执行相关标准的通知》（师市环发〔2021〕7号），胡杨河市经开区污水处理厂的纳管标准是</w:t>
            </w:r>
            <w:r>
              <w:rPr>
                <w:color w:val="auto"/>
              </w:rPr>
              <w:t>：所有企业废水污染物排放限值均应满足行业标准中“间接排放”标准限值要求；暂无行业标准的，应执行《污水综合排放标准》（GB8978-1996）三级标准限值。</w:t>
            </w:r>
          </w:p>
          <w:p w14:paraId="5230E964">
            <w:pPr>
              <w:spacing w:line="360" w:lineRule="auto"/>
              <w:ind w:firstLine="420" w:firstLineChars="200"/>
              <w:rPr>
                <w:color w:val="auto"/>
              </w:rPr>
            </w:pPr>
            <w:r>
              <w:rPr>
                <w:color w:val="auto"/>
              </w:rPr>
              <w:t>园区共有中水库二期，其中中水库（一期）有效库容为182万m</w:t>
            </w:r>
            <w:r>
              <w:rPr>
                <w:color w:val="auto"/>
                <w:vertAlign w:val="superscript"/>
              </w:rPr>
              <w:t>3</w:t>
            </w:r>
            <w:r>
              <w:rPr>
                <w:color w:val="auto"/>
              </w:rPr>
              <w:t>，中水库（二期）有效库容为163万m</w:t>
            </w:r>
            <w:r>
              <w:rPr>
                <w:color w:val="auto"/>
                <w:vertAlign w:val="superscript"/>
              </w:rPr>
              <w:t>3</w:t>
            </w:r>
            <w:r>
              <w:rPr>
                <w:color w:val="auto"/>
              </w:rPr>
              <w:t>，为在用状态。</w:t>
            </w:r>
          </w:p>
          <w:p w14:paraId="6253035E">
            <w:pPr>
              <w:spacing w:line="360" w:lineRule="auto"/>
              <w:ind w:firstLine="420" w:firstLineChars="200"/>
              <w:rPr>
                <w:color w:val="auto"/>
              </w:rPr>
            </w:pPr>
            <w:r>
              <w:rPr>
                <w:color w:val="auto"/>
              </w:rPr>
              <w:t>为解决南园区污水出路，第七师胡杨河经济技术开发区管委会委托开展了南园区中水综合利用项目。目前已建成除盐设施一座，采用预处理+反渗透除盐工艺，反渗透进水水量500m</w:t>
            </w:r>
            <w:r>
              <w:rPr>
                <w:color w:val="auto"/>
                <w:vertAlign w:val="superscript"/>
              </w:rPr>
              <w:t>3</w:t>
            </w:r>
            <w:r>
              <w:rPr>
                <w:color w:val="auto"/>
              </w:rPr>
              <w:t>/h，出水混合一部分库内存水用于耐盐碱植被灌溉，每日消耗库内存水规模为10000m</w:t>
            </w:r>
            <w:r>
              <w:rPr>
                <w:color w:val="auto"/>
                <w:vertAlign w:val="superscript"/>
              </w:rPr>
              <w:t>3</w:t>
            </w:r>
            <w:r>
              <w:rPr>
                <w:color w:val="auto"/>
              </w:rPr>
              <w:t>；种植耐盐碱植被5000亩，配套建设约9km绿化用水主干管。</w:t>
            </w:r>
          </w:p>
          <w:p w14:paraId="2072C181">
            <w:pPr>
              <w:spacing w:line="360" w:lineRule="auto"/>
              <w:ind w:firstLine="420" w:firstLineChars="200"/>
              <w:rPr>
                <w:color w:val="auto"/>
              </w:rPr>
            </w:pPr>
            <w:r>
              <w:rPr>
                <w:rFonts w:hint="eastAsia"/>
                <w:color w:val="auto"/>
                <w:lang w:val="en-US" w:eastAsia="zh-CN"/>
              </w:rPr>
              <w:t>②</w:t>
            </w:r>
            <w:r>
              <w:rPr>
                <w:color w:val="auto"/>
              </w:rPr>
              <w:t>水量可行性分析</w:t>
            </w:r>
          </w:p>
          <w:p w14:paraId="6439A965">
            <w:pPr>
              <w:spacing w:line="360" w:lineRule="auto"/>
              <w:ind w:firstLine="420" w:firstLineChars="200"/>
              <w:rPr>
                <w:color w:val="auto"/>
              </w:rPr>
            </w:pPr>
            <w:r>
              <w:rPr>
                <w:color w:val="auto"/>
              </w:rPr>
              <w:t>根据调查，南园区现有污水处理厂全年日平均处理水量约12000m</w:t>
            </w:r>
            <w:r>
              <w:rPr>
                <w:color w:val="auto"/>
                <w:vertAlign w:val="superscript"/>
              </w:rPr>
              <w:t>3</w:t>
            </w:r>
            <w:r>
              <w:rPr>
                <w:color w:val="auto"/>
              </w:rPr>
              <w:t>/d，小于3万m</w:t>
            </w:r>
            <w:r>
              <w:rPr>
                <w:color w:val="auto"/>
                <w:vertAlign w:val="superscript"/>
              </w:rPr>
              <w:t>3</w:t>
            </w:r>
            <w:r>
              <w:rPr>
                <w:color w:val="auto"/>
              </w:rPr>
              <w:t>/d的设计规模。本项目运行后新增排放废水主要为生活污水，外排废水量为</w:t>
            </w:r>
            <w:r>
              <w:rPr>
                <w:rFonts w:hint="eastAsia"/>
                <w:color w:val="auto"/>
                <w:lang w:val="en-US" w:eastAsia="zh-CN"/>
              </w:rPr>
              <w:t>7.867</w:t>
            </w:r>
            <w:r>
              <w:rPr>
                <w:color w:val="auto"/>
              </w:rPr>
              <w:t>m</w:t>
            </w:r>
            <w:r>
              <w:rPr>
                <w:color w:val="auto"/>
                <w:vertAlign w:val="superscript"/>
              </w:rPr>
              <w:t>3</w:t>
            </w:r>
            <w:r>
              <w:rPr>
                <w:color w:val="auto"/>
              </w:rPr>
              <w:t>/d，胡杨河经济技术开发区南区污水处理厂从水量上可以满足项目排水需求。</w:t>
            </w:r>
          </w:p>
          <w:p w14:paraId="53B76E15">
            <w:pPr>
              <w:spacing w:line="360" w:lineRule="auto"/>
              <w:ind w:firstLine="420" w:firstLineChars="200"/>
              <w:rPr>
                <w:color w:val="auto"/>
              </w:rPr>
            </w:pPr>
            <w:r>
              <w:rPr>
                <w:rFonts w:hint="eastAsia"/>
                <w:color w:val="auto"/>
                <w:lang w:val="en-US" w:eastAsia="zh-CN"/>
              </w:rPr>
              <w:t>③</w:t>
            </w:r>
            <w:r>
              <w:rPr>
                <w:color w:val="auto"/>
              </w:rPr>
              <w:t>水质可行性分析</w:t>
            </w:r>
          </w:p>
          <w:p w14:paraId="35AD2BAA">
            <w:pPr>
              <w:spacing w:line="360" w:lineRule="auto"/>
              <w:ind w:firstLine="420" w:firstLineChars="200"/>
              <w:rPr>
                <w:color w:val="auto"/>
              </w:rPr>
            </w:pPr>
            <w:r>
              <w:rPr>
                <w:color w:val="auto"/>
              </w:rPr>
              <w:t>胡杨河经济技术开发区污水处理厂接纳污水水质标准为：行业预处理标准或《污水综合排放标准》（GB8978-1996）表4中三级标准，一类污染物必须满足企业车间排放要求，才可排入园区污水管道送入污水处理厂。</w:t>
            </w:r>
          </w:p>
          <w:p w14:paraId="3F73AA42">
            <w:pPr>
              <w:spacing w:line="360" w:lineRule="auto"/>
              <w:ind w:firstLine="420" w:firstLineChars="200"/>
              <w:rPr>
                <w:color w:val="auto"/>
              </w:rPr>
            </w:pPr>
            <w:r>
              <w:rPr>
                <w:color w:val="auto"/>
              </w:rPr>
              <w:t>本项目不涉及一类污染物，</w:t>
            </w:r>
            <w:r>
              <w:rPr>
                <w:rFonts w:hint="eastAsia"/>
                <w:color w:val="auto"/>
                <w:lang w:val="en-US" w:eastAsia="zh-CN"/>
              </w:rPr>
              <w:t>外排水质</w:t>
            </w:r>
            <w:r>
              <w:rPr>
                <w:color w:val="auto"/>
              </w:rPr>
              <w:t>可以满足《污水综合排放标准》（GB8978-1996）表4中三级标准，满足胡杨河经济技术开发区污水处理厂的进水水质要求，因此从排水水质上也不会对污水处理厂造成冲击影响。</w:t>
            </w:r>
          </w:p>
          <w:p w14:paraId="7398B7A5">
            <w:pPr>
              <w:spacing w:line="360" w:lineRule="auto"/>
              <w:ind w:firstLine="420" w:firstLineChars="200"/>
              <w:rPr>
                <w:color w:val="auto"/>
              </w:rPr>
            </w:pPr>
            <w:r>
              <w:rPr>
                <w:rFonts w:hint="eastAsia"/>
                <w:color w:val="auto"/>
                <w:lang w:val="en-US" w:eastAsia="zh-CN"/>
              </w:rPr>
              <w:t>④</w:t>
            </w:r>
            <w:r>
              <w:rPr>
                <w:color w:val="auto"/>
              </w:rPr>
              <w:t>稳定运行可行性</w:t>
            </w:r>
          </w:p>
          <w:p w14:paraId="604DEB28">
            <w:pPr>
              <w:spacing w:line="360" w:lineRule="auto"/>
              <w:ind w:firstLine="420" w:firstLineChars="200"/>
              <w:rPr>
                <w:color w:val="auto"/>
              </w:rPr>
            </w:pPr>
            <w:r>
              <w:rPr>
                <w:color w:val="auto"/>
              </w:rPr>
              <w:t>根据调查，园区污水处理厂出水稳定达标。目前园区排水管网铺设至项目厂区。因此项目排放废水进入胡杨河经济技术开发区污水处理厂无论从水质还是水量及污水处理厂稳定运行方面都是可行的。</w:t>
            </w:r>
          </w:p>
          <w:p w14:paraId="652428C1">
            <w:pPr>
              <w:pStyle w:val="18"/>
              <w:ind w:firstLine="422"/>
              <w:rPr>
                <w:b/>
                <w:bCs/>
                <w:snapToGrid w:val="0"/>
                <w:color w:val="auto"/>
              </w:rPr>
            </w:pPr>
            <w:r>
              <w:rPr>
                <w:b/>
                <w:bCs/>
                <w:snapToGrid w:val="0"/>
                <w:color w:val="auto"/>
              </w:rPr>
              <w:t>（4）监测计划</w:t>
            </w:r>
          </w:p>
          <w:p w14:paraId="0EE14563">
            <w:pPr>
              <w:pStyle w:val="18"/>
              <w:ind w:firstLine="422"/>
              <w:rPr>
                <w:b/>
                <w:bCs/>
                <w:snapToGrid w:val="0"/>
                <w:color w:val="auto"/>
              </w:rPr>
            </w:pPr>
            <w:r>
              <w:rPr>
                <w:rFonts w:hint="eastAsia"/>
                <w:b/>
                <w:bCs/>
                <w:snapToGrid w:val="0"/>
                <w:color w:val="auto"/>
              </w:rPr>
              <w:t>本次环评参考《排污单位自行监测技术指南农药制造工业》（HJ987</w:t>
            </w:r>
            <w:r>
              <w:rPr>
                <w:rFonts w:hint="eastAsia"/>
                <w:b/>
                <w:bCs/>
                <w:snapToGrid w:val="0"/>
                <w:color w:val="auto"/>
                <w:lang w:val="en-US" w:eastAsia="zh-CN"/>
              </w:rPr>
              <w:t>-</w:t>
            </w:r>
            <w:r>
              <w:rPr>
                <w:rFonts w:hint="eastAsia"/>
                <w:b/>
                <w:bCs/>
                <w:snapToGrid w:val="0"/>
                <w:color w:val="auto"/>
              </w:rPr>
              <w:t>2018）提出项目运营阶段的污染源监测计划，详见下表：</w:t>
            </w:r>
          </w:p>
          <w:p w14:paraId="4B7D0E9C">
            <w:pPr>
              <w:autoSpaceDE w:val="0"/>
              <w:autoSpaceDN w:val="0"/>
              <w:adjustRightInd w:val="0"/>
              <w:snapToGrid w:val="0"/>
              <w:jc w:val="center"/>
              <w:rPr>
                <w:b/>
                <w:bCs/>
                <w:color w:val="auto"/>
                <w:kern w:val="0"/>
                <w:szCs w:val="21"/>
              </w:rPr>
            </w:pPr>
            <w:r>
              <w:rPr>
                <w:b/>
                <w:bCs/>
                <w:color w:val="auto"/>
                <w:kern w:val="0"/>
                <w:szCs w:val="21"/>
              </w:rPr>
              <w:t>表4-13废水环境监测计划表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3556"/>
              <w:gridCol w:w="1123"/>
              <w:gridCol w:w="2213"/>
            </w:tblGrid>
            <w:tr w14:paraId="79EA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08A26024">
                  <w:pPr>
                    <w:pStyle w:val="42"/>
                    <w:rPr>
                      <w:b/>
                      <w:bCs/>
                      <w:snapToGrid w:val="0"/>
                      <w:color w:val="auto"/>
                      <w:sz w:val="21"/>
                      <w:szCs w:val="21"/>
                    </w:rPr>
                  </w:pPr>
                  <w:r>
                    <w:rPr>
                      <w:b/>
                      <w:bCs/>
                      <w:snapToGrid w:val="0"/>
                      <w:color w:val="auto"/>
                      <w:sz w:val="21"/>
                      <w:szCs w:val="21"/>
                    </w:rPr>
                    <w:t>监测点位</w:t>
                  </w:r>
                </w:p>
              </w:tc>
              <w:tc>
                <w:tcPr>
                  <w:tcW w:w="3556" w:type="dxa"/>
                  <w:vAlign w:val="center"/>
                </w:tcPr>
                <w:p w14:paraId="0BA6B808">
                  <w:pPr>
                    <w:pStyle w:val="42"/>
                    <w:rPr>
                      <w:b/>
                      <w:bCs/>
                      <w:snapToGrid w:val="0"/>
                      <w:color w:val="auto"/>
                      <w:sz w:val="21"/>
                      <w:szCs w:val="21"/>
                    </w:rPr>
                  </w:pPr>
                  <w:r>
                    <w:rPr>
                      <w:b/>
                      <w:bCs/>
                      <w:snapToGrid w:val="0"/>
                      <w:color w:val="auto"/>
                      <w:sz w:val="21"/>
                      <w:szCs w:val="21"/>
                    </w:rPr>
                    <w:t>监测因子</w:t>
                  </w:r>
                </w:p>
              </w:tc>
              <w:tc>
                <w:tcPr>
                  <w:tcW w:w="1123" w:type="dxa"/>
                  <w:vAlign w:val="center"/>
                </w:tcPr>
                <w:p w14:paraId="0C05D0E8">
                  <w:pPr>
                    <w:pStyle w:val="42"/>
                    <w:rPr>
                      <w:b/>
                      <w:bCs/>
                      <w:snapToGrid w:val="0"/>
                      <w:color w:val="auto"/>
                      <w:sz w:val="21"/>
                      <w:szCs w:val="21"/>
                    </w:rPr>
                  </w:pPr>
                  <w:r>
                    <w:rPr>
                      <w:b/>
                      <w:bCs/>
                      <w:snapToGrid w:val="0"/>
                      <w:color w:val="auto"/>
                      <w:sz w:val="21"/>
                      <w:szCs w:val="21"/>
                    </w:rPr>
                    <w:t>监测频率</w:t>
                  </w:r>
                </w:p>
              </w:tc>
              <w:tc>
                <w:tcPr>
                  <w:tcW w:w="2213" w:type="dxa"/>
                  <w:vAlign w:val="center"/>
                </w:tcPr>
                <w:p w14:paraId="56C611BB">
                  <w:pPr>
                    <w:pStyle w:val="42"/>
                    <w:rPr>
                      <w:b/>
                      <w:bCs/>
                      <w:snapToGrid w:val="0"/>
                      <w:color w:val="auto"/>
                      <w:sz w:val="21"/>
                      <w:szCs w:val="21"/>
                    </w:rPr>
                  </w:pPr>
                  <w:r>
                    <w:rPr>
                      <w:b/>
                      <w:bCs/>
                      <w:snapToGrid w:val="0"/>
                      <w:color w:val="auto"/>
                      <w:sz w:val="21"/>
                      <w:szCs w:val="21"/>
                    </w:rPr>
                    <w:t>执行标准</w:t>
                  </w:r>
                </w:p>
              </w:tc>
            </w:tr>
            <w:tr w14:paraId="346D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restart"/>
                  <w:vAlign w:val="center"/>
                </w:tcPr>
                <w:p w14:paraId="174B1819">
                  <w:pPr>
                    <w:pStyle w:val="42"/>
                    <w:rPr>
                      <w:snapToGrid w:val="0"/>
                      <w:color w:val="auto"/>
                      <w:sz w:val="21"/>
                      <w:szCs w:val="21"/>
                    </w:rPr>
                  </w:pPr>
                  <w:r>
                    <w:rPr>
                      <w:snapToGrid w:val="0"/>
                      <w:color w:val="auto"/>
                      <w:sz w:val="21"/>
                      <w:szCs w:val="21"/>
                    </w:rPr>
                    <w:t>厂区总排口</w:t>
                  </w:r>
                </w:p>
              </w:tc>
              <w:tc>
                <w:tcPr>
                  <w:tcW w:w="3556" w:type="dxa"/>
                  <w:vAlign w:val="center"/>
                </w:tcPr>
                <w:p w14:paraId="1A812D3C">
                  <w:pPr>
                    <w:pStyle w:val="42"/>
                    <w:rPr>
                      <w:snapToGrid w:val="0"/>
                      <w:color w:val="auto"/>
                      <w:sz w:val="21"/>
                      <w:szCs w:val="21"/>
                    </w:rPr>
                  </w:pPr>
                  <w:r>
                    <w:rPr>
                      <w:rFonts w:hint="eastAsia"/>
                      <w:snapToGrid w:val="0"/>
                      <w:color w:val="auto"/>
                      <w:sz w:val="21"/>
                      <w:szCs w:val="21"/>
                    </w:rPr>
                    <w:t>流量、pH值、COD、NH</w:t>
                  </w:r>
                  <w:r>
                    <w:rPr>
                      <w:rFonts w:hint="eastAsia"/>
                      <w:snapToGrid w:val="0"/>
                      <w:color w:val="auto"/>
                      <w:sz w:val="21"/>
                      <w:szCs w:val="21"/>
                      <w:vertAlign w:val="subscript"/>
                    </w:rPr>
                    <w:t>3</w:t>
                  </w:r>
                  <w:r>
                    <w:rPr>
                      <w:rFonts w:hint="eastAsia"/>
                      <w:snapToGrid w:val="0"/>
                      <w:color w:val="auto"/>
                      <w:sz w:val="21"/>
                      <w:szCs w:val="21"/>
                    </w:rPr>
                    <w:t>-N</w:t>
                  </w:r>
                </w:p>
              </w:tc>
              <w:tc>
                <w:tcPr>
                  <w:tcW w:w="1123" w:type="dxa"/>
                  <w:vAlign w:val="center"/>
                </w:tcPr>
                <w:p w14:paraId="4ABFF0E6">
                  <w:pPr>
                    <w:pStyle w:val="42"/>
                    <w:rPr>
                      <w:rFonts w:hint="eastAsia" w:eastAsia="宋体"/>
                      <w:snapToGrid w:val="0"/>
                      <w:color w:val="auto"/>
                      <w:sz w:val="21"/>
                      <w:szCs w:val="21"/>
                      <w:lang w:eastAsia="zh-CN"/>
                    </w:rPr>
                  </w:pPr>
                  <w:r>
                    <w:rPr>
                      <w:snapToGrid w:val="0"/>
                      <w:color w:val="auto"/>
                      <w:sz w:val="21"/>
                      <w:szCs w:val="21"/>
                    </w:rPr>
                    <w:t>1次/</w:t>
                  </w:r>
                  <w:r>
                    <w:rPr>
                      <w:rFonts w:hint="eastAsia"/>
                      <w:snapToGrid w:val="0"/>
                      <w:color w:val="auto"/>
                      <w:sz w:val="21"/>
                      <w:szCs w:val="21"/>
                      <w:lang w:val="en-US" w:eastAsia="zh-CN"/>
                    </w:rPr>
                    <w:t>月</w:t>
                  </w:r>
                </w:p>
              </w:tc>
              <w:tc>
                <w:tcPr>
                  <w:tcW w:w="2213" w:type="dxa"/>
                  <w:vMerge w:val="restart"/>
                  <w:vAlign w:val="center"/>
                </w:tcPr>
                <w:p w14:paraId="1E50615E">
                  <w:pPr>
                    <w:pStyle w:val="42"/>
                    <w:rPr>
                      <w:snapToGrid w:val="0"/>
                      <w:color w:val="auto"/>
                      <w:sz w:val="21"/>
                      <w:szCs w:val="21"/>
                    </w:rPr>
                  </w:pPr>
                  <w:r>
                    <w:rPr>
                      <w:snapToGrid w:val="0"/>
                      <w:color w:val="auto"/>
                      <w:sz w:val="21"/>
                      <w:szCs w:val="21"/>
                    </w:rPr>
                    <w:t>《污水综合排放标准》(GB8978-1996)、《污水排入城镇下水道水质标准》</w:t>
                  </w:r>
                </w:p>
              </w:tc>
            </w:tr>
            <w:tr w14:paraId="5B92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vAlign w:val="center"/>
                </w:tcPr>
                <w:p w14:paraId="38639B13">
                  <w:pPr>
                    <w:pStyle w:val="42"/>
                    <w:rPr>
                      <w:snapToGrid w:val="0"/>
                      <w:color w:val="auto"/>
                      <w:sz w:val="21"/>
                      <w:szCs w:val="21"/>
                    </w:rPr>
                  </w:pPr>
                </w:p>
              </w:tc>
              <w:tc>
                <w:tcPr>
                  <w:tcW w:w="3556" w:type="dxa"/>
                  <w:vAlign w:val="center"/>
                </w:tcPr>
                <w:p w14:paraId="253A5CB4">
                  <w:pPr>
                    <w:pStyle w:val="42"/>
                    <w:rPr>
                      <w:rFonts w:hint="default" w:eastAsia="宋体"/>
                      <w:snapToGrid w:val="0"/>
                      <w:color w:val="auto"/>
                      <w:sz w:val="21"/>
                      <w:szCs w:val="21"/>
                      <w:lang w:val="en-US" w:eastAsia="zh-CN"/>
                    </w:rPr>
                  </w:pPr>
                  <w:r>
                    <w:rPr>
                      <w:rFonts w:hint="eastAsia"/>
                      <w:snapToGrid w:val="0"/>
                      <w:color w:val="auto"/>
                      <w:sz w:val="21"/>
                      <w:szCs w:val="21"/>
                    </w:rPr>
                    <w:t>悬浮物、石油类、</w:t>
                  </w:r>
                  <w:r>
                    <w:rPr>
                      <w:rFonts w:hint="eastAsia"/>
                      <w:snapToGrid w:val="0"/>
                      <w:color w:val="auto"/>
                      <w:sz w:val="21"/>
                      <w:szCs w:val="21"/>
                      <w:lang w:val="en-US" w:eastAsia="zh-CN"/>
                    </w:rPr>
                    <w:t>色度、BOD</w:t>
                  </w:r>
                  <w:r>
                    <w:rPr>
                      <w:rFonts w:hint="eastAsia"/>
                      <w:snapToGrid w:val="0"/>
                      <w:color w:val="auto"/>
                      <w:sz w:val="21"/>
                      <w:szCs w:val="21"/>
                      <w:vertAlign w:val="subscript"/>
                      <w:lang w:val="en-US" w:eastAsia="zh-CN"/>
                    </w:rPr>
                    <w:t>5</w:t>
                  </w:r>
                  <w:r>
                    <w:rPr>
                      <w:rFonts w:hint="eastAsia"/>
                      <w:snapToGrid w:val="0"/>
                      <w:color w:val="auto"/>
                      <w:sz w:val="21"/>
                      <w:szCs w:val="21"/>
                      <w:lang w:val="en-US" w:eastAsia="zh-CN"/>
                    </w:rPr>
                    <w:t>、</w:t>
                  </w:r>
                  <w:r>
                    <w:rPr>
                      <w:rFonts w:hint="eastAsia"/>
                      <w:snapToGrid w:val="0"/>
                      <w:color w:val="auto"/>
                      <w:sz w:val="21"/>
                      <w:szCs w:val="21"/>
                    </w:rPr>
                    <w:t>磷酸盐（以P计）（总磷）</w:t>
                  </w:r>
                  <w:r>
                    <w:rPr>
                      <w:rFonts w:hint="eastAsia"/>
                      <w:snapToGrid w:val="0"/>
                      <w:color w:val="auto"/>
                      <w:sz w:val="21"/>
                      <w:szCs w:val="21"/>
                      <w:lang w:eastAsia="zh-CN"/>
                    </w:rPr>
                    <w:t>、</w:t>
                  </w:r>
                  <w:r>
                    <w:rPr>
                      <w:rFonts w:hint="eastAsia"/>
                      <w:snapToGrid w:val="0"/>
                      <w:color w:val="auto"/>
                      <w:sz w:val="21"/>
                      <w:szCs w:val="21"/>
                      <w:lang w:val="en-US" w:eastAsia="zh-CN"/>
                    </w:rPr>
                    <w:t>总氮</w:t>
                  </w:r>
                </w:p>
              </w:tc>
              <w:tc>
                <w:tcPr>
                  <w:tcW w:w="1123" w:type="dxa"/>
                  <w:vAlign w:val="center"/>
                </w:tcPr>
                <w:p w14:paraId="4A370EE0">
                  <w:pPr>
                    <w:pStyle w:val="42"/>
                    <w:rPr>
                      <w:snapToGrid w:val="0"/>
                      <w:color w:val="auto"/>
                      <w:sz w:val="21"/>
                      <w:szCs w:val="21"/>
                    </w:rPr>
                  </w:pPr>
                  <w:r>
                    <w:rPr>
                      <w:snapToGrid w:val="0"/>
                      <w:color w:val="auto"/>
                      <w:sz w:val="21"/>
                      <w:szCs w:val="21"/>
                    </w:rPr>
                    <w:t>1次/</w:t>
                  </w:r>
                  <w:r>
                    <w:rPr>
                      <w:rFonts w:hint="eastAsia"/>
                      <w:snapToGrid w:val="0"/>
                      <w:color w:val="auto"/>
                      <w:sz w:val="21"/>
                      <w:szCs w:val="21"/>
                      <w:lang w:val="en-US" w:eastAsia="zh-CN"/>
                    </w:rPr>
                    <w:t>季度</w:t>
                  </w:r>
                </w:p>
              </w:tc>
              <w:tc>
                <w:tcPr>
                  <w:tcW w:w="2213" w:type="dxa"/>
                  <w:vMerge w:val="continue"/>
                  <w:vAlign w:val="center"/>
                </w:tcPr>
                <w:p w14:paraId="12654741">
                  <w:pPr>
                    <w:pStyle w:val="42"/>
                    <w:rPr>
                      <w:snapToGrid w:val="0"/>
                      <w:color w:val="auto"/>
                      <w:sz w:val="21"/>
                      <w:szCs w:val="21"/>
                    </w:rPr>
                  </w:pPr>
                </w:p>
              </w:tc>
            </w:tr>
          </w:tbl>
          <w:p w14:paraId="53B3EFAD">
            <w:pPr>
              <w:spacing w:line="360" w:lineRule="auto"/>
              <w:ind w:firstLine="420" w:firstLineChars="200"/>
              <w:rPr>
                <w:color w:val="auto"/>
              </w:rPr>
            </w:pPr>
          </w:p>
          <w:p w14:paraId="3457AB75">
            <w:pPr>
              <w:pStyle w:val="18"/>
              <w:rPr>
                <w:snapToGrid w:val="0"/>
                <w:color w:val="auto"/>
              </w:rPr>
            </w:pPr>
            <w:r>
              <w:rPr>
                <w:snapToGrid w:val="0"/>
                <w:color w:val="auto"/>
              </w:rPr>
              <w:t>3、噪声</w:t>
            </w:r>
          </w:p>
          <w:p w14:paraId="4E02FA21">
            <w:pPr>
              <w:spacing w:line="360" w:lineRule="auto"/>
              <w:ind w:firstLine="420" w:firstLineChars="200"/>
              <w:rPr>
                <w:color w:val="auto"/>
                <w:szCs w:val="21"/>
              </w:rPr>
            </w:pPr>
            <w:r>
              <w:rPr>
                <w:color w:val="auto"/>
              </w:rPr>
              <w:t>（1）噪声源及降噪措施</w:t>
            </w:r>
          </w:p>
          <w:p w14:paraId="3B327A01">
            <w:pPr>
              <w:spacing w:line="360" w:lineRule="auto"/>
              <w:ind w:firstLine="420" w:firstLineChars="200"/>
              <w:rPr>
                <w:color w:val="auto"/>
                <w:szCs w:val="21"/>
              </w:rPr>
            </w:pPr>
            <w:r>
              <w:rPr>
                <w:color w:val="auto"/>
                <w:szCs w:val="21"/>
              </w:rPr>
              <w:t>项目噪声主要来源于</w:t>
            </w:r>
            <w:r>
              <w:rPr>
                <w:rFonts w:hint="eastAsia"/>
                <w:color w:val="auto"/>
                <w:szCs w:val="21"/>
              </w:rPr>
              <w:t>破碎机、风机</w:t>
            </w:r>
            <w:r>
              <w:rPr>
                <w:color w:val="auto"/>
                <w:szCs w:val="21"/>
              </w:rPr>
              <w:t>生产过程中产生的噪声及设备运行噪声。该项目所有生产设备均选用低噪声设备并置于生产车间内，根据《环境影响评价技术导则声环境》（HJ2.4-2021），室内噪声源调查清单详见表4-1</w:t>
            </w:r>
            <w:r>
              <w:rPr>
                <w:rFonts w:hint="eastAsia"/>
                <w:color w:val="auto"/>
                <w:szCs w:val="21"/>
                <w:lang w:val="en-US" w:eastAsia="zh-CN"/>
              </w:rPr>
              <w:t>4</w:t>
            </w:r>
            <w:r>
              <w:rPr>
                <w:color w:val="auto"/>
                <w:szCs w:val="21"/>
              </w:rPr>
              <w:t>。</w:t>
            </w:r>
          </w:p>
          <w:p w14:paraId="404D420B">
            <w:pPr>
              <w:spacing w:line="360" w:lineRule="auto"/>
              <w:ind w:firstLine="420" w:firstLineChars="200"/>
              <w:rPr>
                <w:color w:val="auto"/>
                <w:szCs w:val="21"/>
              </w:rPr>
            </w:pPr>
          </w:p>
          <w:p w14:paraId="6407BA4F">
            <w:pPr>
              <w:spacing w:line="360" w:lineRule="auto"/>
              <w:ind w:firstLine="420" w:firstLineChars="200"/>
              <w:rPr>
                <w:color w:val="auto"/>
                <w:szCs w:val="21"/>
              </w:rPr>
            </w:pPr>
          </w:p>
          <w:p w14:paraId="4A2E390F">
            <w:pPr>
              <w:spacing w:line="360" w:lineRule="auto"/>
              <w:ind w:firstLine="420" w:firstLineChars="200"/>
              <w:rPr>
                <w:color w:val="auto"/>
                <w:szCs w:val="21"/>
              </w:rPr>
            </w:pPr>
          </w:p>
          <w:p w14:paraId="684E154E">
            <w:pPr>
              <w:spacing w:line="360" w:lineRule="auto"/>
              <w:ind w:firstLine="420" w:firstLineChars="200"/>
              <w:rPr>
                <w:color w:val="auto"/>
                <w:szCs w:val="21"/>
              </w:rPr>
            </w:pPr>
          </w:p>
          <w:p w14:paraId="48BC32A6">
            <w:pPr>
              <w:spacing w:line="360" w:lineRule="auto"/>
              <w:ind w:firstLine="420" w:firstLineChars="200"/>
              <w:rPr>
                <w:color w:val="auto"/>
                <w:szCs w:val="21"/>
              </w:rPr>
            </w:pPr>
          </w:p>
          <w:p w14:paraId="7E4EB1B4">
            <w:pPr>
              <w:spacing w:line="360" w:lineRule="auto"/>
              <w:ind w:firstLine="420" w:firstLineChars="200"/>
              <w:rPr>
                <w:color w:val="auto"/>
                <w:szCs w:val="21"/>
              </w:rPr>
            </w:pPr>
          </w:p>
          <w:p w14:paraId="632F08A1">
            <w:pPr>
              <w:spacing w:line="360" w:lineRule="auto"/>
              <w:ind w:firstLine="420" w:firstLineChars="200"/>
              <w:rPr>
                <w:color w:val="auto"/>
                <w:szCs w:val="21"/>
              </w:rPr>
            </w:pPr>
          </w:p>
          <w:p w14:paraId="16A9423E">
            <w:pPr>
              <w:spacing w:line="360" w:lineRule="auto"/>
              <w:ind w:firstLine="420" w:firstLineChars="200"/>
              <w:rPr>
                <w:color w:val="auto"/>
                <w:szCs w:val="21"/>
              </w:rPr>
            </w:pPr>
          </w:p>
          <w:p w14:paraId="3A1BC959">
            <w:pPr>
              <w:spacing w:line="360" w:lineRule="auto"/>
              <w:ind w:firstLine="420" w:firstLineChars="200"/>
              <w:rPr>
                <w:color w:val="auto"/>
                <w:szCs w:val="21"/>
              </w:rPr>
            </w:pPr>
          </w:p>
          <w:p w14:paraId="2B35E4BA">
            <w:pPr>
              <w:spacing w:line="360" w:lineRule="auto"/>
              <w:ind w:firstLine="420" w:firstLineChars="200"/>
              <w:rPr>
                <w:color w:val="auto"/>
                <w:szCs w:val="21"/>
              </w:rPr>
            </w:pPr>
          </w:p>
          <w:p w14:paraId="5F4D6903">
            <w:pPr>
              <w:spacing w:line="360" w:lineRule="auto"/>
              <w:ind w:firstLine="420" w:firstLineChars="200"/>
              <w:rPr>
                <w:color w:val="auto"/>
                <w:szCs w:val="21"/>
              </w:rPr>
            </w:pPr>
          </w:p>
          <w:p w14:paraId="5185AE46">
            <w:pPr>
              <w:spacing w:line="360" w:lineRule="auto"/>
              <w:ind w:firstLine="420" w:firstLineChars="200"/>
              <w:rPr>
                <w:color w:val="auto"/>
                <w:szCs w:val="21"/>
              </w:rPr>
            </w:pPr>
          </w:p>
          <w:p w14:paraId="5B5AD7AA">
            <w:pPr>
              <w:spacing w:line="360" w:lineRule="auto"/>
              <w:ind w:firstLine="420" w:firstLineChars="200"/>
              <w:rPr>
                <w:color w:val="auto"/>
                <w:szCs w:val="21"/>
              </w:rPr>
            </w:pPr>
          </w:p>
          <w:p w14:paraId="7FFF51E1">
            <w:pPr>
              <w:spacing w:line="360" w:lineRule="auto"/>
              <w:ind w:firstLine="420" w:firstLineChars="200"/>
              <w:rPr>
                <w:color w:val="auto"/>
                <w:szCs w:val="21"/>
              </w:rPr>
            </w:pPr>
          </w:p>
          <w:p w14:paraId="7416AA2D">
            <w:pPr>
              <w:spacing w:line="360" w:lineRule="auto"/>
              <w:ind w:firstLine="420" w:firstLineChars="200"/>
              <w:rPr>
                <w:color w:val="auto"/>
                <w:szCs w:val="21"/>
              </w:rPr>
            </w:pPr>
          </w:p>
          <w:p w14:paraId="71FF67CD">
            <w:pPr>
              <w:spacing w:line="360" w:lineRule="auto"/>
              <w:ind w:firstLine="420" w:firstLineChars="200"/>
              <w:rPr>
                <w:color w:val="auto"/>
                <w:szCs w:val="21"/>
              </w:rPr>
            </w:pPr>
          </w:p>
          <w:p w14:paraId="09DE29BF">
            <w:pPr>
              <w:spacing w:line="360" w:lineRule="auto"/>
              <w:ind w:firstLine="420" w:firstLineChars="200"/>
              <w:rPr>
                <w:color w:val="auto"/>
                <w:szCs w:val="21"/>
              </w:rPr>
            </w:pPr>
          </w:p>
          <w:p w14:paraId="47C591E9">
            <w:pPr>
              <w:spacing w:line="360" w:lineRule="auto"/>
              <w:ind w:firstLine="420" w:firstLineChars="200"/>
              <w:rPr>
                <w:color w:val="auto"/>
                <w:szCs w:val="21"/>
              </w:rPr>
            </w:pPr>
          </w:p>
          <w:p w14:paraId="764AE524">
            <w:pPr>
              <w:spacing w:line="360" w:lineRule="auto"/>
              <w:ind w:firstLine="420" w:firstLineChars="200"/>
              <w:rPr>
                <w:color w:val="auto"/>
                <w:szCs w:val="21"/>
              </w:rPr>
            </w:pPr>
          </w:p>
          <w:p w14:paraId="5FDA5E75">
            <w:pPr>
              <w:spacing w:line="360" w:lineRule="auto"/>
              <w:ind w:firstLine="420" w:firstLineChars="200"/>
              <w:rPr>
                <w:color w:val="auto"/>
                <w:szCs w:val="21"/>
              </w:rPr>
            </w:pPr>
          </w:p>
          <w:p w14:paraId="49218662">
            <w:pPr>
              <w:spacing w:line="360" w:lineRule="auto"/>
              <w:ind w:firstLine="420" w:firstLineChars="200"/>
              <w:rPr>
                <w:color w:val="auto"/>
                <w:szCs w:val="21"/>
              </w:rPr>
            </w:pPr>
          </w:p>
          <w:p w14:paraId="54472AC2">
            <w:pPr>
              <w:spacing w:line="360" w:lineRule="auto"/>
              <w:ind w:firstLine="420" w:firstLineChars="200"/>
              <w:rPr>
                <w:color w:val="auto"/>
                <w:szCs w:val="21"/>
              </w:rPr>
            </w:pPr>
          </w:p>
          <w:p w14:paraId="399BC382">
            <w:pPr>
              <w:spacing w:line="360" w:lineRule="auto"/>
              <w:ind w:firstLine="420" w:firstLineChars="200"/>
              <w:rPr>
                <w:color w:val="auto"/>
                <w:szCs w:val="21"/>
              </w:rPr>
            </w:pPr>
          </w:p>
          <w:p w14:paraId="015ACEB8">
            <w:pPr>
              <w:spacing w:line="360" w:lineRule="auto"/>
              <w:ind w:firstLine="420" w:firstLineChars="200"/>
              <w:rPr>
                <w:color w:val="auto"/>
                <w:szCs w:val="21"/>
              </w:rPr>
            </w:pPr>
          </w:p>
          <w:p w14:paraId="3AD40E07">
            <w:pPr>
              <w:spacing w:line="360" w:lineRule="auto"/>
              <w:ind w:firstLine="420" w:firstLineChars="200"/>
              <w:rPr>
                <w:color w:val="auto"/>
                <w:szCs w:val="21"/>
              </w:rPr>
            </w:pPr>
          </w:p>
          <w:p w14:paraId="22450332">
            <w:pPr>
              <w:spacing w:line="360" w:lineRule="auto"/>
              <w:ind w:firstLine="420" w:firstLineChars="200"/>
              <w:rPr>
                <w:color w:val="auto"/>
                <w:szCs w:val="21"/>
              </w:rPr>
            </w:pPr>
          </w:p>
          <w:p w14:paraId="77EE874A">
            <w:pPr>
              <w:spacing w:line="360" w:lineRule="auto"/>
              <w:ind w:firstLine="420" w:firstLineChars="200"/>
              <w:rPr>
                <w:color w:val="auto"/>
                <w:szCs w:val="21"/>
              </w:rPr>
            </w:pPr>
          </w:p>
          <w:p w14:paraId="113E50F7">
            <w:pPr>
              <w:spacing w:line="360" w:lineRule="auto"/>
              <w:ind w:firstLine="420" w:firstLineChars="200"/>
              <w:rPr>
                <w:color w:val="auto"/>
                <w:szCs w:val="21"/>
              </w:rPr>
            </w:pPr>
          </w:p>
          <w:p w14:paraId="2ABF89E9">
            <w:pPr>
              <w:spacing w:line="360" w:lineRule="auto"/>
              <w:ind w:firstLine="420" w:firstLineChars="200"/>
              <w:rPr>
                <w:color w:val="auto"/>
                <w:szCs w:val="21"/>
              </w:rPr>
            </w:pPr>
          </w:p>
          <w:p w14:paraId="2768251F">
            <w:pPr>
              <w:spacing w:line="360" w:lineRule="auto"/>
              <w:ind w:firstLine="420" w:firstLineChars="200"/>
              <w:rPr>
                <w:color w:val="auto"/>
                <w:szCs w:val="21"/>
              </w:rPr>
            </w:pPr>
          </w:p>
          <w:p w14:paraId="7CE0DAD2">
            <w:pPr>
              <w:spacing w:line="360" w:lineRule="auto"/>
              <w:ind w:firstLine="420" w:firstLineChars="200"/>
              <w:rPr>
                <w:color w:val="auto"/>
                <w:szCs w:val="21"/>
              </w:rPr>
            </w:pPr>
          </w:p>
          <w:p w14:paraId="048D6B69">
            <w:pPr>
              <w:spacing w:line="360" w:lineRule="auto"/>
              <w:ind w:firstLine="420" w:firstLineChars="200"/>
              <w:rPr>
                <w:color w:val="auto"/>
                <w:szCs w:val="21"/>
              </w:rPr>
            </w:pPr>
          </w:p>
        </w:tc>
      </w:tr>
    </w:tbl>
    <w:p w14:paraId="471B5433">
      <w:pPr>
        <w:pStyle w:val="15"/>
        <w:jc w:val="center"/>
        <w:outlineLvl w:val="0"/>
        <w:rPr>
          <w:rFonts w:ascii="Times New Roman" w:hAnsi="Times New Roman"/>
          <w:snapToGrid w:val="0"/>
          <w:sz w:val="30"/>
          <w:szCs w:val="30"/>
        </w:rPr>
        <w:sectPr>
          <w:pgSz w:w="11906" w:h="16838"/>
          <w:pgMar w:top="1701" w:right="1531" w:bottom="1701" w:left="1531" w:header="851" w:footer="851" w:gutter="0"/>
          <w:cols w:space="720" w:num="1"/>
          <w:docGrid w:linePitch="312" w:charSpace="0"/>
        </w:sectPr>
      </w:pPr>
    </w:p>
    <w:p w14:paraId="41932290">
      <w:pPr>
        <w:autoSpaceDE w:val="0"/>
        <w:autoSpaceDN w:val="0"/>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w:t>
      </w:r>
      <w:r>
        <w:rPr>
          <w:b/>
          <w:bCs/>
          <w:color w:val="000000" w:themeColor="text1"/>
          <w:kern w:val="0"/>
          <w:szCs w:val="21"/>
          <w14:textFill>
            <w14:solidFill>
              <w14:schemeClr w14:val="tx1"/>
            </w14:solidFill>
          </w14:textFill>
        </w:rPr>
        <w:t>4-1</w:t>
      </w:r>
      <w:r>
        <w:rPr>
          <w:rFonts w:hint="eastAsia"/>
          <w:b/>
          <w:bCs/>
          <w:color w:val="000000" w:themeColor="text1"/>
          <w:kern w:val="0"/>
          <w:szCs w:val="21"/>
          <w:lang w:val="en-US" w:eastAsia="zh-CN"/>
          <w14:textFill>
            <w14:solidFill>
              <w14:schemeClr w14:val="tx1"/>
            </w14:solidFill>
          </w14:textFill>
        </w:rPr>
        <w:t xml:space="preserve">4 </w:t>
      </w:r>
      <w:r>
        <w:rPr>
          <w:rFonts w:hint="eastAsia"/>
          <w:b/>
          <w:bCs/>
          <w:color w:val="000000" w:themeColor="text1"/>
          <w:kern w:val="0"/>
          <w:szCs w:val="21"/>
          <w14:textFill>
            <w14:solidFill>
              <w14:schemeClr w14:val="tx1"/>
            </w14:solidFill>
          </w14:textFill>
        </w:rPr>
        <w:t>工业企业噪声源调查清单（室内声源）</w:t>
      </w:r>
    </w:p>
    <w:tbl>
      <w:tblPr>
        <w:tblStyle w:val="19"/>
        <w:tblW w:w="14078"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185"/>
        <w:gridCol w:w="657"/>
        <w:gridCol w:w="1134"/>
        <w:gridCol w:w="709"/>
        <w:gridCol w:w="709"/>
        <w:gridCol w:w="567"/>
        <w:gridCol w:w="567"/>
        <w:gridCol w:w="567"/>
        <w:gridCol w:w="567"/>
        <w:gridCol w:w="567"/>
        <w:gridCol w:w="567"/>
        <w:gridCol w:w="567"/>
        <w:gridCol w:w="567"/>
        <w:gridCol w:w="567"/>
        <w:gridCol w:w="425"/>
        <w:gridCol w:w="425"/>
        <w:gridCol w:w="567"/>
        <w:gridCol w:w="567"/>
        <w:gridCol w:w="567"/>
        <w:gridCol w:w="534"/>
        <w:gridCol w:w="644"/>
      </w:tblGrid>
      <w:tr w14:paraId="5D6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1E6D508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bookmarkStart w:id="33" w:name="_Hlk137726372"/>
            <w:r>
              <w:rPr>
                <w:rFonts w:hint="eastAsia"/>
                <w:color w:val="000000"/>
                <w:sz w:val="18"/>
                <w:szCs w:val="18"/>
              </w:rPr>
              <w:t>序号</w:t>
            </w:r>
          </w:p>
        </w:tc>
        <w:tc>
          <w:tcPr>
            <w:tcW w:w="426" w:type="dxa"/>
            <w:vMerge w:val="restart"/>
            <w:vAlign w:val="center"/>
          </w:tcPr>
          <w:p w14:paraId="7A68C22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建筑物名称</w:t>
            </w:r>
          </w:p>
        </w:tc>
        <w:tc>
          <w:tcPr>
            <w:tcW w:w="1185" w:type="dxa"/>
            <w:vMerge w:val="restart"/>
            <w:vAlign w:val="center"/>
          </w:tcPr>
          <w:p w14:paraId="26BE778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声源名称</w:t>
            </w:r>
          </w:p>
        </w:tc>
        <w:tc>
          <w:tcPr>
            <w:tcW w:w="657" w:type="dxa"/>
            <w:vAlign w:val="center"/>
          </w:tcPr>
          <w:p w14:paraId="1707234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声源强</w:t>
            </w:r>
          </w:p>
        </w:tc>
        <w:tc>
          <w:tcPr>
            <w:tcW w:w="1134" w:type="dxa"/>
            <w:vMerge w:val="restart"/>
            <w:vAlign w:val="center"/>
          </w:tcPr>
          <w:p w14:paraId="335852A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声源控制措施</w:t>
            </w:r>
          </w:p>
        </w:tc>
        <w:tc>
          <w:tcPr>
            <w:tcW w:w="1985" w:type="dxa"/>
            <w:gridSpan w:val="3"/>
            <w:vAlign w:val="center"/>
          </w:tcPr>
          <w:p w14:paraId="3A638FE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空间相对位置/m</w:t>
            </w:r>
          </w:p>
        </w:tc>
        <w:tc>
          <w:tcPr>
            <w:tcW w:w="2268" w:type="dxa"/>
            <w:gridSpan w:val="4"/>
            <w:vAlign w:val="center"/>
          </w:tcPr>
          <w:p w14:paraId="77FFA15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距室内边界距离/m</w:t>
            </w:r>
          </w:p>
        </w:tc>
        <w:tc>
          <w:tcPr>
            <w:tcW w:w="2268" w:type="dxa"/>
            <w:gridSpan w:val="4"/>
            <w:vAlign w:val="center"/>
          </w:tcPr>
          <w:p w14:paraId="3ED6ADF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室内边界声级/dB(A)</w:t>
            </w:r>
          </w:p>
        </w:tc>
        <w:tc>
          <w:tcPr>
            <w:tcW w:w="425" w:type="dxa"/>
            <w:vMerge w:val="restart"/>
            <w:vAlign w:val="center"/>
          </w:tcPr>
          <w:p w14:paraId="29C65E1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运行时段（h/</w:t>
            </w:r>
            <w:r>
              <w:rPr>
                <w:color w:val="000000"/>
                <w:sz w:val="18"/>
                <w:szCs w:val="18"/>
              </w:rPr>
              <w:t>d</w:t>
            </w:r>
            <w:r>
              <w:rPr>
                <w:rFonts w:hint="eastAsia"/>
                <w:color w:val="000000"/>
                <w:sz w:val="18"/>
                <w:szCs w:val="18"/>
              </w:rPr>
              <w:t>）</w:t>
            </w:r>
          </w:p>
        </w:tc>
        <w:tc>
          <w:tcPr>
            <w:tcW w:w="425" w:type="dxa"/>
            <w:vMerge w:val="restart"/>
            <w:vAlign w:val="center"/>
          </w:tcPr>
          <w:p w14:paraId="644D37E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建筑物插入损失</w:t>
            </w:r>
          </w:p>
        </w:tc>
        <w:tc>
          <w:tcPr>
            <w:tcW w:w="2879" w:type="dxa"/>
            <w:gridSpan w:val="5"/>
            <w:vAlign w:val="center"/>
          </w:tcPr>
          <w:p w14:paraId="774F66B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建筑物外噪声</w:t>
            </w:r>
          </w:p>
        </w:tc>
      </w:tr>
      <w:tr w14:paraId="066F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4597ADA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426" w:type="dxa"/>
            <w:vMerge w:val="continue"/>
            <w:vAlign w:val="center"/>
          </w:tcPr>
          <w:p w14:paraId="751EC4A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Merge w:val="continue"/>
            <w:vAlign w:val="center"/>
          </w:tcPr>
          <w:p w14:paraId="2186041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657" w:type="dxa"/>
            <w:vAlign w:val="center"/>
          </w:tcPr>
          <w:p w14:paraId="5DF8D56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声功率级/dB(A)</w:t>
            </w:r>
          </w:p>
        </w:tc>
        <w:tc>
          <w:tcPr>
            <w:tcW w:w="1134" w:type="dxa"/>
            <w:vMerge w:val="continue"/>
            <w:vAlign w:val="center"/>
          </w:tcPr>
          <w:p w14:paraId="7D402B9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11CBF8D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X</w:t>
            </w:r>
          </w:p>
        </w:tc>
        <w:tc>
          <w:tcPr>
            <w:tcW w:w="709" w:type="dxa"/>
            <w:vAlign w:val="center"/>
          </w:tcPr>
          <w:p w14:paraId="3C2061C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Y</w:t>
            </w:r>
          </w:p>
        </w:tc>
        <w:tc>
          <w:tcPr>
            <w:tcW w:w="567" w:type="dxa"/>
            <w:vAlign w:val="center"/>
          </w:tcPr>
          <w:p w14:paraId="6F69152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Z</w:t>
            </w:r>
          </w:p>
        </w:tc>
        <w:tc>
          <w:tcPr>
            <w:tcW w:w="567" w:type="dxa"/>
            <w:vAlign w:val="center"/>
          </w:tcPr>
          <w:p w14:paraId="53263A5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东</w:t>
            </w:r>
          </w:p>
        </w:tc>
        <w:tc>
          <w:tcPr>
            <w:tcW w:w="567" w:type="dxa"/>
            <w:vAlign w:val="center"/>
          </w:tcPr>
          <w:p w14:paraId="59F293B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南</w:t>
            </w:r>
          </w:p>
        </w:tc>
        <w:tc>
          <w:tcPr>
            <w:tcW w:w="567" w:type="dxa"/>
            <w:vAlign w:val="center"/>
          </w:tcPr>
          <w:p w14:paraId="31B0B6CC">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西</w:t>
            </w:r>
          </w:p>
        </w:tc>
        <w:tc>
          <w:tcPr>
            <w:tcW w:w="567" w:type="dxa"/>
            <w:vAlign w:val="center"/>
          </w:tcPr>
          <w:p w14:paraId="7D90089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北</w:t>
            </w:r>
          </w:p>
        </w:tc>
        <w:tc>
          <w:tcPr>
            <w:tcW w:w="567" w:type="dxa"/>
            <w:vAlign w:val="center"/>
          </w:tcPr>
          <w:p w14:paraId="58CD6ABC">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东</w:t>
            </w:r>
          </w:p>
        </w:tc>
        <w:tc>
          <w:tcPr>
            <w:tcW w:w="567" w:type="dxa"/>
            <w:vAlign w:val="center"/>
          </w:tcPr>
          <w:p w14:paraId="3EF58F4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南</w:t>
            </w:r>
          </w:p>
        </w:tc>
        <w:tc>
          <w:tcPr>
            <w:tcW w:w="567" w:type="dxa"/>
            <w:vAlign w:val="center"/>
          </w:tcPr>
          <w:p w14:paraId="059FFA3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西</w:t>
            </w:r>
          </w:p>
        </w:tc>
        <w:tc>
          <w:tcPr>
            <w:tcW w:w="567" w:type="dxa"/>
            <w:vAlign w:val="center"/>
          </w:tcPr>
          <w:p w14:paraId="79DE41B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北</w:t>
            </w:r>
          </w:p>
        </w:tc>
        <w:tc>
          <w:tcPr>
            <w:tcW w:w="425" w:type="dxa"/>
            <w:vMerge w:val="continue"/>
            <w:vAlign w:val="center"/>
          </w:tcPr>
          <w:p w14:paraId="03709D4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425" w:type="dxa"/>
            <w:vMerge w:val="continue"/>
            <w:vAlign w:val="center"/>
          </w:tcPr>
          <w:p w14:paraId="376B23C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567" w:type="dxa"/>
            <w:vAlign w:val="center"/>
          </w:tcPr>
          <w:p w14:paraId="7ABA606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东</w:t>
            </w:r>
          </w:p>
        </w:tc>
        <w:tc>
          <w:tcPr>
            <w:tcW w:w="567" w:type="dxa"/>
            <w:vAlign w:val="center"/>
          </w:tcPr>
          <w:p w14:paraId="761509D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南</w:t>
            </w:r>
          </w:p>
        </w:tc>
        <w:tc>
          <w:tcPr>
            <w:tcW w:w="567" w:type="dxa"/>
            <w:vAlign w:val="center"/>
          </w:tcPr>
          <w:p w14:paraId="6A6D356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西</w:t>
            </w:r>
          </w:p>
        </w:tc>
        <w:tc>
          <w:tcPr>
            <w:tcW w:w="534" w:type="dxa"/>
            <w:vAlign w:val="center"/>
          </w:tcPr>
          <w:p w14:paraId="7FDD395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北</w:t>
            </w:r>
          </w:p>
        </w:tc>
        <w:tc>
          <w:tcPr>
            <w:tcW w:w="644" w:type="dxa"/>
            <w:vAlign w:val="center"/>
          </w:tcPr>
          <w:p w14:paraId="4F230ED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建筑物外距离（m）</w:t>
            </w:r>
          </w:p>
        </w:tc>
      </w:tr>
      <w:tr w14:paraId="74A4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73E5F0C">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c>
          <w:tcPr>
            <w:tcW w:w="426" w:type="dxa"/>
            <w:vMerge w:val="restart"/>
            <w:vAlign w:val="center"/>
          </w:tcPr>
          <w:p w14:paraId="6C3D977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s="Times New Roman"/>
                <w:i w:val="0"/>
                <w:iCs w:val="0"/>
                <w:color w:val="auto"/>
                <w:kern w:val="0"/>
                <w:sz w:val="21"/>
                <w:szCs w:val="21"/>
                <w:u w:val="none"/>
                <w:lang w:val="en-US" w:eastAsia="zh-CN" w:bidi="ar"/>
              </w:rPr>
              <w:t>2#</w:t>
            </w:r>
            <w:r>
              <w:rPr>
                <w:rFonts w:hint="eastAsia"/>
                <w:color w:val="000000"/>
                <w:sz w:val="18"/>
                <w:szCs w:val="18"/>
                <w:lang w:val="en-US" w:eastAsia="zh-CN"/>
              </w:rPr>
              <w:t>车间</w:t>
            </w:r>
          </w:p>
        </w:tc>
        <w:tc>
          <w:tcPr>
            <w:tcW w:w="1185" w:type="dxa"/>
            <w:vAlign w:val="center"/>
          </w:tcPr>
          <w:p w14:paraId="5BA402F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剪切机</w:t>
            </w:r>
          </w:p>
        </w:tc>
        <w:tc>
          <w:tcPr>
            <w:tcW w:w="657" w:type="dxa"/>
            <w:vAlign w:val="center"/>
          </w:tcPr>
          <w:p w14:paraId="3A44252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75</w:t>
            </w:r>
          </w:p>
        </w:tc>
        <w:tc>
          <w:tcPr>
            <w:tcW w:w="1134" w:type="dxa"/>
            <w:vMerge w:val="restart"/>
            <w:vAlign w:val="center"/>
          </w:tcPr>
          <w:p w14:paraId="717977F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厂房隔声，选用低噪声设备，合理布局，设备基座减振，定期维护</w:t>
            </w:r>
          </w:p>
        </w:tc>
        <w:tc>
          <w:tcPr>
            <w:tcW w:w="709" w:type="dxa"/>
            <w:vAlign w:val="center"/>
          </w:tcPr>
          <w:p w14:paraId="1B18A53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140.6</w:t>
            </w:r>
          </w:p>
        </w:tc>
        <w:tc>
          <w:tcPr>
            <w:tcW w:w="709" w:type="dxa"/>
            <w:vAlign w:val="center"/>
          </w:tcPr>
          <w:p w14:paraId="0D75534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180.1</w:t>
            </w:r>
          </w:p>
        </w:tc>
        <w:tc>
          <w:tcPr>
            <w:tcW w:w="567" w:type="dxa"/>
            <w:vAlign w:val="center"/>
          </w:tcPr>
          <w:p w14:paraId="1795F47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1.0</w:t>
            </w:r>
          </w:p>
        </w:tc>
        <w:tc>
          <w:tcPr>
            <w:tcW w:w="567" w:type="dxa"/>
            <w:vAlign w:val="center"/>
          </w:tcPr>
          <w:p w14:paraId="665935D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3.2</w:t>
            </w:r>
          </w:p>
        </w:tc>
        <w:tc>
          <w:tcPr>
            <w:tcW w:w="567" w:type="dxa"/>
            <w:vAlign w:val="center"/>
          </w:tcPr>
          <w:p w14:paraId="40C9C52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38.0</w:t>
            </w:r>
          </w:p>
        </w:tc>
        <w:tc>
          <w:tcPr>
            <w:tcW w:w="567" w:type="dxa"/>
            <w:vAlign w:val="center"/>
          </w:tcPr>
          <w:p w14:paraId="35F86DF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20.1</w:t>
            </w:r>
          </w:p>
        </w:tc>
        <w:tc>
          <w:tcPr>
            <w:tcW w:w="567" w:type="dxa"/>
            <w:vAlign w:val="center"/>
          </w:tcPr>
          <w:p w14:paraId="7063708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5.1</w:t>
            </w:r>
          </w:p>
        </w:tc>
        <w:tc>
          <w:tcPr>
            <w:tcW w:w="567" w:type="dxa"/>
            <w:vAlign w:val="center"/>
          </w:tcPr>
          <w:p w14:paraId="768BD95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6</w:t>
            </w:r>
            <w:r>
              <w:rPr>
                <w:color w:val="000000"/>
                <w:sz w:val="18"/>
                <w:szCs w:val="18"/>
              </w:rPr>
              <w:t>4.8</w:t>
            </w:r>
          </w:p>
        </w:tc>
        <w:tc>
          <w:tcPr>
            <w:tcW w:w="567" w:type="dxa"/>
            <w:vAlign w:val="center"/>
          </w:tcPr>
          <w:p w14:paraId="42A6290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4</w:t>
            </w:r>
            <w:r>
              <w:rPr>
                <w:color w:val="000000"/>
                <w:sz w:val="18"/>
                <w:szCs w:val="18"/>
              </w:rPr>
              <w:t>3.4</w:t>
            </w:r>
          </w:p>
        </w:tc>
        <w:tc>
          <w:tcPr>
            <w:tcW w:w="567" w:type="dxa"/>
            <w:vAlign w:val="center"/>
          </w:tcPr>
          <w:p w14:paraId="3CB93EF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4</w:t>
            </w:r>
            <w:r>
              <w:rPr>
                <w:color w:val="000000"/>
                <w:sz w:val="18"/>
                <w:szCs w:val="18"/>
              </w:rPr>
              <w:t>8.9</w:t>
            </w:r>
          </w:p>
        </w:tc>
        <w:tc>
          <w:tcPr>
            <w:tcW w:w="567" w:type="dxa"/>
            <w:vAlign w:val="center"/>
          </w:tcPr>
          <w:p w14:paraId="00F09D8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6</w:t>
            </w:r>
            <w:r>
              <w:rPr>
                <w:color w:val="000000"/>
                <w:sz w:val="18"/>
                <w:szCs w:val="18"/>
              </w:rPr>
              <w:t>0.8</w:t>
            </w:r>
          </w:p>
        </w:tc>
        <w:tc>
          <w:tcPr>
            <w:tcW w:w="425" w:type="dxa"/>
            <w:vAlign w:val="center"/>
          </w:tcPr>
          <w:p w14:paraId="2FE858A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48EA23A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6B8BCD10">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49.8</w:t>
            </w:r>
          </w:p>
        </w:tc>
        <w:tc>
          <w:tcPr>
            <w:tcW w:w="567" w:type="dxa"/>
            <w:vAlign w:val="center"/>
          </w:tcPr>
          <w:p w14:paraId="24CEC4B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28.4</w:t>
            </w:r>
          </w:p>
        </w:tc>
        <w:tc>
          <w:tcPr>
            <w:tcW w:w="567" w:type="dxa"/>
            <w:vAlign w:val="center"/>
          </w:tcPr>
          <w:p w14:paraId="3A111BE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33.9</w:t>
            </w:r>
          </w:p>
        </w:tc>
        <w:tc>
          <w:tcPr>
            <w:tcW w:w="534" w:type="dxa"/>
            <w:vAlign w:val="center"/>
          </w:tcPr>
          <w:p w14:paraId="4CA48E5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45.8</w:t>
            </w:r>
          </w:p>
        </w:tc>
        <w:tc>
          <w:tcPr>
            <w:tcW w:w="644" w:type="dxa"/>
            <w:vAlign w:val="center"/>
          </w:tcPr>
          <w:p w14:paraId="55F0174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1407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73DA58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2</w:t>
            </w:r>
          </w:p>
        </w:tc>
        <w:tc>
          <w:tcPr>
            <w:tcW w:w="426" w:type="dxa"/>
            <w:vMerge w:val="continue"/>
            <w:vAlign w:val="center"/>
          </w:tcPr>
          <w:p w14:paraId="3021179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44832D81">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砂磨机</w:t>
            </w:r>
          </w:p>
        </w:tc>
        <w:tc>
          <w:tcPr>
            <w:tcW w:w="657" w:type="dxa"/>
            <w:vAlign w:val="center"/>
          </w:tcPr>
          <w:p w14:paraId="0755F7A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9</w:t>
            </w:r>
            <w:r>
              <w:rPr>
                <w:color w:val="000000"/>
                <w:sz w:val="18"/>
                <w:szCs w:val="18"/>
              </w:rPr>
              <w:t>0</w:t>
            </w:r>
          </w:p>
        </w:tc>
        <w:tc>
          <w:tcPr>
            <w:tcW w:w="1134" w:type="dxa"/>
            <w:vMerge w:val="continue"/>
            <w:vAlign w:val="center"/>
          </w:tcPr>
          <w:p w14:paraId="17CE034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54F0E09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100.5</w:t>
            </w:r>
          </w:p>
        </w:tc>
        <w:tc>
          <w:tcPr>
            <w:tcW w:w="709" w:type="dxa"/>
            <w:vAlign w:val="center"/>
          </w:tcPr>
          <w:p w14:paraId="460F6F8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115.2</w:t>
            </w:r>
          </w:p>
        </w:tc>
        <w:tc>
          <w:tcPr>
            <w:tcW w:w="567" w:type="dxa"/>
            <w:vAlign w:val="center"/>
          </w:tcPr>
          <w:p w14:paraId="58ADCDA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w:t>
            </w:r>
            <w:r>
              <w:rPr>
                <w:color w:val="000000"/>
                <w:sz w:val="18"/>
                <w:szCs w:val="18"/>
              </w:rPr>
              <w:t>.0</w:t>
            </w:r>
          </w:p>
        </w:tc>
        <w:tc>
          <w:tcPr>
            <w:tcW w:w="567" w:type="dxa"/>
            <w:vAlign w:val="center"/>
          </w:tcPr>
          <w:p w14:paraId="3F04BCF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w:t>
            </w:r>
            <w:r>
              <w:rPr>
                <w:color w:val="000000"/>
                <w:sz w:val="18"/>
                <w:szCs w:val="18"/>
              </w:rPr>
              <w:t>6.5</w:t>
            </w:r>
          </w:p>
        </w:tc>
        <w:tc>
          <w:tcPr>
            <w:tcW w:w="567" w:type="dxa"/>
            <w:vAlign w:val="center"/>
          </w:tcPr>
          <w:p w14:paraId="6E4449E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2</w:t>
            </w:r>
            <w:r>
              <w:rPr>
                <w:color w:val="000000"/>
                <w:sz w:val="18"/>
                <w:szCs w:val="18"/>
              </w:rPr>
              <w:t>5.1</w:t>
            </w:r>
          </w:p>
        </w:tc>
        <w:tc>
          <w:tcPr>
            <w:tcW w:w="567" w:type="dxa"/>
            <w:vAlign w:val="center"/>
          </w:tcPr>
          <w:p w14:paraId="5C6AF60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1.5</w:t>
            </w:r>
          </w:p>
        </w:tc>
        <w:tc>
          <w:tcPr>
            <w:tcW w:w="567" w:type="dxa"/>
            <w:vAlign w:val="center"/>
          </w:tcPr>
          <w:p w14:paraId="6AB6A1B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6.5</w:t>
            </w:r>
          </w:p>
        </w:tc>
        <w:tc>
          <w:tcPr>
            <w:tcW w:w="567" w:type="dxa"/>
            <w:vAlign w:val="center"/>
          </w:tcPr>
          <w:p w14:paraId="79EEE5B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8</w:t>
            </w:r>
            <w:r>
              <w:rPr>
                <w:color w:val="000000"/>
                <w:sz w:val="18"/>
                <w:szCs w:val="18"/>
              </w:rPr>
              <w:t>2.5</w:t>
            </w:r>
          </w:p>
        </w:tc>
        <w:tc>
          <w:tcPr>
            <w:tcW w:w="567" w:type="dxa"/>
            <w:vAlign w:val="center"/>
          </w:tcPr>
          <w:p w14:paraId="5C1A8D9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79.1</w:t>
            </w:r>
          </w:p>
        </w:tc>
        <w:tc>
          <w:tcPr>
            <w:tcW w:w="567" w:type="dxa"/>
            <w:vAlign w:val="center"/>
          </w:tcPr>
          <w:p w14:paraId="40139CD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8</w:t>
            </w:r>
            <w:r>
              <w:rPr>
                <w:color w:val="000000"/>
                <w:sz w:val="18"/>
                <w:szCs w:val="18"/>
              </w:rPr>
              <w:t>8.9</w:t>
            </w:r>
          </w:p>
        </w:tc>
        <w:tc>
          <w:tcPr>
            <w:tcW w:w="567" w:type="dxa"/>
            <w:vAlign w:val="center"/>
          </w:tcPr>
          <w:p w14:paraId="1725189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8</w:t>
            </w:r>
            <w:r>
              <w:rPr>
                <w:color w:val="000000"/>
                <w:sz w:val="18"/>
                <w:szCs w:val="18"/>
              </w:rPr>
              <w:t>7.3</w:t>
            </w:r>
          </w:p>
        </w:tc>
        <w:tc>
          <w:tcPr>
            <w:tcW w:w="425" w:type="dxa"/>
            <w:vAlign w:val="center"/>
          </w:tcPr>
          <w:p w14:paraId="79B8EFA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3F8277C7">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15</w:t>
            </w:r>
          </w:p>
        </w:tc>
        <w:tc>
          <w:tcPr>
            <w:tcW w:w="567" w:type="dxa"/>
            <w:vAlign w:val="center"/>
          </w:tcPr>
          <w:p w14:paraId="2D58045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67.5</w:t>
            </w:r>
          </w:p>
        </w:tc>
        <w:tc>
          <w:tcPr>
            <w:tcW w:w="567" w:type="dxa"/>
            <w:vAlign w:val="center"/>
          </w:tcPr>
          <w:p w14:paraId="1E4435E0">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64.1</w:t>
            </w:r>
          </w:p>
        </w:tc>
        <w:tc>
          <w:tcPr>
            <w:tcW w:w="567" w:type="dxa"/>
            <w:vAlign w:val="center"/>
          </w:tcPr>
          <w:p w14:paraId="7547240C">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73.9</w:t>
            </w:r>
          </w:p>
        </w:tc>
        <w:tc>
          <w:tcPr>
            <w:tcW w:w="534" w:type="dxa"/>
            <w:vAlign w:val="center"/>
          </w:tcPr>
          <w:p w14:paraId="452DAB9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72.3</w:t>
            </w:r>
          </w:p>
        </w:tc>
        <w:tc>
          <w:tcPr>
            <w:tcW w:w="644" w:type="dxa"/>
            <w:vAlign w:val="center"/>
          </w:tcPr>
          <w:p w14:paraId="14562E4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w:t>
            </w:r>
          </w:p>
        </w:tc>
      </w:tr>
      <w:tr w14:paraId="7E2D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CD8B8F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w:t>
            </w:r>
          </w:p>
        </w:tc>
        <w:tc>
          <w:tcPr>
            <w:tcW w:w="426" w:type="dxa"/>
            <w:vMerge w:val="continue"/>
            <w:vAlign w:val="center"/>
          </w:tcPr>
          <w:p w14:paraId="1DD830E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43CCDF3C">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泵</w:t>
            </w:r>
          </w:p>
        </w:tc>
        <w:tc>
          <w:tcPr>
            <w:tcW w:w="657" w:type="dxa"/>
            <w:vAlign w:val="center"/>
          </w:tcPr>
          <w:p w14:paraId="589400F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90</w:t>
            </w:r>
          </w:p>
        </w:tc>
        <w:tc>
          <w:tcPr>
            <w:tcW w:w="1134" w:type="dxa"/>
            <w:vMerge w:val="continue"/>
            <w:vAlign w:val="center"/>
          </w:tcPr>
          <w:p w14:paraId="118F219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12B06269">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120.5</w:t>
            </w:r>
          </w:p>
        </w:tc>
        <w:tc>
          <w:tcPr>
            <w:tcW w:w="709" w:type="dxa"/>
            <w:vAlign w:val="center"/>
          </w:tcPr>
          <w:p w14:paraId="5CECC46B">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125.4</w:t>
            </w:r>
          </w:p>
        </w:tc>
        <w:tc>
          <w:tcPr>
            <w:tcW w:w="567" w:type="dxa"/>
            <w:vAlign w:val="center"/>
          </w:tcPr>
          <w:p w14:paraId="16B168B5">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1.0</w:t>
            </w:r>
          </w:p>
        </w:tc>
        <w:tc>
          <w:tcPr>
            <w:tcW w:w="567" w:type="dxa"/>
            <w:vAlign w:val="center"/>
          </w:tcPr>
          <w:p w14:paraId="09A441FD">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14.0</w:t>
            </w:r>
          </w:p>
        </w:tc>
        <w:tc>
          <w:tcPr>
            <w:tcW w:w="567" w:type="dxa"/>
            <w:vAlign w:val="center"/>
          </w:tcPr>
          <w:p w14:paraId="4ACFD9FA">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20.5</w:t>
            </w:r>
          </w:p>
        </w:tc>
        <w:tc>
          <w:tcPr>
            <w:tcW w:w="567" w:type="dxa"/>
            <w:vAlign w:val="center"/>
          </w:tcPr>
          <w:p w14:paraId="55EC357D">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8.4</w:t>
            </w:r>
          </w:p>
        </w:tc>
        <w:tc>
          <w:tcPr>
            <w:tcW w:w="567" w:type="dxa"/>
            <w:vAlign w:val="center"/>
          </w:tcPr>
          <w:p w14:paraId="320993C2">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6.1</w:t>
            </w:r>
          </w:p>
        </w:tc>
        <w:tc>
          <w:tcPr>
            <w:tcW w:w="567" w:type="dxa"/>
            <w:vAlign w:val="center"/>
          </w:tcPr>
          <w:p w14:paraId="2BB88CE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84.0</w:t>
            </w:r>
          </w:p>
        </w:tc>
        <w:tc>
          <w:tcPr>
            <w:tcW w:w="567" w:type="dxa"/>
            <w:vAlign w:val="center"/>
          </w:tcPr>
          <w:p w14:paraId="08802B84">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81.2</w:t>
            </w:r>
          </w:p>
        </w:tc>
        <w:tc>
          <w:tcPr>
            <w:tcW w:w="567" w:type="dxa"/>
            <w:vAlign w:val="center"/>
          </w:tcPr>
          <w:p w14:paraId="0C1F46EB">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85.6</w:t>
            </w:r>
          </w:p>
        </w:tc>
        <w:tc>
          <w:tcPr>
            <w:tcW w:w="567" w:type="dxa"/>
            <w:vAlign w:val="center"/>
          </w:tcPr>
          <w:p w14:paraId="5F34598D">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88.1</w:t>
            </w:r>
          </w:p>
        </w:tc>
        <w:tc>
          <w:tcPr>
            <w:tcW w:w="425" w:type="dxa"/>
            <w:vAlign w:val="center"/>
          </w:tcPr>
          <w:p w14:paraId="13784B3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1E5DCFC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5D6459C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69</w:t>
            </w:r>
          </w:p>
        </w:tc>
        <w:tc>
          <w:tcPr>
            <w:tcW w:w="567" w:type="dxa"/>
            <w:vAlign w:val="center"/>
          </w:tcPr>
          <w:p w14:paraId="77EEBAB4">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66.2</w:t>
            </w:r>
          </w:p>
        </w:tc>
        <w:tc>
          <w:tcPr>
            <w:tcW w:w="567" w:type="dxa"/>
            <w:vAlign w:val="center"/>
          </w:tcPr>
          <w:p w14:paraId="0902DB77">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70.6</w:t>
            </w:r>
          </w:p>
        </w:tc>
        <w:tc>
          <w:tcPr>
            <w:tcW w:w="534" w:type="dxa"/>
            <w:vAlign w:val="center"/>
          </w:tcPr>
          <w:p w14:paraId="1F85A79C">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73.1</w:t>
            </w:r>
          </w:p>
        </w:tc>
        <w:tc>
          <w:tcPr>
            <w:tcW w:w="644" w:type="dxa"/>
            <w:vAlign w:val="center"/>
          </w:tcPr>
          <w:p w14:paraId="5C99805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02E0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24103D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4</w:t>
            </w:r>
          </w:p>
        </w:tc>
        <w:tc>
          <w:tcPr>
            <w:tcW w:w="426" w:type="dxa"/>
            <w:vMerge w:val="continue"/>
            <w:vAlign w:val="center"/>
          </w:tcPr>
          <w:p w14:paraId="7846CF6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1A5DA32B">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液体灌装机</w:t>
            </w:r>
          </w:p>
        </w:tc>
        <w:tc>
          <w:tcPr>
            <w:tcW w:w="657" w:type="dxa"/>
            <w:vAlign w:val="center"/>
          </w:tcPr>
          <w:p w14:paraId="633B548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85</w:t>
            </w:r>
          </w:p>
        </w:tc>
        <w:tc>
          <w:tcPr>
            <w:tcW w:w="1134" w:type="dxa"/>
            <w:vMerge w:val="continue"/>
            <w:vAlign w:val="center"/>
          </w:tcPr>
          <w:p w14:paraId="5233F66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0E10CD8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110.4</w:t>
            </w:r>
          </w:p>
        </w:tc>
        <w:tc>
          <w:tcPr>
            <w:tcW w:w="709" w:type="dxa"/>
            <w:vAlign w:val="center"/>
          </w:tcPr>
          <w:p w14:paraId="5946C6CB">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134.5</w:t>
            </w:r>
          </w:p>
        </w:tc>
        <w:tc>
          <w:tcPr>
            <w:tcW w:w="567" w:type="dxa"/>
            <w:vAlign w:val="center"/>
          </w:tcPr>
          <w:p w14:paraId="2A132866">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1.0</w:t>
            </w:r>
          </w:p>
        </w:tc>
        <w:tc>
          <w:tcPr>
            <w:tcW w:w="567" w:type="dxa"/>
            <w:vAlign w:val="center"/>
          </w:tcPr>
          <w:p w14:paraId="3966AF5C">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18.4</w:t>
            </w:r>
          </w:p>
        </w:tc>
        <w:tc>
          <w:tcPr>
            <w:tcW w:w="567" w:type="dxa"/>
            <w:vAlign w:val="center"/>
          </w:tcPr>
          <w:p w14:paraId="5B4DAE51">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25.1</w:t>
            </w:r>
          </w:p>
        </w:tc>
        <w:tc>
          <w:tcPr>
            <w:tcW w:w="567" w:type="dxa"/>
            <w:vAlign w:val="center"/>
          </w:tcPr>
          <w:p w14:paraId="088DBC70">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11.2</w:t>
            </w:r>
          </w:p>
        </w:tc>
        <w:tc>
          <w:tcPr>
            <w:tcW w:w="567" w:type="dxa"/>
            <w:vAlign w:val="center"/>
          </w:tcPr>
          <w:p w14:paraId="32D8D109">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5.4</w:t>
            </w:r>
          </w:p>
        </w:tc>
        <w:tc>
          <w:tcPr>
            <w:tcW w:w="567" w:type="dxa"/>
            <w:vAlign w:val="center"/>
          </w:tcPr>
          <w:p w14:paraId="2C18C447">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72.1</w:t>
            </w:r>
          </w:p>
        </w:tc>
        <w:tc>
          <w:tcPr>
            <w:tcW w:w="567" w:type="dxa"/>
            <w:vAlign w:val="center"/>
          </w:tcPr>
          <w:p w14:paraId="7B22F8A6">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62.4</w:t>
            </w:r>
          </w:p>
        </w:tc>
        <w:tc>
          <w:tcPr>
            <w:tcW w:w="567" w:type="dxa"/>
            <w:vAlign w:val="center"/>
          </w:tcPr>
          <w:p w14:paraId="5010E271">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67.5</w:t>
            </w:r>
          </w:p>
        </w:tc>
        <w:tc>
          <w:tcPr>
            <w:tcW w:w="567" w:type="dxa"/>
            <w:vAlign w:val="center"/>
          </w:tcPr>
          <w:p w14:paraId="7D219161">
            <w:pPr>
              <w:keepNext w:val="0"/>
              <w:keepLines w:val="0"/>
              <w:pageBreakBefore w:val="0"/>
              <w:widowControl w:val="0"/>
              <w:kinsoku/>
              <w:wordWrap/>
              <w:overflowPunct/>
              <w:topLinePunct w:val="0"/>
              <w:autoSpaceDE/>
              <w:autoSpaceDN/>
              <w:bidi w:val="0"/>
              <w:adjustRightInd/>
              <w:snapToGrid w:val="0"/>
              <w:jc w:val="center"/>
              <w:textAlignment w:val="auto"/>
              <w:rPr>
                <w:rFonts w:hint="default"/>
                <w:color w:val="000000"/>
                <w:sz w:val="18"/>
                <w:szCs w:val="18"/>
                <w:lang w:val="en-US" w:eastAsia="zh-CN"/>
              </w:rPr>
            </w:pPr>
            <w:r>
              <w:rPr>
                <w:rFonts w:hint="eastAsia"/>
                <w:color w:val="000000"/>
                <w:sz w:val="18"/>
                <w:szCs w:val="18"/>
                <w:lang w:val="en-US" w:eastAsia="zh-CN"/>
              </w:rPr>
              <w:t>81.0</w:t>
            </w:r>
          </w:p>
        </w:tc>
        <w:tc>
          <w:tcPr>
            <w:tcW w:w="425" w:type="dxa"/>
            <w:vAlign w:val="center"/>
          </w:tcPr>
          <w:p w14:paraId="0768D03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70A31A4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1AED04D8">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57.1</w:t>
            </w:r>
          </w:p>
        </w:tc>
        <w:tc>
          <w:tcPr>
            <w:tcW w:w="567" w:type="dxa"/>
            <w:vAlign w:val="center"/>
          </w:tcPr>
          <w:p w14:paraId="29B57E52">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47.4</w:t>
            </w:r>
          </w:p>
        </w:tc>
        <w:tc>
          <w:tcPr>
            <w:tcW w:w="567" w:type="dxa"/>
            <w:vAlign w:val="center"/>
          </w:tcPr>
          <w:p w14:paraId="7134F977">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52.5</w:t>
            </w:r>
          </w:p>
        </w:tc>
        <w:tc>
          <w:tcPr>
            <w:tcW w:w="534" w:type="dxa"/>
            <w:vAlign w:val="center"/>
          </w:tcPr>
          <w:p w14:paraId="306BBF5D">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66</w:t>
            </w:r>
          </w:p>
        </w:tc>
        <w:tc>
          <w:tcPr>
            <w:tcW w:w="644" w:type="dxa"/>
            <w:vAlign w:val="center"/>
          </w:tcPr>
          <w:p w14:paraId="2435CD7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6C2A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C12A110">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color w:val="000000"/>
                <w:sz w:val="18"/>
                <w:szCs w:val="18"/>
                <w:lang w:val="en-US" w:eastAsia="zh-CN"/>
              </w:rPr>
            </w:pPr>
            <w:r>
              <w:rPr>
                <w:rFonts w:hint="eastAsia"/>
                <w:color w:val="000000"/>
                <w:sz w:val="18"/>
                <w:szCs w:val="18"/>
                <w:lang w:val="en-US" w:eastAsia="zh-CN"/>
              </w:rPr>
              <w:t>5</w:t>
            </w:r>
          </w:p>
        </w:tc>
        <w:tc>
          <w:tcPr>
            <w:tcW w:w="426" w:type="dxa"/>
            <w:vMerge w:val="restart"/>
            <w:vAlign w:val="center"/>
          </w:tcPr>
          <w:p w14:paraId="2787F6F7">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1#车间</w:t>
            </w:r>
          </w:p>
        </w:tc>
        <w:tc>
          <w:tcPr>
            <w:tcW w:w="1185" w:type="dxa"/>
            <w:vAlign w:val="center"/>
          </w:tcPr>
          <w:p w14:paraId="1B20FC0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气流粉碎机</w:t>
            </w:r>
          </w:p>
        </w:tc>
        <w:tc>
          <w:tcPr>
            <w:tcW w:w="657" w:type="dxa"/>
            <w:vAlign w:val="center"/>
          </w:tcPr>
          <w:p w14:paraId="52AB695A">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90</w:t>
            </w:r>
          </w:p>
        </w:tc>
        <w:tc>
          <w:tcPr>
            <w:tcW w:w="1134" w:type="dxa"/>
            <w:vMerge w:val="continue"/>
            <w:vAlign w:val="center"/>
          </w:tcPr>
          <w:p w14:paraId="77CCFA0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437CAA7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18.2</w:t>
            </w:r>
          </w:p>
        </w:tc>
        <w:tc>
          <w:tcPr>
            <w:tcW w:w="709" w:type="dxa"/>
            <w:vAlign w:val="center"/>
          </w:tcPr>
          <w:p w14:paraId="118A295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17.1</w:t>
            </w:r>
          </w:p>
        </w:tc>
        <w:tc>
          <w:tcPr>
            <w:tcW w:w="567" w:type="dxa"/>
            <w:vAlign w:val="center"/>
          </w:tcPr>
          <w:p w14:paraId="7408A48F">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rPr>
              <w:t>1</w:t>
            </w:r>
            <w:r>
              <w:rPr>
                <w:rFonts w:hint="eastAsia"/>
                <w:color w:val="000000"/>
                <w:sz w:val="18"/>
                <w:szCs w:val="18"/>
                <w:lang w:val="en-US" w:eastAsia="zh-CN"/>
              </w:rPr>
              <w:t>.0</w:t>
            </w:r>
          </w:p>
        </w:tc>
        <w:tc>
          <w:tcPr>
            <w:tcW w:w="567" w:type="dxa"/>
            <w:vAlign w:val="center"/>
          </w:tcPr>
          <w:p w14:paraId="76C618B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w:t>
            </w:r>
            <w:r>
              <w:rPr>
                <w:rFonts w:hint="eastAsia"/>
                <w:color w:val="000000"/>
                <w:sz w:val="18"/>
                <w:szCs w:val="18"/>
              </w:rPr>
              <w:t>0.4</w:t>
            </w:r>
          </w:p>
        </w:tc>
        <w:tc>
          <w:tcPr>
            <w:tcW w:w="567" w:type="dxa"/>
            <w:vAlign w:val="center"/>
          </w:tcPr>
          <w:p w14:paraId="5E9BFFF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15.2</w:t>
            </w:r>
          </w:p>
        </w:tc>
        <w:tc>
          <w:tcPr>
            <w:tcW w:w="567" w:type="dxa"/>
            <w:vAlign w:val="center"/>
          </w:tcPr>
          <w:p w14:paraId="7A40580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13.7</w:t>
            </w:r>
          </w:p>
        </w:tc>
        <w:tc>
          <w:tcPr>
            <w:tcW w:w="567" w:type="dxa"/>
            <w:vAlign w:val="center"/>
          </w:tcPr>
          <w:p w14:paraId="672C20C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48.2</w:t>
            </w:r>
          </w:p>
        </w:tc>
        <w:tc>
          <w:tcPr>
            <w:tcW w:w="567" w:type="dxa"/>
            <w:vAlign w:val="center"/>
          </w:tcPr>
          <w:p w14:paraId="54549A89">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59.1</w:t>
            </w:r>
          </w:p>
        </w:tc>
        <w:tc>
          <w:tcPr>
            <w:tcW w:w="567" w:type="dxa"/>
            <w:vAlign w:val="center"/>
          </w:tcPr>
          <w:p w14:paraId="2554F82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76.3</w:t>
            </w:r>
          </w:p>
        </w:tc>
        <w:tc>
          <w:tcPr>
            <w:tcW w:w="567" w:type="dxa"/>
            <w:vAlign w:val="center"/>
          </w:tcPr>
          <w:p w14:paraId="79D3F3C4">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77.0</w:t>
            </w:r>
          </w:p>
        </w:tc>
        <w:tc>
          <w:tcPr>
            <w:tcW w:w="567" w:type="dxa"/>
            <w:vAlign w:val="center"/>
          </w:tcPr>
          <w:p w14:paraId="3B15F47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66.3</w:t>
            </w:r>
          </w:p>
        </w:tc>
        <w:tc>
          <w:tcPr>
            <w:tcW w:w="425" w:type="dxa"/>
            <w:vAlign w:val="center"/>
          </w:tcPr>
          <w:p w14:paraId="7C317C2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7232A03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620F9D8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44.1</w:t>
            </w:r>
          </w:p>
        </w:tc>
        <w:tc>
          <w:tcPr>
            <w:tcW w:w="567" w:type="dxa"/>
            <w:vAlign w:val="center"/>
          </w:tcPr>
          <w:p w14:paraId="50D53989">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61.3</w:t>
            </w:r>
          </w:p>
        </w:tc>
        <w:tc>
          <w:tcPr>
            <w:tcW w:w="567" w:type="dxa"/>
            <w:vAlign w:val="center"/>
          </w:tcPr>
          <w:p w14:paraId="6829E3D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62</w:t>
            </w:r>
          </w:p>
        </w:tc>
        <w:tc>
          <w:tcPr>
            <w:tcW w:w="534" w:type="dxa"/>
            <w:vAlign w:val="center"/>
          </w:tcPr>
          <w:p w14:paraId="4AD1E754">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51.3</w:t>
            </w:r>
          </w:p>
        </w:tc>
        <w:tc>
          <w:tcPr>
            <w:tcW w:w="644" w:type="dxa"/>
            <w:vAlign w:val="center"/>
          </w:tcPr>
          <w:p w14:paraId="0AA4FE0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793E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D30A5C1">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color w:val="000000"/>
                <w:sz w:val="18"/>
                <w:szCs w:val="18"/>
                <w:lang w:val="en-US" w:eastAsia="zh-CN"/>
              </w:rPr>
            </w:pPr>
            <w:r>
              <w:rPr>
                <w:rFonts w:hint="eastAsia"/>
                <w:color w:val="000000"/>
                <w:sz w:val="18"/>
                <w:szCs w:val="18"/>
                <w:lang w:val="en-US" w:eastAsia="zh-CN"/>
              </w:rPr>
              <w:t>6</w:t>
            </w:r>
          </w:p>
        </w:tc>
        <w:tc>
          <w:tcPr>
            <w:tcW w:w="426" w:type="dxa"/>
            <w:vMerge w:val="continue"/>
            <w:vAlign w:val="center"/>
          </w:tcPr>
          <w:p w14:paraId="1FFBFB4C">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0583A8B6">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泵</w:t>
            </w:r>
          </w:p>
        </w:tc>
        <w:tc>
          <w:tcPr>
            <w:tcW w:w="657" w:type="dxa"/>
            <w:vAlign w:val="center"/>
          </w:tcPr>
          <w:p w14:paraId="17C51367">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85</w:t>
            </w:r>
          </w:p>
        </w:tc>
        <w:tc>
          <w:tcPr>
            <w:tcW w:w="1134" w:type="dxa"/>
            <w:vMerge w:val="continue"/>
            <w:vAlign w:val="center"/>
          </w:tcPr>
          <w:p w14:paraId="1E868FB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24D7A45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53.1</w:t>
            </w:r>
          </w:p>
        </w:tc>
        <w:tc>
          <w:tcPr>
            <w:tcW w:w="709" w:type="dxa"/>
            <w:vAlign w:val="center"/>
          </w:tcPr>
          <w:p w14:paraId="5D348A8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15.1</w:t>
            </w:r>
          </w:p>
        </w:tc>
        <w:tc>
          <w:tcPr>
            <w:tcW w:w="567" w:type="dxa"/>
            <w:vAlign w:val="center"/>
          </w:tcPr>
          <w:p w14:paraId="26081D7C">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rPr>
              <w:t>1</w:t>
            </w:r>
            <w:r>
              <w:rPr>
                <w:rFonts w:hint="eastAsia"/>
                <w:color w:val="000000"/>
                <w:sz w:val="18"/>
                <w:szCs w:val="18"/>
                <w:lang w:val="en-US" w:eastAsia="zh-CN"/>
              </w:rPr>
              <w:t>.0</w:t>
            </w:r>
          </w:p>
        </w:tc>
        <w:tc>
          <w:tcPr>
            <w:tcW w:w="567" w:type="dxa"/>
            <w:vAlign w:val="center"/>
          </w:tcPr>
          <w:p w14:paraId="2D00B65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2</w:t>
            </w:r>
            <w:r>
              <w:rPr>
                <w:rFonts w:hint="eastAsia"/>
                <w:color w:val="000000"/>
                <w:sz w:val="18"/>
                <w:szCs w:val="18"/>
              </w:rPr>
              <w:t>0.5</w:t>
            </w:r>
          </w:p>
        </w:tc>
        <w:tc>
          <w:tcPr>
            <w:tcW w:w="567" w:type="dxa"/>
            <w:vAlign w:val="center"/>
          </w:tcPr>
          <w:p w14:paraId="3A93248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38.2</w:t>
            </w:r>
          </w:p>
        </w:tc>
        <w:tc>
          <w:tcPr>
            <w:tcW w:w="567" w:type="dxa"/>
            <w:vAlign w:val="center"/>
          </w:tcPr>
          <w:p w14:paraId="2F008F1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27.6</w:t>
            </w:r>
          </w:p>
        </w:tc>
        <w:tc>
          <w:tcPr>
            <w:tcW w:w="567" w:type="dxa"/>
            <w:vAlign w:val="center"/>
          </w:tcPr>
          <w:p w14:paraId="4713DFC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1.6</w:t>
            </w:r>
          </w:p>
        </w:tc>
        <w:tc>
          <w:tcPr>
            <w:tcW w:w="567" w:type="dxa"/>
            <w:vAlign w:val="center"/>
          </w:tcPr>
          <w:p w14:paraId="08AFD8E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49.3</w:t>
            </w:r>
          </w:p>
        </w:tc>
        <w:tc>
          <w:tcPr>
            <w:tcW w:w="567" w:type="dxa"/>
            <w:vAlign w:val="center"/>
          </w:tcPr>
          <w:p w14:paraId="42FF08E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53.3</w:t>
            </w:r>
          </w:p>
        </w:tc>
        <w:tc>
          <w:tcPr>
            <w:tcW w:w="567" w:type="dxa"/>
            <w:vAlign w:val="center"/>
          </w:tcPr>
          <w:p w14:paraId="7F45C99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56.1</w:t>
            </w:r>
          </w:p>
        </w:tc>
        <w:tc>
          <w:tcPr>
            <w:tcW w:w="567" w:type="dxa"/>
            <w:vAlign w:val="center"/>
          </w:tcPr>
          <w:p w14:paraId="178FB13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80.9</w:t>
            </w:r>
          </w:p>
        </w:tc>
        <w:tc>
          <w:tcPr>
            <w:tcW w:w="425" w:type="dxa"/>
            <w:vAlign w:val="center"/>
          </w:tcPr>
          <w:p w14:paraId="31C0AF6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58B67B0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4F3FE931">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34.3</w:t>
            </w:r>
          </w:p>
        </w:tc>
        <w:tc>
          <w:tcPr>
            <w:tcW w:w="567" w:type="dxa"/>
            <w:vAlign w:val="center"/>
          </w:tcPr>
          <w:p w14:paraId="7E95D1C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38.3</w:t>
            </w:r>
          </w:p>
        </w:tc>
        <w:tc>
          <w:tcPr>
            <w:tcW w:w="567" w:type="dxa"/>
            <w:vAlign w:val="center"/>
          </w:tcPr>
          <w:p w14:paraId="2416DBB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41.1</w:t>
            </w:r>
          </w:p>
        </w:tc>
        <w:tc>
          <w:tcPr>
            <w:tcW w:w="534" w:type="dxa"/>
            <w:vAlign w:val="center"/>
          </w:tcPr>
          <w:p w14:paraId="4E9DE22C">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65.9</w:t>
            </w:r>
          </w:p>
        </w:tc>
        <w:tc>
          <w:tcPr>
            <w:tcW w:w="644" w:type="dxa"/>
            <w:vAlign w:val="center"/>
          </w:tcPr>
          <w:p w14:paraId="73255D0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0E1E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F9AEB2A">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color w:val="000000"/>
                <w:sz w:val="18"/>
                <w:szCs w:val="18"/>
                <w:lang w:val="en-US" w:eastAsia="zh-CN"/>
              </w:rPr>
            </w:pPr>
            <w:r>
              <w:rPr>
                <w:rFonts w:hint="eastAsia"/>
                <w:color w:val="000000"/>
                <w:sz w:val="18"/>
                <w:szCs w:val="18"/>
                <w:lang w:val="en-US" w:eastAsia="zh-CN"/>
              </w:rPr>
              <w:t>7</w:t>
            </w:r>
          </w:p>
        </w:tc>
        <w:tc>
          <w:tcPr>
            <w:tcW w:w="426" w:type="dxa"/>
            <w:vMerge w:val="continue"/>
            <w:vAlign w:val="center"/>
          </w:tcPr>
          <w:p w14:paraId="00CCDB2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11CE922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固体灌装机</w:t>
            </w:r>
          </w:p>
        </w:tc>
        <w:tc>
          <w:tcPr>
            <w:tcW w:w="657" w:type="dxa"/>
            <w:vAlign w:val="center"/>
          </w:tcPr>
          <w:p w14:paraId="4EE0C016">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80</w:t>
            </w:r>
          </w:p>
        </w:tc>
        <w:tc>
          <w:tcPr>
            <w:tcW w:w="1134" w:type="dxa"/>
            <w:vMerge w:val="continue"/>
            <w:vAlign w:val="center"/>
          </w:tcPr>
          <w:p w14:paraId="3C88AD7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72722D0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53.1</w:t>
            </w:r>
          </w:p>
        </w:tc>
        <w:tc>
          <w:tcPr>
            <w:tcW w:w="709" w:type="dxa"/>
            <w:vAlign w:val="center"/>
          </w:tcPr>
          <w:p w14:paraId="5FF9F1A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84.5</w:t>
            </w:r>
          </w:p>
        </w:tc>
        <w:tc>
          <w:tcPr>
            <w:tcW w:w="567" w:type="dxa"/>
            <w:vAlign w:val="center"/>
          </w:tcPr>
          <w:p w14:paraId="5C851B11">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rPr>
              <w:t>1</w:t>
            </w:r>
            <w:r>
              <w:rPr>
                <w:rFonts w:hint="eastAsia"/>
                <w:color w:val="000000"/>
                <w:sz w:val="18"/>
                <w:szCs w:val="18"/>
                <w:lang w:val="en-US" w:eastAsia="zh-CN"/>
              </w:rPr>
              <w:t>.0</w:t>
            </w:r>
          </w:p>
        </w:tc>
        <w:tc>
          <w:tcPr>
            <w:tcW w:w="567" w:type="dxa"/>
            <w:vAlign w:val="center"/>
          </w:tcPr>
          <w:p w14:paraId="581C57D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2</w:t>
            </w:r>
            <w:r>
              <w:rPr>
                <w:rFonts w:hint="eastAsia"/>
                <w:color w:val="000000"/>
                <w:sz w:val="18"/>
                <w:szCs w:val="18"/>
              </w:rPr>
              <w:t>0.5</w:t>
            </w:r>
          </w:p>
        </w:tc>
        <w:tc>
          <w:tcPr>
            <w:tcW w:w="567" w:type="dxa"/>
            <w:vAlign w:val="center"/>
          </w:tcPr>
          <w:p w14:paraId="5F70876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34.2</w:t>
            </w:r>
          </w:p>
        </w:tc>
        <w:tc>
          <w:tcPr>
            <w:tcW w:w="567" w:type="dxa"/>
            <w:vAlign w:val="center"/>
          </w:tcPr>
          <w:p w14:paraId="26BA9C8C">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31.6</w:t>
            </w:r>
          </w:p>
        </w:tc>
        <w:tc>
          <w:tcPr>
            <w:tcW w:w="567" w:type="dxa"/>
            <w:vAlign w:val="center"/>
          </w:tcPr>
          <w:p w14:paraId="7FF2800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1.6</w:t>
            </w:r>
          </w:p>
        </w:tc>
        <w:tc>
          <w:tcPr>
            <w:tcW w:w="567" w:type="dxa"/>
            <w:vAlign w:val="center"/>
          </w:tcPr>
          <w:p w14:paraId="7427EE77">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49.3</w:t>
            </w:r>
          </w:p>
        </w:tc>
        <w:tc>
          <w:tcPr>
            <w:tcW w:w="567" w:type="dxa"/>
            <w:vAlign w:val="center"/>
          </w:tcPr>
          <w:p w14:paraId="11230AD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54.3</w:t>
            </w:r>
          </w:p>
        </w:tc>
        <w:tc>
          <w:tcPr>
            <w:tcW w:w="567" w:type="dxa"/>
            <w:vAlign w:val="center"/>
          </w:tcPr>
          <w:p w14:paraId="27007C4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55.0</w:t>
            </w:r>
          </w:p>
        </w:tc>
        <w:tc>
          <w:tcPr>
            <w:tcW w:w="567" w:type="dxa"/>
            <w:vAlign w:val="center"/>
          </w:tcPr>
          <w:p w14:paraId="2D7AC0E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80.9</w:t>
            </w:r>
          </w:p>
        </w:tc>
        <w:tc>
          <w:tcPr>
            <w:tcW w:w="425" w:type="dxa"/>
            <w:vAlign w:val="center"/>
          </w:tcPr>
          <w:p w14:paraId="1C17823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6F5CD87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66EB7353">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34.3</w:t>
            </w:r>
          </w:p>
        </w:tc>
        <w:tc>
          <w:tcPr>
            <w:tcW w:w="567" w:type="dxa"/>
            <w:vAlign w:val="center"/>
          </w:tcPr>
          <w:p w14:paraId="4E7B21B4">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39.3</w:t>
            </w:r>
          </w:p>
        </w:tc>
        <w:tc>
          <w:tcPr>
            <w:tcW w:w="567" w:type="dxa"/>
            <w:vAlign w:val="center"/>
          </w:tcPr>
          <w:p w14:paraId="1F894E4C">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40</w:t>
            </w:r>
          </w:p>
        </w:tc>
        <w:tc>
          <w:tcPr>
            <w:tcW w:w="534" w:type="dxa"/>
            <w:vAlign w:val="center"/>
          </w:tcPr>
          <w:p w14:paraId="0AE9841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65.9</w:t>
            </w:r>
          </w:p>
        </w:tc>
        <w:tc>
          <w:tcPr>
            <w:tcW w:w="644" w:type="dxa"/>
            <w:vAlign w:val="center"/>
          </w:tcPr>
          <w:p w14:paraId="30DC6CD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5640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E01D17A">
            <w:pPr>
              <w:keepNext w:val="0"/>
              <w:keepLines w:val="0"/>
              <w:pageBreakBefore w:val="0"/>
              <w:widowControl w:val="0"/>
              <w:kinsoku/>
              <w:wordWrap/>
              <w:overflowPunct/>
              <w:topLinePunct w:val="0"/>
              <w:autoSpaceDE/>
              <w:autoSpaceDN/>
              <w:bidi w:val="0"/>
              <w:adjustRightInd/>
              <w:snapToGrid w:val="0"/>
              <w:jc w:val="center"/>
              <w:textAlignment w:val="auto"/>
              <w:rPr>
                <w:rFonts w:hint="eastAsia" w:eastAsia="宋体"/>
                <w:color w:val="000000"/>
                <w:sz w:val="18"/>
                <w:szCs w:val="18"/>
                <w:lang w:val="en-US" w:eastAsia="zh-CN"/>
              </w:rPr>
            </w:pPr>
            <w:r>
              <w:rPr>
                <w:rFonts w:hint="eastAsia"/>
                <w:color w:val="000000"/>
                <w:sz w:val="18"/>
                <w:szCs w:val="18"/>
                <w:lang w:val="en-US" w:eastAsia="zh-CN"/>
              </w:rPr>
              <w:t>8</w:t>
            </w:r>
          </w:p>
        </w:tc>
        <w:tc>
          <w:tcPr>
            <w:tcW w:w="426" w:type="dxa"/>
            <w:vMerge w:val="restart"/>
            <w:vAlign w:val="center"/>
          </w:tcPr>
          <w:p w14:paraId="6293D794">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3#车间</w:t>
            </w:r>
          </w:p>
        </w:tc>
        <w:tc>
          <w:tcPr>
            <w:tcW w:w="1185" w:type="dxa"/>
            <w:vAlign w:val="center"/>
          </w:tcPr>
          <w:p w14:paraId="1763A12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搅拌罐</w:t>
            </w:r>
          </w:p>
        </w:tc>
        <w:tc>
          <w:tcPr>
            <w:tcW w:w="657" w:type="dxa"/>
            <w:vAlign w:val="center"/>
          </w:tcPr>
          <w:p w14:paraId="0E2343FF">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75</w:t>
            </w:r>
          </w:p>
        </w:tc>
        <w:tc>
          <w:tcPr>
            <w:tcW w:w="1134" w:type="dxa"/>
            <w:vMerge w:val="continue"/>
            <w:vAlign w:val="center"/>
          </w:tcPr>
          <w:p w14:paraId="38168B6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5DBF42CF">
            <w:pPr>
              <w:jc w:val="center"/>
              <w:rPr>
                <w:color w:val="000000"/>
                <w:sz w:val="18"/>
                <w:szCs w:val="18"/>
              </w:rPr>
            </w:pPr>
            <w:r>
              <w:rPr>
                <w:rFonts w:hint="eastAsia"/>
                <w:color w:val="000000" w:themeColor="text1"/>
                <w:sz w:val="18"/>
                <w:szCs w:val="18"/>
                <w14:textFill>
                  <w14:solidFill>
                    <w14:schemeClr w14:val="tx1"/>
                  </w14:solidFill>
                </w14:textFill>
              </w:rPr>
              <w:t>141</w:t>
            </w:r>
          </w:p>
        </w:tc>
        <w:tc>
          <w:tcPr>
            <w:tcW w:w="709" w:type="dxa"/>
            <w:vAlign w:val="center"/>
          </w:tcPr>
          <w:p w14:paraId="2CECF855">
            <w:pPr>
              <w:jc w:val="center"/>
              <w:rPr>
                <w:color w:val="000000"/>
                <w:sz w:val="18"/>
                <w:szCs w:val="18"/>
              </w:rPr>
            </w:pPr>
            <w:r>
              <w:rPr>
                <w:rFonts w:hint="eastAsia"/>
                <w:color w:val="000000" w:themeColor="text1"/>
                <w:sz w:val="18"/>
                <w:szCs w:val="18"/>
                <w14:textFill>
                  <w14:solidFill>
                    <w14:schemeClr w14:val="tx1"/>
                  </w14:solidFill>
                </w14:textFill>
              </w:rPr>
              <w:t>34</w:t>
            </w:r>
          </w:p>
        </w:tc>
        <w:tc>
          <w:tcPr>
            <w:tcW w:w="567" w:type="dxa"/>
            <w:vAlign w:val="center"/>
          </w:tcPr>
          <w:p w14:paraId="7791BACD">
            <w:pPr>
              <w:pStyle w:val="42"/>
              <w:rPr>
                <w:rFonts w:hint="default" w:eastAsia="宋体"/>
                <w:color w:val="000000"/>
                <w:sz w:val="18"/>
                <w:szCs w:val="18"/>
                <w:lang w:val="en-US" w:eastAsia="zh-CN"/>
              </w:rPr>
            </w:pPr>
            <w:r>
              <w:rPr>
                <w:rFonts w:hint="eastAsia"/>
                <w:color w:val="000000" w:themeColor="text1"/>
                <w:szCs w:val="18"/>
                <w14:textFill>
                  <w14:solidFill>
                    <w14:schemeClr w14:val="tx1"/>
                  </w14:solidFill>
                </w14:textFill>
              </w:rPr>
              <w:t>1</w:t>
            </w:r>
            <w:r>
              <w:rPr>
                <w:rFonts w:hint="eastAsia"/>
                <w:color w:val="000000" w:themeColor="text1"/>
                <w:szCs w:val="18"/>
                <w:lang w:val="en-US" w:eastAsia="zh-CN"/>
                <w14:textFill>
                  <w14:solidFill>
                    <w14:schemeClr w14:val="tx1"/>
                  </w14:solidFill>
                </w14:textFill>
              </w:rPr>
              <w:t>.0</w:t>
            </w:r>
          </w:p>
        </w:tc>
        <w:tc>
          <w:tcPr>
            <w:tcW w:w="567" w:type="dxa"/>
            <w:vAlign w:val="center"/>
          </w:tcPr>
          <w:p w14:paraId="04D63A08">
            <w:pPr>
              <w:jc w:val="center"/>
              <w:rPr>
                <w:color w:val="000000"/>
                <w:sz w:val="18"/>
                <w:szCs w:val="18"/>
              </w:rPr>
            </w:pPr>
            <w:r>
              <w:rPr>
                <w:rFonts w:hint="eastAsia"/>
                <w:color w:val="000000" w:themeColor="text1"/>
                <w:sz w:val="18"/>
                <w:szCs w:val="18"/>
                <w14:textFill>
                  <w14:solidFill>
                    <w14:schemeClr w14:val="tx1"/>
                  </w14:solidFill>
                </w14:textFill>
              </w:rPr>
              <w:t>5.4</w:t>
            </w:r>
          </w:p>
        </w:tc>
        <w:tc>
          <w:tcPr>
            <w:tcW w:w="567" w:type="dxa"/>
            <w:vAlign w:val="center"/>
          </w:tcPr>
          <w:p w14:paraId="136EE547">
            <w:pPr>
              <w:jc w:val="center"/>
              <w:rPr>
                <w:color w:val="000000"/>
                <w:sz w:val="18"/>
                <w:szCs w:val="18"/>
              </w:rPr>
            </w:pPr>
            <w:r>
              <w:rPr>
                <w:rFonts w:hint="eastAsia"/>
                <w:color w:val="000000" w:themeColor="text1"/>
                <w:sz w:val="18"/>
                <w:szCs w:val="18"/>
                <w:lang w:val="en-US" w:eastAsia="zh-CN"/>
                <w14:textFill>
                  <w14:solidFill>
                    <w14:schemeClr w14:val="tx1"/>
                  </w14:solidFill>
                </w14:textFill>
              </w:rPr>
              <w:t>1</w:t>
            </w:r>
            <w:r>
              <w:rPr>
                <w:rFonts w:hint="eastAsia"/>
                <w:color w:val="000000" w:themeColor="text1"/>
                <w:sz w:val="18"/>
                <w:szCs w:val="18"/>
                <w14:textFill>
                  <w14:solidFill>
                    <w14:schemeClr w14:val="tx1"/>
                  </w14:solidFill>
                </w14:textFill>
              </w:rPr>
              <w:t>5.5</w:t>
            </w:r>
          </w:p>
        </w:tc>
        <w:tc>
          <w:tcPr>
            <w:tcW w:w="567" w:type="dxa"/>
            <w:vAlign w:val="center"/>
          </w:tcPr>
          <w:p w14:paraId="41D51A5C">
            <w:pPr>
              <w:jc w:val="center"/>
              <w:rPr>
                <w:color w:val="000000"/>
                <w:sz w:val="18"/>
                <w:szCs w:val="18"/>
              </w:rPr>
            </w:pPr>
            <w:r>
              <w:rPr>
                <w:rFonts w:hint="eastAsia"/>
                <w:color w:val="000000" w:themeColor="text1"/>
                <w:sz w:val="18"/>
                <w:szCs w:val="18"/>
                <w:lang w:val="en-US" w:eastAsia="zh-CN"/>
                <w14:textFill>
                  <w14:solidFill>
                    <w14:schemeClr w14:val="tx1"/>
                  </w14:solidFill>
                </w14:textFill>
              </w:rPr>
              <w:t>2</w:t>
            </w:r>
            <w:r>
              <w:rPr>
                <w:rFonts w:hint="eastAsia"/>
                <w:color w:val="000000" w:themeColor="text1"/>
                <w:sz w:val="18"/>
                <w:szCs w:val="18"/>
                <w14:textFill>
                  <w14:solidFill>
                    <w14:schemeClr w14:val="tx1"/>
                  </w14:solidFill>
                </w14:textFill>
              </w:rPr>
              <w:t>7.6</w:t>
            </w:r>
          </w:p>
        </w:tc>
        <w:tc>
          <w:tcPr>
            <w:tcW w:w="567" w:type="dxa"/>
            <w:vAlign w:val="center"/>
          </w:tcPr>
          <w:p w14:paraId="6566EB5A">
            <w:pPr>
              <w:jc w:val="center"/>
              <w:rPr>
                <w:color w:val="000000"/>
                <w:sz w:val="18"/>
                <w:szCs w:val="18"/>
              </w:rPr>
            </w:pPr>
            <w:r>
              <w:rPr>
                <w:rFonts w:hint="eastAsia"/>
                <w:color w:val="000000" w:themeColor="text1"/>
                <w:sz w:val="18"/>
                <w:szCs w:val="18"/>
                <w14:textFill>
                  <w14:solidFill>
                    <w14:schemeClr w14:val="tx1"/>
                  </w14:solidFill>
                </w14:textFill>
              </w:rPr>
              <w:t>34.5</w:t>
            </w:r>
          </w:p>
        </w:tc>
        <w:tc>
          <w:tcPr>
            <w:tcW w:w="567" w:type="dxa"/>
            <w:vAlign w:val="center"/>
          </w:tcPr>
          <w:p w14:paraId="42312E9C">
            <w:pPr>
              <w:jc w:val="center"/>
              <w:rPr>
                <w:rFonts w:hint="eastAsia"/>
                <w:color w:val="000000"/>
                <w:sz w:val="18"/>
                <w:szCs w:val="18"/>
              </w:rPr>
            </w:pPr>
            <w:r>
              <w:rPr>
                <w:rFonts w:hint="eastAsia"/>
                <w:color w:val="000000" w:themeColor="text1"/>
                <w:sz w:val="18"/>
                <w:szCs w:val="18"/>
                <w14:textFill>
                  <w14:solidFill>
                    <w14:schemeClr w14:val="tx1"/>
                  </w14:solidFill>
                </w14:textFill>
              </w:rPr>
              <w:t>76.4</w:t>
            </w:r>
          </w:p>
        </w:tc>
        <w:tc>
          <w:tcPr>
            <w:tcW w:w="567" w:type="dxa"/>
            <w:vAlign w:val="center"/>
          </w:tcPr>
          <w:p w14:paraId="3C623EDC">
            <w:pPr>
              <w:jc w:val="center"/>
              <w:rPr>
                <w:color w:val="000000"/>
                <w:sz w:val="18"/>
                <w:szCs w:val="18"/>
              </w:rPr>
            </w:pPr>
            <w:r>
              <w:rPr>
                <w:rFonts w:hint="eastAsia"/>
                <w:color w:val="000000" w:themeColor="text1"/>
                <w:sz w:val="18"/>
                <w:szCs w:val="18"/>
                <w14:textFill>
                  <w14:solidFill>
                    <w14:schemeClr w14:val="tx1"/>
                  </w14:solidFill>
                </w14:textFill>
              </w:rPr>
              <w:t>54.7</w:t>
            </w:r>
          </w:p>
        </w:tc>
        <w:tc>
          <w:tcPr>
            <w:tcW w:w="567" w:type="dxa"/>
            <w:vAlign w:val="center"/>
          </w:tcPr>
          <w:p w14:paraId="2912BAEC">
            <w:pPr>
              <w:jc w:val="center"/>
              <w:rPr>
                <w:rFonts w:hint="eastAsia"/>
                <w:color w:val="000000"/>
                <w:sz w:val="18"/>
                <w:szCs w:val="18"/>
              </w:rPr>
            </w:pPr>
            <w:r>
              <w:rPr>
                <w:rFonts w:hint="eastAsia"/>
                <w:color w:val="000000" w:themeColor="text1"/>
                <w:sz w:val="18"/>
                <w:szCs w:val="18"/>
                <w14:textFill>
                  <w14:solidFill>
                    <w14:schemeClr w14:val="tx1"/>
                  </w14:solidFill>
                </w14:textFill>
              </w:rPr>
              <w:t>57.5</w:t>
            </w:r>
          </w:p>
        </w:tc>
        <w:tc>
          <w:tcPr>
            <w:tcW w:w="567" w:type="dxa"/>
            <w:vAlign w:val="center"/>
          </w:tcPr>
          <w:p w14:paraId="6B07A0B6">
            <w:pPr>
              <w:jc w:val="center"/>
              <w:rPr>
                <w:color w:val="000000"/>
                <w:sz w:val="18"/>
                <w:szCs w:val="18"/>
              </w:rPr>
            </w:pPr>
            <w:r>
              <w:rPr>
                <w:rFonts w:hint="eastAsia"/>
                <w:color w:val="000000" w:themeColor="text1"/>
                <w:sz w:val="18"/>
                <w:szCs w:val="18"/>
                <w14:textFill>
                  <w14:solidFill>
                    <w14:schemeClr w14:val="tx1"/>
                  </w14:solidFill>
                </w14:textFill>
              </w:rPr>
              <w:t>60.2</w:t>
            </w:r>
          </w:p>
        </w:tc>
        <w:tc>
          <w:tcPr>
            <w:tcW w:w="425" w:type="dxa"/>
            <w:vAlign w:val="center"/>
          </w:tcPr>
          <w:p w14:paraId="14AE6A3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75B0B74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69E457E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61.4</w:t>
            </w:r>
          </w:p>
        </w:tc>
        <w:tc>
          <w:tcPr>
            <w:tcW w:w="567" w:type="dxa"/>
            <w:vAlign w:val="center"/>
          </w:tcPr>
          <w:p w14:paraId="45236CE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39.7</w:t>
            </w:r>
          </w:p>
        </w:tc>
        <w:tc>
          <w:tcPr>
            <w:tcW w:w="567" w:type="dxa"/>
            <w:vAlign w:val="center"/>
          </w:tcPr>
          <w:p w14:paraId="0C418560">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42.5</w:t>
            </w:r>
          </w:p>
        </w:tc>
        <w:tc>
          <w:tcPr>
            <w:tcW w:w="534" w:type="dxa"/>
            <w:vAlign w:val="center"/>
          </w:tcPr>
          <w:p w14:paraId="0ACFD9E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45.2</w:t>
            </w:r>
          </w:p>
        </w:tc>
        <w:tc>
          <w:tcPr>
            <w:tcW w:w="644" w:type="dxa"/>
            <w:vAlign w:val="center"/>
          </w:tcPr>
          <w:p w14:paraId="5275C3F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5E2E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53561CB">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9</w:t>
            </w:r>
          </w:p>
        </w:tc>
        <w:tc>
          <w:tcPr>
            <w:tcW w:w="426" w:type="dxa"/>
            <w:vMerge w:val="continue"/>
            <w:vAlign w:val="center"/>
          </w:tcPr>
          <w:p w14:paraId="0103B3AE">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269F5FB6">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液体灌装机</w:t>
            </w:r>
          </w:p>
        </w:tc>
        <w:tc>
          <w:tcPr>
            <w:tcW w:w="657" w:type="dxa"/>
            <w:vAlign w:val="center"/>
          </w:tcPr>
          <w:p w14:paraId="136B0211">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80</w:t>
            </w:r>
          </w:p>
        </w:tc>
        <w:tc>
          <w:tcPr>
            <w:tcW w:w="1134" w:type="dxa"/>
            <w:vMerge w:val="continue"/>
            <w:vAlign w:val="center"/>
          </w:tcPr>
          <w:p w14:paraId="4CD8284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6FDBFACE">
            <w:pPr>
              <w:jc w:val="center"/>
              <w:rPr>
                <w:color w:val="000000"/>
                <w:sz w:val="18"/>
                <w:szCs w:val="18"/>
              </w:rPr>
            </w:pPr>
            <w:r>
              <w:rPr>
                <w:rFonts w:hint="eastAsia"/>
                <w:color w:val="000000" w:themeColor="text1"/>
                <w:sz w:val="18"/>
                <w:szCs w:val="18"/>
                <w14:textFill>
                  <w14:solidFill>
                    <w14:schemeClr w14:val="tx1"/>
                  </w14:solidFill>
                </w14:textFill>
              </w:rPr>
              <w:t>137</w:t>
            </w:r>
          </w:p>
        </w:tc>
        <w:tc>
          <w:tcPr>
            <w:tcW w:w="709" w:type="dxa"/>
            <w:vAlign w:val="center"/>
          </w:tcPr>
          <w:p w14:paraId="6BA80B94">
            <w:pPr>
              <w:jc w:val="center"/>
              <w:rPr>
                <w:color w:val="000000"/>
                <w:sz w:val="18"/>
                <w:szCs w:val="18"/>
              </w:rPr>
            </w:pPr>
            <w:r>
              <w:rPr>
                <w:rFonts w:hint="eastAsia"/>
                <w:color w:val="000000" w:themeColor="text1"/>
                <w:sz w:val="18"/>
                <w:szCs w:val="18"/>
                <w14:textFill>
                  <w14:solidFill>
                    <w14:schemeClr w14:val="tx1"/>
                  </w14:solidFill>
                </w14:textFill>
              </w:rPr>
              <w:t>30</w:t>
            </w:r>
          </w:p>
        </w:tc>
        <w:tc>
          <w:tcPr>
            <w:tcW w:w="567" w:type="dxa"/>
            <w:vAlign w:val="center"/>
          </w:tcPr>
          <w:p w14:paraId="0C03D9E5">
            <w:pPr>
              <w:pStyle w:val="42"/>
              <w:rPr>
                <w:rFonts w:hint="default" w:eastAsia="宋体"/>
                <w:color w:val="000000"/>
                <w:sz w:val="18"/>
                <w:szCs w:val="18"/>
                <w:lang w:val="en-US" w:eastAsia="zh-CN"/>
              </w:rPr>
            </w:pPr>
            <w:r>
              <w:rPr>
                <w:rFonts w:hint="eastAsia"/>
                <w:color w:val="000000" w:themeColor="text1"/>
                <w:szCs w:val="18"/>
                <w14:textFill>
                  <w14:solidFill>
                    <w14:schemeClr w14:val="tx1"/>
                  </w14:solidFill>
                </w14:textFill>
              </w:rPr>
              <w:t>1</w:t>
            </w:r>
            <w:r>
              <w:rPr>
                <w:rFonts w:hint="eastAsia"/>
                <w:color w:val="000000" w:themeColor="text1"/>
                <w:szCs w:val="18"/>
                <w:lang w:val="en-US" w:eastAsia="zh-CN"/>
                <w14:textFill>
                  <w14:solidFill>
                    <w14:schemeClr w14:val="tx1"/>
                  </w14:solidFill>
                </w14:textFill>
              </w:rPr>
              <w:t>.0</w:t>
            </w:r>
          </w:p>
        </w:tc>
        <w:tc>
          <w:tcPr>
            <w:tcW w:w="567" w:type="dxa"/>
            <w:vAlign w:val="center"/>
          </w:tcPr>
          <w:p w14:paraId="2EC0635B">
            <w:pPr>
              <w:jc w:val="center"/>
              <w:rPr>
                <w:color w:val="000000"/>
                <w:sz w:val="18"/>
                <w:szCs w:val="18"/>
              </w:rPr>
            </w:pPr>
            <w:r>
              <w:rPr>
                <w:rFonts w:hint="eastAsia"/>
                <w:color w:val="000000" w:themeColor="text1"/>
                <w:sz w:val="18"/>
                <w:szCs w:val="18"/>
                <w:lang w:val="en-US" w:eastAsia="zh-CN"/>
                <w14:textFill>
                  <w14:solidFill>
                    <w14:schemeClr w14:val="tx1"/>
                  </w14:solidFill>
                </w14:textFill>
              </w:rPr>
              <w:t>2</w:t>
            </w:r>
            <w:r>
              <w:rPr>
                <w:rFonts w:hint="eastAsia"/>
                <w:color w:val="000000" w:themeColor="text1"/>
                <w:sz w:val="18"/>
                <w:szCs w:val="18"/>
                <w14:textFill>
                  <w14:solidFill>
                    <w14:schemeClr w14:val="tx1"/>
                  </w14:solidFill>
                </w14:textFill>
              </w:rPr>
              <w:t>0.1</w:t>
            </w:r>
          </w:p>
        </w:tc>
        <w:tc>
          <w:tcPr>
            <w:tcW w:w="567" w:type="dxa"/>
            <w:vAlign w:val="center"/>
          </w:tcPr>
          <w:p w14:paraId="2E1F9652">
            <w:pPr>
              <w:jc w:val="center"/>
              <w:rPr>
                <w:color w:val="000000"/>
                <w:sz w:val="18"/>
                <w:szCs w:val="18"/>
              </w:rPr>
            </w:pPr>
            <w:r>
              <w:rPr>
                <w:rFonts w:hint="eastAsia"/>
                <w:color w:val="000000" w:themeColor="text1"/>
                <w:sz w:val="18"/>
                <w:szCs w:val="18"/>
                <w:lang w:val="en-US" w:eastAsia="zh-CN"/>
                <w14:textFill>
                  <w14:solidFill>
                    <w14:schemeClr w14:val="tx1"/>
                  </w14:solidFill>
                </w14:textFill>
              </w:rPr>
              <w:t>2</w:t>
            </w:r>
            <w:r>
              <w:rPr>
                <w:rFonts w:hint="eastAsia"/>
                <w:color w:val="000000" w:themeColor="text1"/>
                <w:sz w:val="18"/>
                <w:szCs w:val="18"/>
                <w14:textFill>
                  <w14:solidFill>
                    <w14:schemeClr w14:val="tx1"/>
                  </w14:solidFill>
                </w14:textFill>
              </w:rPr>
              <w:t>7.6</w:t>
            </w:r>
          </w:p>
        </w:tc>
        <w:tc>
          <w:tcPr>
            <w:tcW w:w="567" w:type="dxa"/>
            <w:vAlign w:val="center"/>
          </w:tcPr>
          <w:p w14:paraId="537532EB">
            <w:pPr>
              <w:jc w:val="center"/>
              <w:rPr>
                <w:color w:val="000000"/>
                <w:sz w:val="18"/>
                <w:szCs w:val="18"/>
              </w:rPr>
            </w:pPr>
            <w:r>
              <w:rPr>
                <w:rFonts w:hint="eastAsia"/>
                <w:color w:val="000000" w:themeColor="text1"/>
                <w:sz w:val="18"/>
                <w:szCs w:val="18"/>
                <w14:textFill>
                  <w14:solidFill>
                    <w14:schemeClr w14:val="tx1"/>
                  </w14:solidFill>
                </w14:textFill>
              </w:rPr>
              <w:t>2.9</w:t>
            </w:r>
          </w:p>
        </w:tc>
        <w:tc>
          <w:tcPr>
            <w:tcW w:w="567" w:type="dxa"/>
            <w:vAlign w:val="center"/>
          </w:tcPr>
          <w:p w14:paraId="4C83B6F6">
            <w:pPr>
              <w:jc w:val="center"/>
              <w:rPr>
                <w:color w:val="000000"/>
                <w:sz w:val="18"/>
                <w:szCs w:val="18"/>
              </w:rPr>
            </w:pPr>
            <w:r>
              <w:rPr>
                <w:rFonts w:hint="eastAsia"/>
                <w:color w:val="000000" w:themeColor="text1"/>
                <w:sz w:val="18"/>
                <w:szCs w:val="18"/>
                <w14:textFill>
                  <w14:solidFill>
                    <w14:schemeClr w14:val="tx1"/>
                  </w14:solidFill>
                </w14:textFill>
              </w:rPr>
              <w:t>12.4</w:t>
            </w:r>
          </w:p>
        </w:tc>
        <w:tc>
          <w:tcPr>
            <w:tcW w:w="567" w:type="dxa"/>
            <w:vAlign w:val="center"/>
          </w:tcPr>
          <w:p w14:paraId="56FF41E8">
            <w:pPr>
              <w:jc w:val="center"/>
              <w:rPr>
                <w:rFonts w:hint="eastAsia"/>
                <w:color w:val="000000"/>
                <w:sz w:val="18"/>
                <w:szCs w:val="18"/>
              </w:rPr>
            </w:pPr>
            <w:r>
              <w:rPr>
                <w:rFonts w:hint="eastAsia"/>
                <w:color w:val="000000" w:themeColor="text1"/>
                <w:sz w:val="18"/>
                <w:szCs w:val="18"/>
                <w14:textFill>
                  <w14:solidFill>
                    <w14:schemeClr w14:val="tx1"/>
                  </w14:solidFill>
                </w14:textFill>
              </w:rPr>
              <w:t>52.0</w:t>
            </w:r>
          </w:p>
        </w:tc>
        <w:tc>
          <w:tcPr>
            <w:tcW w:w="567" w:type="dxa"/>
            <w:vAlign w:val="center"/>
          </w:tcPr>
          <w:p w14:paraId="5FFEBB6F">
            <w:pPr>
              <w:jc w:val="center"/>
              <w:rPr>
                <w:color w:val="000000"/>
                <w:sz w:val="18"/>
                <w:szCs w:val="18"/>
              </w:rPr>
            </w:pPr>
            <w:r>
              <w:rPr>
                <w:rFonts w:hint="eastAsia"/>
                <w:color w:val="000000" w:themeColor="text1"/>
                <w:sz w:val="18"/>
                <w:szCs w:val="18"/>
                <w14:textFill>
                  <w14:solidFill>
                    <w14:schemeClr w14:val="tx1"/>
                  </w14:solidFill>
                </w14:textFill>
              </w:rPr>
              <w:t>47.2</w:t>
            </w:r>
          </w:p>
        </w:tc>
        <w:tc>
          <w:tcPr>
            <w:tcW w:w="567" w:type="dxa"/>
            <w:vAlign w:val="center"/>
          </w:tcPr>
          <w:p w14:paraId="3116972F">
            <w:pPr>
              <w:jc w:val="center"/>
              <w:rPr>
                <w:rFonts w:hint="eastAsia"/>
                <w:color w:val="000000"/>
                <w:sz w:val="18"/>
                <w:szCs w:val="18"/>
              </w:rPr>
            </w:pPr>
            <w:r>
              <w:rPr>
                <w:rFonts w:hint="eastAsia"/>
                <w:color w:val="000000" w:themeColor="text1"/>
                <w:sz w:val="18"/>
                <w:szCs w:val="18"/>
                <w14:textFill>
                  <w14:solidFill>
                    <w14:schemeClr w14:val="tx1"/>
                  </w14:solidFill>
                </w14:textFill>
              </w:rPr>
              <w:t>76.8</w:t>
            </w:r>
          </w:p>
        </w:tc>
        <w:tc>
          <w:tcPr>
            <w:tcW w:w="567" w:type="dxa"/>
            <w:vAlign w:val="center"/>
          </w:tcPr>
          <w:p w14:paraId="1D82347F">
            <w:pPr>
              <w:jc w:val="center"/>
              <w:rPr>
                <w:color w:val="000000"/>
                <w:sz w:val="18"/>
                <w:szCs w:val="18"/>
              </w:rPr>
            </w:pPr>
            <w:r>
              <w:rPr>
                <w:rFonts w:hint="eastAsia"/>
                <w:color w:val="000000" w:themeColor="text1"/>
                <w:sz w:val="18"/>
                <w:szCs w:val="18"/>
                <w14:textFill>
                  <w14:solidFill>
                    <w14:schemeClr w14:val="tx1"/>
                  </w14:solidFill>
                </w14:textFill>
              </w:rPr>
              <w:t>64.1</w:t>
            </w:r>
          </w:p>
        </w:tc>
        <w:tc>
          <w:tcPr>
            <w:tcW w:w="425" w:type="dxa"/>
            <w:vAlign w:val="center"/>
          </w:tcPr>
          <w:p w14:paraId="1D69DB5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0199965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7A9F1DD4">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37</w:t>
            </w:r>
          </w:p>
        </w:tc>
        <w:tc>
          <w:tcPr>
            <w:tcW w:w="567" w:type="dxa"/>
            <w:vAlign w:val="center"/>
          </w:tcPr>
          <w:p w14:paraId="559A4643">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32.2</w:t>
            </w:r>
          </w:p>
        </w:tc>
        <w:tc>
          <w:tcPr>
            <w:tcW w:w="567" w:type="dxa"/>
            <w:vAlign w:val="center"/>
          </w:tcPr>
          <w:p w14:paraId="51E0D927">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61.8</w:t>
            </w:r>
          </w:p>
        </w:tc>
        <w:tc>
          <w:tcPr>
            <w:tcW w:w="534" w:type="dxa"/>
            <w:vAlign w:val="center"/>
          </w:tcPr>
          <w:p w14:paraId="353B656D">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49.1</w:t>
            </w:r>
          </w:p>
        </w:tc>
        <w:tc>
          <w:tcPr>
            <w:tcW w:w="644" w:type="dxa"/>
            <w:vAlign w:val="center"/>
          </w:tcPr>
          <w:p w14:paraId="3E0E08C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74B9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26D105A7">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10</w:t>
            </w:r>
          </w:p>
        </w:tc>
        <w:tc>
          <w:tcPr>
            <w:tcW w:w="426" w:type="dxa"/>
            <w:vMerge w:val="continue"/>
            <w:vAlign w:val="center"/>
          </w:tcPr>
          <w:p w14:paraId="179D6C1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39D52754">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上料泵</w:t>
            </w:r>
          </w:p>
        </w:tc>
        <w:tc>
          <w:tcPr>
            <w:tcW w:w="657" w:type="dxa"/>
            <w:vAlign w:val="center"/>
          </w:tcPr>
          <w:p w14:paraId="35FC28C0">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85</w:t>
            </w:r>
          </w:p>
        </w:tc>
        <w:tc>
          <w:tcPr>
            <w:tcW w:w="1134" w:type="dxa"/>
            <w:vMerge w:val="continue"/>
            <w:vAlign w:val="center"/>
          </w:tcPr>
          <w:p w14:paraId="7B681C1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3D0B892F">
            <w:pPr>
              <w:jc w:val="center"/>
              <w:rPr>
                <w:color w:val="000000"/>
                <w:sz w:val="18"/>
                <w:szCs w:val="18"/>
              </w:rPr>
            </w:pPr>
            <w:r>
              <w:rPr>
                <w:rFonts w:hint="eastAsia"/>
                <w:color w:val="000000" w:themeColor="text1"/>
                <w:sz w:val="18"/>
                <w:szCs w:val="18"/>
                <w14:textFill>
                  <w14:solidFill>
                    <w14:schemeClr w14:val="tx1"/>
                  </w14:solidFill>
                </w14:textFill>
              </w:rPr>
              <w:t>92</w:t>
            </w:r>
          </w:p>
        </w:tc>
        <w:tc>
          <w:tcPr>
            <w:tcW w:w="709" w:type="dxa"/>
            <w:vAlign w:val="center"/>
          </w:tcPr>
          <w:p w14:paraId="3B9A959C">
            <w:pPr>
              <w:jc w:val="center"/>
              <w:rPr>
                <w:color w:val="000000"/>
                <w:sz w:val="18"/>
                <w:szCs w:val="18"/>
              </w:rPr>
            </w:pPr>
            <w:r>
              <w:rPr>
                <w:rFonts w:hint="eastAsia"/>
                <w:color w:val="000000" w:themeColor="text1"/>
                <w:sz w:val="18"/>
                <w:szCs w:val="18"/>
                <w14:textFill>
                  <w14:solidFill>
                    <w14:schemeClr w14:val="tx1"/>
                  </w14:solidFill>
                </w14:textFill>
              </w:rPr>
              <w:t>26</w:t>
            </w:r>
          </w:p>
        </w:tc>
        <w:tc>
          <w:tcPr>
            <w:tcW w:w="567" w:type="dxa"/>
            <w:vAlign w:val="center"/>
          </w:tcPr>
          <w:p w14:paraId="0B820080">
            <w:pPr>
              <w:pStyle w:val="42"/>
              <w:rPr>
                <w:rFonts w:hint="default" w:eastAsia="宋体"/>
                <w:color w:val="000000"/>
                <w:sz w:val="18"/>
                <w:szCs w:val="18"/>
                <w:lang w:val="en-US" w:eastAsia="zh-CN"/>
              </w:rPr>
            </w:pPr>
            <w:r>
              <w:rPr>
                <w:rFonts w:hint="eastAsia"/>
                <w:color w:val="000000" w:themeColor="text1"/>
                <w:szCs w:val="18"/>
                <w14:textFill>
                  <w14:solidFill>
                    <w14:schemeClr w14:val="tx1"/>
                  </w14:solidFill>
                </w14:textFill>
              </w:rPr>
              <w:t>1</w:t>
            </w:r>
            <w:r>
              <w:rPr>
                <w:rFonts w:hint="eastAsia"/>
                <w:color w:val="000000" w:themeColor="text1"/>
                <w:szCs w:val="18"/>
                <w:lang w:val="en-US" w:eastAsia="zh-CN"/>
                <w14:textFill>
                  <w14:solidFill>
                    <w14:schemeClr w14:val="tx1"/>
                  </w14:solidFill>
                </w14:textFill>
              </w:rPr>
              <w:t>.0</w:t>
            </w:r>
          </w:p>
        </w:tc>
        <w:tc>
          <w:tcPr>
            <w:tcW w:w="567" w:type="dxa"/>
            <w:vAlign w:val="center"/>
          </w:tcPr>
          <w:p w14:paraId="136C472A">
            <w:pPr>
              <w:jc w:val="center"/>
              <w:rPr>
                <w:color w:val="000000"/>
                <w:sz w:val="18"/>
                <w:szCs w:val="18"/>
              </w:rPr>
            </w:pPr>
            <w:r>
              <w:rPr>
                <w:rFonts w:hint="eastAsia"/>
                <w:color w:val="000000" w:themeColor="text1"/>
                <w:sz w:val="18"/>
                <w:szCs w:val="18"/>
                <w14:textFill>
                  <w14:solidFill>
                    <w14:schemeClr w14:val="tx1"/>
                  </w14:solidFill>
                </w14:textFill>
              </w:rPr>
              <w:t>7.4</w:t>
            </w:r>
          </w:p>
        </w:tc>
        <w:tc>
          <w:tcPr>
            <w:tcW w:w="567" w:type="dxa"/>
            <w:vAlign w:val="center"/>
          </w:tcPr>
          <w:p w14:paraId="573EA06A">
            <w:pPr>
              <w:jc w:val="center"/>
              <w:rPr>
                <w:color w:val="000000"/>
                <w:sz w:val="18"/>
                <w:szCs w:val="18"/>
              </w:rPr>
            </w:pPr>
            <w:r>
              <w:rPr>
                <w:rFonts w:hint="eastAsia"/>
                <w:color w:val="000000" w:themeColor="text1"/>
                <w:sz w:val="18"/>
                <w:szCs w:val="18"/>
                <w:lang w:val="en-US" w:eastAsia="zh-CN"/>
                <w14:textFill>
                  <w14:solidFill>
                    <w14:schemeClr w14:val="tx1"/>
                  </w14:solidFill>
                </w14:textFill>
              </w:rPr>
              <w:t>2</w:t>
            </w:r>
            <w:r>
              <w:rPr>
                <w:rFonts w:hint="eastAsia"/>
                <w:color w:val="000000" w:themeColor="text1"/>
                <w:sz w:val="18"/>
                <w:szCs w:val="18"/>
                <w14:textFill>
                  <w14:solidFill>
                    <w14:schemeClr w14:val="tx1"/>
                  </w14:solidFill>
                </w14:textFill>
              </w:rPr>
              <w:t>6.5</w:t>
            </w:r>
          </w:p>
        </w:tc>
        <w:tc>
          <w:tcPr>
            <w:tcW w:w="567" w:type="dxa"/>
            <w:vAlign w:val="center"/>
          </w:tcPr>
          <w:p w14:paraId="004F8315">
            <w:pPr>
              <w:jc w:val="center"/>
              <w:rPr>
                <w:color w:val="000000"/>
                <w:sz w:val="18"/>
                <w:szCs w:val="18"/>
              </w:rPr>
            </w:pPr>
            <w:r>
              <w:rPr>
                <w:rFonts w:hint="eastAsia"/>
                <w:color w:val="000000" w:themeColor="text1"/>
                <w:sz w:val="18"/>
                <w:szCs w:val="18"/>
                <w14:textFill>
                  <w14:solidFill>
                    <w14:schemeClr w14:val="tx1"/>
                  </w14:solidFill>
                </w14:textFill>
              </w:rPr>
              <w:t>45.6</w:t>
            </w:r>
          </w:p>
        </w:tc>
        <w:tc>
          <w:tcPr>
            <w:tcW w:w="567" w:type="dxa"/>
            <w:vAlign w:val="center"/>
          </w:tcPr>
          <w:p w14:paraId="4C338B14">
            <w:pPr>
              <w:jc w:val="center"/>
              <w:rPr>
                <w:color w:val="000000"/>
                <w:sz w:val="18"/>
                <w:szCs w:val="18"/>
              </w:rPr>
            </w:pPr>
            <w:r>
              <w:rPr>
                <w:rFonts w:hint="eastAsia"/>
                <w:color w:val="000000" w:themeColor="text1"/>
                <w:sz w:val="18"/>
                <w:szCs w:val="18"/>
                <w14:textFill>
                  <w14:solidFill>
                    <w14:schemeClr w14:val="tx1"/>
                  </w14:solidFill>
                </w14:textFill>
              </w:rPr>
              <w:t>33.5</w:t>
            </w:r>
          </w:p>
        </w:tc>
        <w:tc>
          <w:tcPr>
            <w:tcW w:w="567" w:type="dxa"/>
            <w:vAlign w:val="center"/>
          </w:tcPr>
          <w:p w14:paraId="44C0AE05">
            <w:pPr>
              <w:jc w:val="center"/>
              <w:rPr>
                <w:rFonts w:hint="eastAsia"/>
                <w:color w:val="000000"/>
                <w:sz w:val="18"/>
                <w:szCs w:val="18"/>
              </w:rPr>
            </w:pPr>
            <w:r>
              <w:rPr>
                <w:rFonts w:hint="eastAsia"/>
                <w:color w:val="000000" w:themeColor="text1"/>
                <w:sz w:val="18"/>
                <w:szCs w:val="18"/>
                <w14:textFill>
                  <w14:solidFill>
                    <w14:schemeClr w14:val="tx1"/>
                  </w14:solidFill>
                </w14:textFill>
              </w:rPr>
              <w:t>68.6</w:t>
            </w:r>
          </w:p>
        </w:tc>
        <w:tc>
          <w:tcPr>
            <w:tcW w:w="567" w:type="dxa"/>
            <w:vAlign w:val="center"/>
          </w:tcPr>
          <w:p w14:paraId="000EC87A">
            <w:pPr>
              <w:jc w:val="center"/>
              <w:rPr>
                <w:color w:val="000000"/>
                <w:sz w:val="18"/>
                <w:szCs w:val="18"/>
              </w:rPr>
            </w:pPr>
            <w:r>
              <w:rPr>
                <w:rFonts w:hint="eastAsia"/>
                <w:color w:val="000000" w:themeColor="text1"/>
                <w:sz w:val="18"/>
                <w:szCs w:val="18"/>
                <w14:textFill>
                  <w14:solidFill>
                    <w14:schemeClr w14:val="tx1"/>
                  </w14:solidFill>
                </w14:textFill>
              </w:rPr>
              <w:t>49.5</w:t>
            </w:r>
          </w:p>
        </w:tc>
        <w:tc>
          <w:tcPr>
            <w:tcW w:w="567" w:type="dxa"/>
            <w:vAlign w:val="center"/>
          </w:tcPr>
          <w:p w14:paraId="25D35A5D">
            <w:pPr>
              <w:jc w:val="center"/>
              <w:rPr>
                <w:rFonts w:hint="eastAsia"/>
                <w:color w:val="000000"/>
                <w:sz w:val="18"/>
                <w:szCs w:val="18"/>
              </w:rPr>
            </w:pPr>
            <w:r>
              <w:rPr>
                <w:rFonts w:hint="eastAsia"/>
                <w:color w:val="000000" w:themeColor="text1"/>
                <w:sz w:val="18"/>
                <w:szCs w:val="18"/>
                <w14:textFill>
                  <w14:solidFill>
                    <w14:schemeClr w14:val="tx1"/>
                  </w14:solidFill>
                </w14:textFill>
              </w:rPr>
              <w:t>52.8</w:t>
            </w:r>
          </w:p>
        </w:tc>
        <w:tc>
          <w:tcPr>
            <w:tcW w:w="567" w:type="dxa"/>
            <w:vAlign w:val="center"/>
          </w:tcPr>
          <w:p w14:paraId="39F6F533">
            <w:pPr>
              <w:jc w:val="center"/>
              <w:rPr>
                <w:color w:val="000000"/>
                <w:sz w:val="18"/>
                <w:szCs w:val="18"/>
              </w:rPr>
            </w:pPr>
            <w:r>
              <w:rPr>
                <w:rFonts w:hint="eastAsia"/>
                <w:color w:val="000000" w:themeColor="text1"/>
                <w:sz w:val="18"/>
                <w:szCs w:val="18"/>
                <w14:textFill>
                  <w14:solidFill>
                    <w14:schemeClr w14:val="tx1"/>
                  </w14:solidFill>
                </w14:textFill>
              </w:rPr>
              <w:t>55.5</w:t>
            </w:r>
          </w:p>
        </w:tc>
        <w:tc>
          <w:tcPr>
            <w:tcW w:w="425" w:type="dxa"/>
            <w:vAlign w:val="center"/>
          </w:tcPr>
          <w:p w14:paraId="086A3F2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4F19207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0AA5B0EB">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53.6</w:t>
            </w:r>
          </w:p>
        </w:tc>
        <w:tc>
          <w:tcPr>
            <w:tcW w:w="567" w:type="dxa"/>
            <w:vAlign w:val="center"/>
          </w:tcPr>
          <w:p w14:paraId="53C3D22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34.5</w:t>
            </w:r>
          </w:p>
        </w:tc>
        <w:tc>
          <w:tcPr>
            <w:tcW w:w="567" w:type="dxa"/>
            <w:vAlign w:val="center"/>
          </w:tcPr>
          <w:p w14:paraId="6841629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37.8</w:t>
            </w:r>
          </w:p>
        </w:tc>
        <w:tc>
          <w:tcPr>
            <w:tcW w:w="534" w:type="dxa"/>
            <w:vAlign w:val="center"/>
          </w:tcPr>
          <w:p w14:paraId="59E6320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40.5</w:t>
            </w:r>
          </w:p>
        </w:tc>
        <w:tc>
          <w:tcPr>
            <w:tcW w:w="644" w:type="dxa"/>
            <w:vAlign w:val="center"/>
          </w:tcPr>
          <w:p w14:paraId="4F39586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525E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27F761E">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11</w:t>
            </w:r>
          </w:p>
        </w:tc>
        <w:tc>
          <w:tcPr>
            <w:tcW w:w="426" w:type="dxa"/>
            <w:vMerge w:val="restart"/>
            <w:vAlign w:val="center"/>
          </w:tcPr>
          <w:p w14:paraId="024510B8">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4#车间</w:t>
            </w:r>
          </w:p>
        </w:tc>
        <w:tc>
          <w:tcPr>
            <w:tcW w:w="1185" w:type="dxa"/>
            <w:vAlign w:val="center"/>
          </w:tcPr>
          <w:p w14:paraId="727CA9A2">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搅拌罐</w:t>
            </w:r>
          </w:p>
        </w:tc>
        <w:tc>
          <w:tcPr>
            <w:tcW w:w="657" w:type="dxa"/>
            <w:vAlign w:val="center"/>
          </w:tcPr>
          <w:p w14:paraId="149328CB">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75</w:t>
            </w:r>
          </w:p>
        </w:tc>
        <w:tc>
          <w:tcPr>
            <w:tcW w:w="1134" w:type="dxa"/>
            <w:vMerge w:val="continue"/>
            <w:vAlign w:val="center"/>
          </w:tcPr>
          <w:p w14:paraId="14DA897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7B5B16D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27.8</w:t>
            </w:r>
          </w:p>
        </w:tc>
        <w:tc>
          <w:tcPr>
            <w:tcW w:w="709" w:type="dxa"/>
            <w:vAlign w:val="center"/>
          </w:tcPr>
          <w:p w14:paraId="05CBFDF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-241.1</w:t>
            </w:r>
          </w:p>
        </w:tc>
        <w:tc>
          <w:tcPr>
            <w:tcW w:w="567" w:type="dxa"/>
            <w:vAlign w:val="center"/>
          </w:tcPr>
          <w:p w14:paraId="4B73E6A5">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1.0</w:t>
            </w:r>
          </w:p>
        </w:tc>
        <w:tc>
          <w:tcPr>
            <w:tcW w:w="567" w:type="dxa"/>
            <w:vAlign w:val="center"/>
          </w:tcPr>
          <w:p w14:paraId="5056FF2F">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34.8</w:t>
            </w:r>
          </w:p>
        </w:tc>
        <w:tc>
          <w:tcPr>
            <w:tcW w:w="567" w:type="dxa"/>
            <w:vAlign w:val="center"/>
          </w:tcPr>
          <w:p w14:paraId="1C67F14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7.0</w:t>
            </w:r>
          </w:p>
        </w:tc>
        <w:tc>
          <w:tcPr>
            <w:tcW w:w="567" w:type="dxa"/>
            <w:vAlign w:val="center"/>
          </w:tcPr>
          <w:p w14:paraId="52F7B7E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18.5</w:t>
            </w:r>
          </w:p>
        </w:tc>
        <w:tc>
          <w:tcPr>
            <w:tcW w:w="567" w:type="dxa"/>
            <w:vAlign w:val="center"/>
          </w:tcPr>
          <w:p w14:paraId="194F084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66.1</w:t>
            </w:r>
          </w:p>
        </w:tc>
        <w:tc>
          <w:tcPr>
            <w:tcW w:w="567" w:type="dxa"/>
            <w:vAlign w:val="center"/>
          </w:tcPr>
          <w:p w14:paraId="4CC69A68">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5</w:t>
            </w:r>
            <w:r>
              <w:rPr>
                <w:color w:val="000000"/>
                <w:sz w:val="18"/>
                <w:szCs w:val="18"/>
              </w:rPr>
              <w:t>9.3</w:t>
            </w:r>
          </w:p>
        </w:tc>
        <w:tc>
          <w:tcPr>
            <w:tcW w:w="567" w:type="dxa"/>
            <w:vAlign w:val="center"/>
          </w:tcPr>
          <w:p w14:paraId="540BEF8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7</w:t>
            </w:r>
            <w:r>
              <w:rPr>
                <w:color w:val="000000"/>
                <w:sz w:val="18"/>
                <w:szCs w:val="18"/>
              </w:rPr>
              <w:t>3.0</w:t>
            </w:r>
          </w:p>
        </w:tc>
        <w:tc>
          <w:tcPr>
            <w:tcW w:w="567" w:type="dxa"/>
            <w:vAlign w:val="center"/>
          </w:tcPr>
          <w:p w14:paraId="5FD8F80B">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6</w:t>
            </w:r>
            <w:r>
              <w:rPr>
                <w:color w:val="000000"/>
                <w:sz w:val="18"/>
                <w:szCs w:val="18"/>
              </w:rPr>
              <w:t>4.6</w:t>
            </w:r>
          </w:p>
        </w:tc>
        <w:tc>
          <w:tcPr>
            <w:tcW w:w="567" w:type="dxa"/>
            <w:vAlign w:val="center"/>
          </w:tcPr>
          <w:p w14:paraId="1536F72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53.6</w:t>
            </w:r>
          </w:p>
        </w:tc>
        <w:tc>
          <w:tcPr>
            <w:tcW w:w="425" w:type="dxa"/>
            <w:vAlign w:val="center"/>
          </w:tcPr>
          <w:p w14:paraId="30007F0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08918E8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17B590DC">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44.3</w:t>
            </w:r>
          </w:p>
        </w:tc>
        <w:tc>
          <w:tcPr>
            <w:tcW w:w="567" w:type="dxa"/>
            <w:vAlign w:val="center"/>
          </w:tcPr>
          <w:p w14:paraId="53DE6A82">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58</w:t>
            </w:r>
          </w:p>
        </w:tc>
        <w:tc>
          <w:tcPr>
            <w:tcW w:w="567" w:type="dxa"/>
            <w:vAlign w:val="center"/>
          </w:tcPr>
          <w:p w14:paraId="5A1B984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49.6</w:t>
            </w:r>
          </w:p>
        </w:tc>
        <w:tc>
          <w:tcPr>
            <w:tcW w:w="534" w:type="dxa"/>
            <w:vAlign w:val="center"/>
          </w:tcPr>
          <w:p w14:paraId="5C7756E1">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38.6</w:t>
            </w:r>
          </w:p>
        </w:tc>
        <w:tc>
          <w:tcPr>
            <w:tcW w:w="644" w:type="dxa"/>
            <w:vAlign w:val="center"/>
          </w:tcPr>
          <w:p w14:paraId="240C7ACB">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7124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F6B97A2">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12</w:t>
            </w:r>
          </w:p>
        </w:tc>
        <w:tc>
          <w:tcPr>
            <w:tcW w:w="426" w:type="dxa"/>
            <w:vMerge w:val="continue"/>
            <w:vAlign w:val="center"/>
          </w:tcPr>
          <w:p w14:paraId="64A6BC9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678E355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上料泵</w:t>
            </w:r>
          </w:p>
        </w:tc>
        <w:tc>
          <w:tcPr>
            <w:tcW w:w="657" w:type="dxa"/>
            <w:vAlign w:val="center"/>
          </w:tcPr>
          <w:p w14:paraId="0C071D67">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85</w:t>
            </w:r>
          </w:p>
        </w:tc>
        <w:tc>
          <w:tcPr>
            <w:tcW w:w="1134" w:type="dxa"/>
            <w:vMerge w:val="continue"/>
            <w:vAlign w:val="center"/>
          </w:tcPr>
          <w:p w14:paraId="510FEF6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3CC72DD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31.9</w:t>
            </w:r>
          </w:p>
        </w:tc>
        <w:tc>
          <w:tcPr>
            <w:tcW w:w="709" w:type="dxa"/>
            <w:vAlign w:val="center"/>
          </w:tcPr>
          <w:p w14:paraId="35113D59">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16.9</w:t>
            </w:r>
          </w:p>
        </w:tc>
        <w:tc>
          <w:tcPr>
            <w:tcW w:w="567" w:type="dxa"/>
            <w:vAlign w:val="center"/>
          </w:tcPr>
          <w:p w14:paraId="03BDE8D8">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1.0</w:t>
            </w:r>
          </w:p>
        </w:tc>
        <w:tc>
          <w:tcPr>
            <w:tcW w:w="567" w:type="dxa"/>
            <w:vAlign w:val="center"/>
          </w:tcPr>
          <w:p w14:paraId="2177DDA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30.7</w:t>
            </w:r>
          </w:p>
        </w:tc>
        <w:tc>
          <w:tcPr>
            <w:tcW w:w="567" w:type="dxa"/>
            <w:vAlign w:val="center"/>
          </w:tcPr>
          <w:p w14:paraId="5430AA22">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55.0</w:t>
            </w:r>
          </w:p>
        </w:tc>
        <w:tc>
          <w:tcPr>
            <w:tcW w:w="567" w:type="dxa"/>
            <w:vAlign w:val="center"/>
          </w:tcPr>
          <w:p w14:paraId="3C25B4A3">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22.6</w:t>
            </w:r>
          </w:p>
        </w:tc>
        <w:tc>
          <w:tcPr>
            <w:tcW w:w="567" w:type="dxa"/>
            <w:vAlign w:val="center"/>
          </w:tcPr>
          <w:p w14:paraId="6C918B3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8.1</w:t>
            </w:r>
          </w:p>
        </w:tc>
        <w:tc>
          <w:tcPr>
            <w:tcW w:w="567" w:type="dxa"/>
            <w:vAlign w:val="center"/>
          </w:tcPr>
          <w:p w14:paraId="0C2407C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6</w:t>
            </w:r>
            <w:r>
              <w:rPr>
                <w:color w:val="000000"/>
                <w:sz w:val="18"/>
                <w:szCs w:val="18"/>
              </w:rPr>
              <w:t>5.2</w:t>
            </w:r>
          </w:p>
        </w:tc>
        <w:tc>
          <w:tcPr>
            <w:tcW w:w="567" w:type="dxa"/>
            <w:vAlign w:val="center"/>
          </w:tcPr>
          <w:p w14:paraId="30EE770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6</w:t>
            </w:r>
            <w:r>
              <w:rPr>
                <w:color w:val="000000"/>
                <w:sz w:val="18"/>
                <w:szCs w:val="18"/>
              </w:rPr>
              <w:t>0.1</w:t>
            </w:r>
          </w:p>
        </w:tc>
        <w:tc>
          <w:tcPr>
            <w:tcW w:w="567" w:type="dxa"/>
            <w:vAlign w:val="center"/>
          </w:tcPr>
          <w:p w14:paraId="1AE12A8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6</w:t>
            </w:r>
            <w:r>
              <w:rPr>
                <w:color w:val="000000"/>
                <w:sz w:val="18"/>
                <w:szCs w:val="18"/>
              </w:rPr>
              <w:t>8.1</w:t>
            </w:r>
          </w:p>
        </w:tc>
        <w:tc>
          <w:tcPr>
            <w:tcW w:w="567" w:type="dxa"/>
            <w:vAlign w:val="center"/>
          </w:tcPr>
          <w:p w14:paraId="442008A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rPr>
              <w:t>7</w:t>
            </w:r>
            <w:r>
              <w:rPr>
                <w:color w:val="000000"/>
                <w:sz w:val="18"/>
                <w:szCs w:val="18"/>
              </w:rPr>
              <w:t>6.8</w:t>
            </w:r>
          </w:p>
        </w:tc>
        <w:tc>
          <w:tcPr>
            <w:tcW w:w="425" w:type="dxa"/>
            <w:vAlign w:val="center"/>
          </w:tcPr>
          <w:p w14:paraId="1BCD454C">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63451074">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3AF1132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50.2</w:t>
            </w:r>
          </w:p>
        </w:tc>
        <w:tc>
          <w:tcPr>
            <w:tcW w:w="567" w:type="dxa"/>
            <w:vAlign w:val="center"/>
          </w:tcPr>
          <w:p w14:paraId="25158256">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45.1</w:t>
            </w:r>
          </w:p>
        </w:tc>
        <w:tc>
          <w:tcPr>
            <w:tcW w:w="567" w:type="dxa"/>
            <w:vAlign w:val="center"/>
          </w:tcPr>
          <w:p w14:paraId="229CFFCF">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53.1</w:t>
            </w:r>
          </w:p>
        </w:tc>
        <w:tc>
          <w:tcPr>
            <w:tcW w:w="534" w:type="dxa"/>
            <w:vAlign w:val="center"/>
          </w:tcPr>
          <w:p w14:paraId="06167A16">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61.8</w:t>
            </w:r>
          </w:p>
        </w:tc>
        <w:tc>
          <w:tcPr>
            <w:tcW w:w="644" w:type="dxa"/>
            <w:vAlign w:val="center"/>
          </w:tcPr>
          <w:p w14:paraId="37A7CF7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tr w14:paraId="06B6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24C101A4">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13</w:t>
            </w:r>
          </w:p>
        </w:tc>
        <w:tc>
          <w:tcPr>
            <w:tcW w:w="426" w:type="dxa"/>
            <w:vMerge w:val="continue"/>
            <w:vAlign w:val="center"/>
          </w:tcPr>
          <w:p w14:paraId="66828F7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1185" w:type="dxa"/>
            <w:vAlign w:val="center"/>
          </w:tcPr>
          <w:p w14:paraId="64F7EC4A">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液体灌装机</w:t>
            </w:r>
          </w:p>
        </w:tc>
        <w:tc>
          <w:tcPr>
            <w:tcW w:w="657" w:type="dxa"/>
            <w:vAlign w:val="center"/>
          </w:tcPr>
          <w:p w14:paraId="039CB9DB">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宋体"/>
                <w:color w:val="000000"/>
                <w:sz w:val="18"/>
                <w:szCs w:val="18"/>
                <w:lang w:val="en-US" w:eastAsia="zh-CN"/>
              </w:rPr>
            </w:pPr>
            <w:r>
              <w:rPr>
                <w:rFonts w:hint="eastAsia"/>
                <w:color w:val="000000"/>
                <w:sz w:val="18"/>
                <w:szCs w:val="18"/>
                <w:lang w:val="en-US" w:eastAsia="zh-CN"/>
              </w:rPr>
              <w:t>80</w:t>
            </w:r>
          </w:p>
        </w:tc>
        <w:tc>
          <w:tcPr>
            <w:tcW w:w="1134" w:type="dxa"/>
            <w:vMerge w:val="continue"/>
            <w:vAlign w:val="center"/>
          </w:tcPr>
          <w:p w14:paraId="4A47CA2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p>
        </w:tc>
        <w:tc>
          <w:tcPr>
            <w:tcW w:w="709" w:type="dxa"/>
            <w:vAlign w:val="center"/>
          </w:tcPr>
          <w:p w14:paraId="3C173E3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32</w:t>
            </w:r>
          </w:p>
        </w:tc>
        <w:tc>
          <w:tcPr>
            <w:tcW w:w="709" w:type="dxa"/>
            <w:vAlign w:val="center"/>
          </w:tcPr>
          <w:p w14:paraId="3B63094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-78.8</w:t>
            </w:r>
          </w:p>
        </w:tc>
        <w:tc>
          <w:tcPr>
            <w:tcW w:w="567" w:type="dxa"/>
            <w:vAlign w:val="center"/>
          </w:tcPr>
          <w:p w14:paraId="245C488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1.0</w:t>
            </w:r>
          </w:p>
        </w:tc>
        <w:tc>
          <w:tcPr>
            <w:tcW w:w="567" w:type="dxa"/>
            <w:vAlign w:val="center"/>
          </w:tcPr>
          <w:p w14:paraId="7239905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30.6</w:t>
            </w:r>
          </w:p>
        </w:tc>
        <w:tc>
          <w:tcPr>
            <w:tcW w:w="567" w:type="dxa"/>
            <w:vAlign w:val="center"/>
          </w:tcPr>
          <w:p w14:paraId="12F39400">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4</w:t>
            </w:r>
            <w:r>
              <w:rPr>
                <w:color w:val="000000"/>
                <w:sz w:val="18"/>
                <w:szCs w:val="18"/>
              </w:rPr>
              <w:t>9.3</w:t>
            </w:r>
          </w:p>
        </w:tc>
        <w:tc>
          <w:tcPr>
            <w:tcW w:w="567" w:type="dxa"/>
            <w:vAlign w:val="center"/>
          </w:tcPr>
          <w:p w14:paraId="7131C65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2</w:t>
            </w:r>
            <w:r>
              <w:rPr>
                <w:color w:val="000000"/>
                <w:sz w:val="18"/>
                <w:szCs w:val="18"/>
              </w:rPr>
              <w:t>2.7</w:t>
            </w:r>
          </w:p>
        </w:tc>
        <w:tc>
          <w:tcPr>
            <w:tcW w:w="567" w:type="dxa"/>
            <w:vAlign w:val="center"/>
          </w:tcPr>
          <w:p w14:paraId="1A077BAA">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03.8</w:t>
            </w:r>
          </w:p>
        </w:tc>
        <w:tc>
          <w:tcPr>
            <w:tcW w:w="567" w:type="dxa"/>
            <w:vAlign w:val="center"/>
          </w:tcPr>
          <w:p w14:paraId="090D618E">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4</w:t>
            </w:r>
            <w:r>
              <w:rPr>
                <w:color w:val="000000"/>
                <w:sz w:val="18"/>
                <w:szCs w:val="18"/>
              </w:rPr>
              <w:t>5.2</w:t>
            </w:r>
          </w:p>
        </w:tc>
        <w:tc>
          <w:tcPr>
            <w:tcW w:w="567" w:type="dxa"/>
            <w:vAlign w:val="center"/>
          </w:tcPr>
          <w:p w14:paraId="6B1872D7">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59.5</w:t>
            </w:r>
          </w:p>
        </w:tc>
        <w:tc>
          <w:tcPr>
            <w:tcW w:w="567" w:type="dxa"/>
            <w:vAlign w:val="center"/>
          </w:tcPr>
          <w:p w14:paraId="5B3238A6">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rPr>
            </w:pPr>
            <w:r>
              <w:rPr>
                <w:rFonts w:hint="eastAsia"/>
                <w:color w:val="000000"/>
                <w:sz w:val="18"/>
                <w:szCs w:val="18"/>
              </w:rPr>
              <w:t>5</w:t>
            </w:r>
            <w:r>
              <w:rPr>
                <w:color w:val="000000"/>
                <w:sz w:val="18"/>
                <w:szCs w:val="18"/>
              </w:rPr>
              <w:t>9.3</w:t>
            </w:r>
          </w:p>
        </w:tc>
        <w:tc>
          <w:tcPr>
            <w:tcW w:w="567" w:type="dxa"/>
            <w:vAlign w:val="center"/>
          </w:tcPr>
          <w:p w14:paraId="5472705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62.4</w:t>
            </w:r>
          </w:p>
        </w:tc>
        <w:tc>
          <w:tcPr>
            <w:tcW w:w="425" w:type="dxa"/>
            <w:vAlign w:val="center"/>
          </w:tcPr>
          <w:p w14:paraId="53DB2041">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24</w:t>
            </w:r>
          </w:p>
        </w:tc>
        <w:tc>
          <w:tcPr>
            <w:tcW w:w="425" w:type="dxa"/>
            <w:vAlign w:val="center"/>
          </w:tcPr>
          <w:p w14:paraId="60E72B66">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rFonts w:hint="eastAsia"/>
                <w:color w:val="000000"/>
                <w:sz w:val="18"/>
                <w:szCs w:val="18"/>
                <w:lang w:val="en-US" w:eastAsia="zh-CN"/>
              </w:rPr>
              <w:t>15</w:t>
            </w:r>
          </w:p>
        </w:tc>
        <w:tc>
          <w:tcPr>
            <w:tcW w:w="567" w:type="dxa"/>
            <w:vAlign w:val="center"/>
          </w:tcPr>
          <w:p w14:paraId="399156B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30.2</w:t>
            </w:r>
          </w:p>
        </w:tc>
        <w:tc>
          <w:tcPr>
            <w:tcW w:w="567" w:type="dxa"/>
            <w:vAlign w:val="center"/>
          </w:tcPr>
          <w:p w14:paraId="632D7A30">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44.5</w:t>
            </w:r>
          </w:p>
        </w:tc>
        <w:tc>
          <w:tcPr>
            <w:tcW w:w="567" w:type="dxa"/>
            <w:vAlign w:val="center"/>
          </w:tcPr>
          <w:p w14:paraId="6B2B6E61">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44.3</w:t>
            </w:r>
          </w:p>
        </w:tc>
        <w:tc>
          <w:tcPr>
            <w:tcW w:w="534" w:type="dxa"/>
            <w:vAlign w:val="center"/>
          </w:tcPr>
          <w:p w14:paraId="1E282395">
            <w:pPr>
              <w:keepNext w:val="0"/>
              <w:keepLines w:val="0"/>
              <w:pageBreakBefore w:val="0"/>
              <w:widowControl w:val="0"/>
              <w:kinsoku/>
              <w:wordWrap/>
              <w:overflowPunct/>
              <w:topLinePunct w:val="0"/>
              <w:autoSpaceDE/>
              <w:autoSpaceDN/>
              <w:bidi w:val="0"/>
              <w:adjustRightInd/>
              <w:snapToGrid w:val="0"/>
              <w:jc w:val="center"/>
              <w:textAlignment w:val="auto"/>
              <w:rPr>
                <w:rFonts w:hint="eastAsia"/>
                <w:color w:val="000000"/>
                <w:sz w:val="18"/>
                <w:szCs w:val="18"/>
                <w:lang w:val="en-US" w:eastAsia="zh-CN"/>
              </w:rPr>
            </w:pPr>
            <w:r>
              <w:rPr>
                <w:rFonts w:hint="eastAsia"/>
                <w:color w:val="000000"/>
                <w:sz w:val="18"/>
                <w:szCs w:val="18"/>
                <w:lang w:val="en-US" w:eastAsia="zh-CN"/>
              </w:rPr>
              <w:t>47.4</w:t>
            </w:r>
          </w:p>
        </w:tc>
        <w:tc>
          <w:tcPr>
            <w:tcW w:w="644" w:type="dxa"/>
            <w:vAlign w:val="center"/>
          </w:tcPr>
          <w:p w14:paraId="2613DFAD">
            <w:pPr>
              <w:keepNext w:val="0"/>
              <w:keepLines w:val="0"/>
              <w:pageBreakBefore w:val="0"/>
              <w:widowControl w:val="0"/>
              <w:kinsoku/>
              <w:wordWrap/>
              <w:overflowPunct/>
              <w:topLinePunct w:val="0"/>
              <w:autoSpaceDE/>
              <w:autoSpaceDN/>
              <w:bidi w:val="0"/>
              <w:adjustRightInd/>
              <w:snapToGrid w:val="0"/>
              <w:jc w:val="center"/>
              <w:textAlignment w:val="auto"/>
              <w:rPr>
                <w:color w:val="000000"/>
                <w:sz w:val="18"/>
                <w:szCs w:val="18"/>
              </w:rPr>
            </w:pPr>
            <w:r>
              <w:rPr>
                <w:color w:val="000000"/>
                <w:sz w:val="18"/>
                <w:szCs w:val="18"/>
              </w:rPr>
              <w:t>1</w:t>
            </w:r>
          </w:p>
        </w:tc>
      </w:tr>
      <w:bookmarkEnd w:id="33"/>
    </w:tbl>
    <w:p w14:paraId="2FA0A8C4">
      <w:pPr>
        <w:pStyle w:val="47"/>
        <w:ind w:firstLine="360"/>
        <w:rPr>
          <w:snapToGrid w:val="0"/>
        </w:rPr>
      </w:pPr>
      <w:r>
        <w:rPr>
          <w:rFonts w:hint="eastAsia" w:ascii="Times New Roman"/>
          <w:snapToGrid w:val="0"/>
          <w:sz w:val="18"/>
          <w:szCs w:val="32"/>
        </w:rPr>
        <w:t>表中坐标以厂界</w:t>
      </w:r>
      <w:r>
        <w:rPr>
          <w:rFonts w:hint="eastAsia" w:ascii="Times New Roman"/>
          <w:snapToGrid w:val="0"/>
          <w:sz w:val="18"/>
          <w:szCs w:val="32"/>
          <w:lang w:val="en-US" w:eastAsia="zh-CN"/>
        </w:rPr>
        <w:t>西南角</w:t>
      </w:r>
      <w:r>
        <w:rPr>
          <w:rFonts w:hint="eastAsia" w:ascii="Times New Roman"/>
          <w:snapToGrid w:val="0"/>
          <w:sz w:val="18"/>
          <w:szCs w:val="32"/>
        </w:rPr>
        <w:t>（84.85663891</w:t>
      </w:r>
      <w:r>
        <w:rPr>
          <w:rFonts w:hint="eastAsia" w:ascii="Times New Roman"/>
          <w:snapToGrid w:val="0"/>
          <w:sz w:val="18"/>
          <w:szCs w:val="32"/>
          <w:lang w:eastAsia="zh-CN"/>
        </w:rPr>
        <w:t>，</w:t>
      </w:r>
      <w:r>
        <w:rPr>
          <w:rFonts w:hint="eastAsia" w:ascii="Times New Roman"/>
          <w:snapToGrid w:val="0"/>
          <w:sz w:val="18"/>
          <w:szCs w:val="32"/>
        </w:rPr>
        <w:t>4.83539118）为坐标原点，正东向为X轴正方向，正北向为Y轴正方向</w:t>
      </w:r>
    </w:p>
    <w:p w14:paraId="60ACD8B1">
      <w:pPr>
        <w:pStyle w:val="15"/>
        <w:jc w:val="center"/>
        <w:outlineLvl w:val="0"/>
        <w:rPr>
          <w:rFonts w:ascii="Times New Roman" w:hAnsi="Times New Roman"/>
          <w:b/>
          <w:bCs/>
          <w:snapToGrid w:val="0"/>
          <w:sz w:val="21"/>
          <w:szCs w:val="21"/>
        </w:rPr>
        <w:sectPr>
          <w:pgSz w:w="16838" w:h="11906" w:orient="landscape"/>
          <w:pgMar w:top="1531" w:right="1701" w:bottom="1531" w:left="170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43"/>
      </w:tblGrid>
      <w:tr w14:paraId="6B11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A38006E">
            <w:pPr>
              <w:pStyle w:val="18"/>
              <w:adjustRightInd w:val="0"/>
              <w:ind w:firstLine="0" w:firstLineChars="0"/>
              <w:jc w:val="center"/>
              <w:rPr>
                <w:snapToGrid w:val="0"/>
                <w:color w:val="auto"/>
              </w:rPr>
            </w:pPr>
            <w:r>
              <w:rPr>
                <w:snapToGrid w:val="0"/>
                <w:color w:val="auto"/>
              </w:rPr>
              <w:t>运营</w:t>
            </w:r>
          </w:p>
          <w:p w14:paraId="04DF8CFA">
            <w:pPr>
              <w:pStyle w:val="18"/>
              <w:adjustRightInd w:val="0"/>
              <w:ind w:firstLine="0" w:firstLineChars="0"/>
              <w:jc w:val="center"/>
              <w:rPr>
                <w:snapToGrid w:val="0"/>
                <w:color w:val="auto"/>
              </w:rPr>
            </w:pPr>
            <w:r>
              <w:rPr>
                <w:snapToGrid w:val="0"/>
                <w:color w:val="auto"/>
              </w:rPr>
              <w:t>期环</w:t>
            </w:r>
          </w:p>
          <w:p w14:paraId="65D3A4D5">
            <w:pPr>
              <w:pStyle w:val="18"/>
              <w:adjustRightInd w:val="0"/>
              <w:ind w:firstLine="0" w:firstLineChars="0"/>
              <w:jc w:val="center"/>
              <w:rPr>
                <w:snapToGrid w:val="0"/>
                <w:color w:val="auto"/>
              </w:rPr>
            </w:pPr>
            <w:r>
              <w:rPr>
                <w:snapToGrid w:val="0"/>
                <w:color w:val="auto"/>
              </w:rPr>
              <w:t>境影</w:t>
            </w:r>
          </w:p>
          <w:p w14:paraId="203AFBB0">
            <w:pPr>
              <w:pStyle w:val="18"/>
              <w:adjustRightInd w:val="0"/>
              <w:ind w:firstLine="0" w:firstLineChars="0"/>
              <w:jc w:val="center"/>
              <w:rPr>
                <w:snapToGrid w:val="0"/>
                <w:color w:val="auto"/>
              </w:rPr>
            </w:pPr>
            <w:r>
              <w:rPr>
                <w:snapToGrid w:val="0"/>
                <w:color w:val="auto"/>
              </w:rPr>
              <w:t>响和</w:t>
            </w:r>
          </w:p>
          <w:p w14:paraId="162CE22F">
            <w:pPr>
              <w:pStyle w:val="18"/>
              <w:adjustRightInd w:val="0"/>
              <w:ind w:firstLine="0" w:firstLineChars="0"/>
              <w:jc w:val="center"/>
              <w:rPr>
                <w:snapToGrid w:val="0"/>
                <w:color w:val="auto"/>
              </w:rPr>
            </w:pPr>
            <w:r>
              <w:rPr>
                <w:snapToGrid w:val="0"/>
                <w:color w:val="auto"/>
              </w:rPr>
              <w:t>保护措施</w:t>
            </w:r>
          </w:p>
        </w:tc>
        <w:tc>
          <w:tcPr>
            <w:tcW w:w="8243" w:type="dxa"/>
          </w:tcPr>
          <w:p w14:paraId="580071BE">
            <w:pPr>
              <w:spacing w:line="360" w:lineRule="auto"/>
              <w:ind w:firstLine="422" w:firstLineChars="200"/>
              <w:rPr>
                <w:color w:val="auto"/>
                <w:szCs w:val="21"/>
              </w:rPr>
            </w:pPr>
            <w:r>
              <w:rPr>
                <w:b/>
                <w:bCs/>
                <w:color w:val="auto"/>
                <w:szCs w:val="21"/>
              </w:rPr>
              <w:t>为有效降低设备噪声，确保厂界噪声达到《声环境质量标准》（GB3096-2008）3类标准，建设单位</w:t>
            </w:r>
            <w:r>
              <w:rPr>
                <w:rFonts w:hint="eastAsia"/>
                <w:b/>
                <w:bCs/>
                <w:color w:val="auto"/>
                <w:szCs w:val="21"/>
                <w:lang w:eastAsia="zh-CN"/>
              </w:rPr>
              <w:t>采取</w:t>
            </w:r>
            <w:r>
              <w:rPr>
                <w:b/>
                <w:bCs/>
                <w:color w:val="auto"/>
                <w:szCs w:val="21"/>
              </w:rPr>
              <w:t>噪声</w:t>
            </w:r>
            <w:r>
              <w:rPr>
                <w:rFonts w:hint="eastAsia"/>
                <w:b/>
                <w:bCs/>
                <w:color w:val="auto"/>
                <w:szCs w:val="21"/>
                <w:lang w:eastAsia="zh-CN"/>
              </w:rPr>
              <w:t>减振措施</w:t>
            </w:r>
            <w:r>
              <w:rPr>
                <w:color w:val="auto"/>
                <w:szCs w:val="21"/>
              </w:rPr>
              <w:t>：</w:t>
            </w:r>
          </w:p>
          <w:p w14:paraId="2ED275E2">
            <w:pPr>
              <w:widowControl/>
              <w:spacing w:line="360" w:lineRule="auto"/>
              <w:ind w:firstLine="420" w:firstLineChars="200"/>
              <w:rPr>
                <w:color w:val="auto"/>
                <w:szCs w:val="21"/>
              </w:rPr>
            </w:pPr>
            <w:r>
              <w:rPr>
                <w:color w:val="auto"/>
                <w:kern w:val="0"/>
                <w:szCs w:val="21"/>
                <w:lang w:bidi="ar"/>
              </w:rPr>
              <w:t>1）对所有设备均采取安装基础</w:t>
            </w:r>
            <w:r>
              <w:rPr>
                <w:rFonts w:hint="eastAsia"/>
                <w:color w:val="auto"/>
                <w:kern w:val="0"/>
                <w:szCs w:val="21"/>
                <w:lang w:eastAsia="zh-CN" w:bidi="ar"/>
              </w:rPr>
              <w:t>减振</w:t>
            </w:r>
            <w:r>
              <w:rPr>
                <w:color w:val="auto"/>
                <w:kern w:val="0"/>
                <w:szCs w:val="21"/>
                <w:lang w:bidi="ar"/>
              </w:rPr>
              <w:t>，降噪措施，并优化作业时间段。</w:t>
            </w:r>
          </w:p>
          <w:p w14:paraId="26CCB0A5">
            <w:pPr>
              <w:widowControl/>
              <w:spacing w:line="360" w:lineRule="auto"/>
              <w:ind w:firstLine="420" w:firstLineChars="200"/>
              <w:rPr>
                <w:color w:val="auto"/>
                <w:szCs w:val="21"/>
              </w:rPr>
            </w:pPr>
            <w:r>
              <w:rPr>
                <w:color w:val="auto"/>
                <w:kern w:val="0"/>
                <w:szCs w:val="21"/>
                <w:lang w:bidi="ar"/>
              </w:rPr>
              <w:t>2）在选用设备时应选用低噪声型号，并在安装时采取行之有效的隔声、消声、吸声和减振等措施，底部设减振垫，联动设备连接采用柔性连接，减少共振等。合理进行总平布置，将高噪声设备集中摆放，设于房间内中部区域位置，通过距离衰减隔声降噪，并加强日常的设备维护，保证设备的正常运行。</w:t>
            </w:r>
          </w:p>
          <w:p w14:paraId="43FFEBA1">
            <w:pPr>
              <w:widowControl/>
              <w:spacing w:line="360" w:lineRule="auto"/>
              <w:ind w:firstLine="420" w:firstLineChars="200"/>
              <w:jc w:val="left"/>
              <w:rPr>
                <w:color w:val="auto"/>
                <w:kern w:val="0"/>
                <w:szCs w:val="21"/>
                <w:lang w:bidi="ar"/>
              </w:rPr>
            </w:pPr>
            <w:r>
              <w:rPr>
                <w:color w:val="auto"/>
                <w:kern w:val="0"/>
                <w:szCs w:val="21"/>
                <w:lang w:bidi="ar"/>
              </w:rPr>
              <w:t>3）该项目投入使用后，管理部门应加强设备的日常检修和维护，以保证各设备正常运转，以免由于设备故障造成的噪声污染。</w:t>
            </w:r>
          </w:p>
          <w:p w14:paraId="65149D82">
            <w:pPr>
              <w:pStyle w:val="18"/>
              <w:rPr>
                <w:color w:val="auto"/>
              </w:rPr>
            </w:pPr>
            <w:r>
              <w:rPr>
                <w:color w:val="auto"/>
              </w:rPr>
              <w:t>4）排风系统及废气治理系统的所有风机的主排风管和进风管管道进出口加柔性软接。</w:t>
            </w:r>
          </w:p>
          <w:p w14:paraId="41F80777">
            <w:pPr>
              <w:pStyle w:val="18"/>
              <w:rPr>
                <w:color w:val="auto"/>
              </w:rPr>
            </w:pPr>
            <w:r>
              <w:rPr>
                <w:color w:val="auto"/>
              </w:rPr>
              <w:t>（2）厂界噪声达标情况</w:t>
            </w:r>
          </w:p>
          <w:p w14:paraId="79D68C09">
            <w:pPr>
              <w:pStyle w:val="18"/>
              <w:rPr>
                <w:color w:val="auto"/>
              </w:rPr>
            </w:pPr>
            <w:r>
              <w:rPr>
                <w:rFonts w:hint="eastAsia"/>
                <w:color w:val="auto"/>
              </w:rPr>
              <w:t>本次采用《环境影响评价技术导则一声环境》（HJ2.4-2021）中工业噪声预测计算模型，其预测模式如下：</w:t>
            </w:r>
          </w:p>
          <w:p w14:paraId="1DC5A86C">
            <w:pPr>
              <w:pStyle w:val="18"/>
              <w:rPr>
                <w:color w:val="auto"/>
                <w:highlight w:val="none"/>
              </w:rPr>
            </w:pPr>
            <w:r>
              <w:rPr>
                <w:rFonts w:hint="eastAsia"/>
                <w:color w:val="auto"/>
                <w:highlight w:val="none"/>
              </w:rPr>
              <w:t>噪声在传播过程中受到多种因素的干扰，使其产生衰减，根据拟建工程噪声源和环境特征，一般只考虑几何发散衰减，其它因素可忽略，衰减按点声源处于半自由空间的几何发散衰减模式进行预测，其预测模式如下：</w:t>
            </w:r>
          </w:p>
          <w:p w14:paraId="2FC3A218">
            <w:pPr>
              <w:pStyle w:val="18"/>
              <w:rPr>
                <w:color w:val="auto"/>
                <w:highlight w:val="none"/>
              </w:rPr>
            </w:pPr>
            <w:r>
              <w:rPr>
                <w:rFonts w:hint="eastAsia"/>
                <w:color w:val="auto"/>
                <w:highlight w:val="none"/>
              </w:rPr>
              <w:t>根据《环境影响评价技术导则声环境》（HJ2.4</w:t>
            </w:r>
            <w:r>
              <w:rPr>
                <w:rFonts w:hint="eastAsia"/>
                <w:color w:val="auto"/>
                <w:highlight w:val="none"/>
                <w:lang w:val="en-US" w:eastAsia="zh-CN"/>
              </w:rPr>
              <w:t>-</w:t>
            </w:r>
            <w:r>
              <w:rPr>
                <w:rFonts w:hint="eastAsia"/>
                <w:color w:val="auto"/>
                <w:highlight w:val="none"/>
              </w:rPr>
              <w:t>2021）中推荐的以下公式，对项目的声环境影响进行预测。</w:t>
            </w:r>
          </w:p>
          <w:p w14:paraId="2630590C">
            <w:pPr>
              <w:pStyle w:val="18"/>
              <w:rPr>
                <w:color w:val="auto"/>
                <w:highlight w:val="none"/>
              </w:rPr>
            </w:pPr>
            <w:r>
              <w:rPr>
                <w:rFonts w:hint="eastAsia"/>
                <w:color w:val="auto"/>
                <w:highlight w:val="none"/>
              </w:rPr>
              <w:t>室内声源等效室外声源计算</w:t>
            </w:r>
          </w:p>
          <w:p w14:paraId="5B34A914">
            <w:pPr>
              <w:pStyle w:val="18"/>
              <w:rPr>
                <w:color w:val="auto"/>
                <w:highlight w:val="none"/>
              </w:rPr>
            </w:pPr>
            <w:r>
              <w:rPr>
                <w:rFonts w:hint="eastAsia"/>
                <w:color w:val="auto"/>
                <w:highlight w:val="none"/>
              </w:rPr>
              <w:t>通过类比监测确定室外靠近围护结构处的声压级LA</w:t>
            </w:r>
            <w:r>
              <w:rPr>
                <w:rFonts w:hint="eastAsia"/>
                <w:color w:val="auto"/>
                <w:highlight w:val="none"/>
                <w:lang w:eastAsia="zh-CN"/>
              </w:rPr>
              <w:t>（</w:t>
            </w:r>
            <w:r>
              <w:rPr>
                <w:rFonts w:hint="eastAsia"/>
                <w:color w:val="auto"/>
                <w:highlight w:val="none"/>
              </w:rPr>
              <w:t>r0</w:t>
            </w:r>
            <w:r>
              <w:rPr>
                <w:rFonts w:hint="eastAsia"/>
                <w:color w:val="auto"/>
                <w:highlight w:val="none"/>
                <w:lang w:eastAsia="zh-CN"/>
              </w:rPr>
              <w:t>）</w:t>
            </w:r>
            <w:r>
              <w:rPr>
                <w:rFonts w:hint="eastAsia"/>
                <w:color w:val="auto"/>
                <w:highlight w:val="none"/>
              </w:rPr>
              <w:t>；将室外声源的声压级LA</w:t>
            </w:r>
            <w:r>
              <w:rPr>
                <w:rFonts w:hint="eastAsia"/>
                <w:color w:val="auto"/>
                <w:highlight w:val="none"/>
                <w:lang w:eastAsia="zh-CN"/>
              </w:rPr>
              <w:t>（</w:t>
            </w:r>
            <w:r>
              <w:rPr>
                <w:rFonts w:hint="eastAsia"/>
                <w:color w:val="auto"/>
                <w:highlight w:val="none"/>
              </w:rPr>
              <w:t>r0</w:t>
            </w:r>
            <w:r>
              <w:rPr>
                <w:rFonts w:hint="eastAsia"/>
                <w:color w:val="auto"/>
                <w:highlight w:val="none"/>
                <w:lang w:eastAsia="zh-CN"/>
              </w:rPr>
              <w:t>）</w:t>
            </w:r>
            <w:r>
              <w:rPr>
                <w:rFonts w:hint="eastAsia"/>
                <w:color w:val="auto"/>
                <w:highlight w:val="none"/>
              </w:rPr>
              <w:t>和透声面积换算成等效的室外声源，计算出等效源的声功率级。</w:t>
            </w:r>
          </w:p>
          <w:p w14:paraId="59B20E7C">
            <w:pPr>
              <w:pStyle w:val="18"/>
              <w:rPr>
                <w:rFonts w:hint="eastAsia" w:eastAsia="宋体"/>
                <w:color w:val="auto"/>
                <w:highlight w:val="none"/>
                <w:lang w:eastAsia="zh-CN"/>
              </w:rPr>
            </w:pPr>
            <w:r>
              <w:rPr>
                <w:color w:val="auto"/>
                <w:highlight w:val="none"/>
              </w:rPr>
              <w:drawing>
                <wp:inline distT="0" distB="0" distL="0" distR="0">
                  <wp:extent cx="1354455" cy="241935"/>
                  <wp:effectExtent l="0" t="0" r="1714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54455" cy="241935"/>
                          </a:xfrm>
                          <a:prstGeom prst="rect">
                            <a:avLst/>
                          </a:prstGeom>
                          <a:noFill/>
                          <a:ln>
                            <a:noFill/>
                          </a:ln>
                        </pic:spPr>
                      </pic:pic>
                    </a:graphicData>
                  </a:graphic>
                </wp:inline>
              </w:drawing>
            </w:r>
          </w:p>
          <w:p w14:paraId="3F8795E3">
            <w:pPr>
              <w:pStyle w:val="18"/>
              <w:rPr>
                <w:color w:val="auto"/>
                <w:highlight w:val="none"/>
              </w:rPr>
            </w:pPr>
            <w:r>
              <w:rPr>
                <w:rFonts w:hint="eastAsia"/>
                <w:color w:val="auto"/>
                <w:highlight w:val="none"/>
              </w:rPr>
              <w:t>式中：S：透声面积，m</w:t>
            </w:r>
            <w:r>
              <w:rPr>
                <w:rFonts w:hint="eastAsia"/>
                <w:color w:val="auto"/>
                <w:highlight w:val="none"/>
                <w:vertAlign w:val="superscript"/>
              </w:rPr>
              <w:t>2</w:t>
            </w:r>
            <w:r>
              <w:rPr>
                <w:rFonts w:hint="eastAsia"/>
                <w:color w:val="auto"/>
                <w:highlight w:val="none"/>
              </w:rPr>
              <w:t>。</w:t>
            </w:r>
          </w:p>
          <w:p w14:paraId="44857D30">
            <w:pPr>
              <w:pStyle w:val="18"/>
              <w:rPr>
                <w:color w:val="auto"/>
                <w:highlight w:val="none"/>
              </w:rPr>
            </w:pPr>
            <w:r>
              <w:rPr>
                <w:rFonts w:hint="eastAsia"/>
                <w:color w:val="auto"/>
                <w:highlight w:val="none"/>
              </w:rPr>
              <w:t>等效室外声源在预测点的声压级计算公式如下。</w:t>
            </w:r>
          </w:p>
          <w:p w14:paraId="7543E911">
            <w:pPr>
              <w:pStyle w:val="18"/>
              <w:rPr>
                <w:rFonts w:hint="eastAsia" w:eastAsia="宋体"/>
                <w:color w:val="auto"/>
                <w:highlight w:val="none"/>
                <w:lang w:eastAsia="zh-CN"/>
              </w:rPr>
            </w:pPr>
            <w:r>
              <w:rPr>
                <w:color w:val="auto"/>
                <w:highlight w:val="none"/>
              </w:rPr>
              <w:drawing>
                <wp:inline distT="0" distB="0" distL="0" distR="0">
                  <wp:extent cx="2317750" cy="277495"/>
                  <wp:effectExtent l="0" t="0" r="635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17750" cy="277495"/>
                          </a:xfrm>
                          <a:prstGeom prst="rect">
                            <a:avLst/>
                          </a:prstGeom>
                          <a:noFill/>
                          <a:ln>
                            <a:noFill/>
                          </a:ln>
                        </pic:spPr>
                      </pic:pic>
                    </a:graphicData>
                  </a:graphic>
                </wp:inline>
              </w:drawing>
            </w:r>
          </w:p>
          <w:p w14:paraId="49B206B1">
            <w:pPr>
              <w:pStyle w:val="18"/>
              <w:rPr>
                <w:color w:val="auto"/>
              </w:rPr>
            </w:pPr>
            <w:r>
              <w:rPr>
                <w:rFonts w:hint="eastAsia"/>
                <w:color w:val="auto"/>
              </w:rPr>
              <w:t>噪声贡献值计算</w:t>
            </w:r>
          </w:p>
          <w:p w14:paraId="27CB426B">
            <w:pPr>
              <w:pStyle w:val="18"/>
              <w:rPr>
                <w:color w:val="auto"/>
              </w:rPr>
            </w:pPr>
            <w:r>
              <w:rPr>
                <w:rFonts w:hint="eastAsia"/>
                <w:color w:val="auto"/>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10CE69BD">
            <w:pPr>
              <w:pStyle w:val="18"/>
              <w:rPr>
                <w:rFonts w:hint="eastAsia" w:eastAsia="宋体"/>
                <w:color w:val="auto"/>
                <w:lang w:eastAsia="zh-CN"/>
              </w:rPr>
            </w:pPr>
            <w:r>
              <w:rPr>
                <w:color w:val="auto"/>
              </w:rPr>
              <w:drawing>
                <wp:inline distT="0" distB="0" distL="0" distR="0">
                  <wp:extent cx="3127375" cy="566420"/>
                  <wp:effectExtent l="0" t="0" r="158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27375" cy="566420"/>
                          </a:xfrm>
                          <a:prstGeom prst="rect">
                            <a:avLst/>
                          </a:prstGeom>
                          <a:noFill/>
                          <a:ln>
                            <a:noFill/>
                          </a:ln>
                        </pic:spPr>
                      </pic:pic>
                    </a:graphicData>
                  </a:graphic>
                </wp:inline>
              </w:drawing>
            </w:r>
          </w:p>
          <w:p w14:paraId="02BA3146">
            <w:pPr>
              <w:pStyle w:val="18"/>
              <w:rPr>
                <w:color w:val="auto"/>
              </w:rPr>
            </w:pPr>
            <w:r>
              <w:rPr>
                <w:rFonts w:hint="eastAsia"/>
                <w:color w:val="auto"/>
              </w:rPr>
              <w:t>式中：Leqg：建设项目声源在预测点产生的噪声贡献值，dB；</w:t>
            </w:r>
          </w:p>
          <w:p w14:paraId="238F67DB">
            <w:pPr>
              <w:pStyle w:val="18"/>
              <w:rPr>
                <w:color w:val="auto"/>
              </w:rPr>
            </w:pPr>
            <w:r>
              <w:rPr>
                <w:rFonts w:hint="eastAsia"/>
                <w:color w:val="auto"/>
              </w:rPr>
              <w:t>T：用于计算等效声级的时间，s；</w:t>
            </w:r>
          </w:p>
          <w:p w14:paraId="342F4635">
            <w:pPr>
              <w:pStyle w:val="18"/>
              <w:rPr>
                <w:color w:val="auto"/>
              </w:rPr>
            </w:pPr>
            <w:r>
              <w:rPr>
                <w:rFonts w:hint="eastAsia"/>
                <w:color w:val="auto"/>
              </w:rPr>
              <w:t>N：室外声源个数；</w:t>
            </w:r>
          </w:p>
          <w:p w14:paraId="4D5302F6">
            <w:pPr>
              <w:pStyle w:val="18"/>
              <w:rPr>
                <w:color w:val="auto"/>
              </w:rPr>
            </w:pPr>
            <w:r>
              <w:rPr>
                <w:rFonts w:hint="eastAsia"/>
                <w:color w:val="auto"/>
              </w:rPr>
              <w:t>ti：在T时间内i声源工作时间，s；</w:t>
            </w:r>
          </w:p>
          <w:p w14:paraId="740E2534">
            <w:pPr>
              <w:pStyle w:val="18"/>
              <w:rPr>
                <w:color w:val="auto"/>
              </w:rPr>
            </w:pPr>
            <w:r>
              <w:rPr>
                <w:rFonts w:hint="eastAsia"/>
                <w:color w:val="auto"/>
              </w:rPr>
              <w:t>M：等效室外声源个数；</w:t>
            </w:r>
          </w:p>
          <w:p w14:paraId="2F5C8B4E">
            <w:pPr>
              <w:pStyle w:val="18"/>
              <w:rPr>
                <w:color w:val="auto"/>
              </w:rPr>
            </w:pPr>
            <w:r>
              <w:rPr>
                <w:rFonts w:hint="eastAsia"/>
                <w:color w:val="auto"/>
              </w:rPr>
              <w:t>tj：在T时间内j声源工作时间，s。</w:t>
            </w:r>
          </w:p>
          <w:p w14:paraId="01B0B9F9">
            <w:pPr>
              <w:pStyle w:val="18"/>
              <w:rPr>
                <w:color w:val="auto"/>
              </w:rPr>
            </w:pPr>
            <w:r>
              <w:rPr>
                <w:rFonts w:hint="eastAsia"/>
                <w:color w:val="auto"/>
              </w:rPr>
              <w:t>噪声预测值计算</w:t>
            </w:r>
          </w:p>
          <w:p w14:paraId="6D0D39B6">
            <w:pPr>
              <w:pStyle w:val="18"/>
              <w:rPr>
                <w:color w:val="auto"/>
              </w:rPr>
            </w:pPr>
            <w:r>
              <w:rPr>
                <w:rFonts w:hint="eastAsia"/>
                <w:color w:val="auto"/>
              </w:rPr>
              <w:t>对于任何一个预测点，其总噪声效应是多个叠加声级（即各声源分别在该点的贡献值和本底噪声值）的能量总和。其计算式如下：</w:t>
            </w:r>
          </w:p>
          <w:p w14:paraId="230F14E2">
            <w:pPr>
              <w:pStyle w:val="18"/>
              <w:rPr>
                <w:rFonts w:hint="eastAsia" w:eastAsia="宋体"/>
                <w:color w:val="auto"/>
                <w:lang w:eastAsia="zh-CN"/>
              </w:rPr>
            </w:pPr>
            <w:r>
              <w:rPr>
                <w:color w:val="auto"/>
              </w:rPr>
              <w:drawing>
                <wp:inline distT="0" distB="0" distL="0" distR="0">
                  <wp:extent cx="1999615" cy="409575"/>
                  <wp:effectExtent l="0" t="0" r="6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99615" cy="409575"/>
                          </a:xfrm>
                          <a:prstGeom prst="rect">
                            <a:avLst/>
                          </a:prstGeom>
                          <a:noFill/>
                          <a:ln>
                            <a:noFill/>
                          </a:ln>
                        </pic:spPr>
                      </pic:pic>
                    </a:graphicData>
                  </a:graphic>
                </wp:inline>
              </w:drawing>
            </w:r>
          </w:p>
          <w:p w14:paraId="599524D4">
            <w:pPr>
              <w:pStyle w:val="18"/>
              <w:rPr>
                <w:color w:val="auto"/>
              </w:rPr>
            </w:pPr>
            <w:r>
              <w:rPr>
                <w:rFonts w:hint="eastAsia"/>
                <w:color w:val="auto"/>
              </w:rPr>
              <w:t>式中：Leq：预测点的噪声预测值，dB；</w:t>
            </w:r>
          </w:p>
          <w:p w14:paraId="52DAF6F2">
            <w:pPr>
              <w:pStyle w:val="18"/>
              <w:rPr>
                <w:color w:val="auto"/>
              </w:rPr>
            </w:pPr>
            <w:r>
              <w:rPr>
                <w:rFonts w:hint="eastAsia"/>
                <w:color w:val="auto"/>
              </w:rPr>
              <w:t>Leqb：预测点背景噪声值，dB。</w:t>
            </w:r>
          </w:p>
          <w:p w14:paraId="62313A96">
            <w:pPr>
              <w:pStyle w:val="18"/>
              <w:rPr>
                <w:color w:val="auto"/>
              </w:rPr>
            </w:pPr>
            <w:r>
              <w:rPr>
                <w:rFonts w:hint="eastAsia"/>
                <w:color w:val="auto"/>
              </w:rPr>
              <w:t>预测过程中对于屏障衰减只考虑厂房等围护结构造成的传声损失，对空气吸收和</w:t>
            </w:r>
            <w:r>
              <w:rPr>
                <w:rFonts w:hint="eastAsia"/>
                <w:color w:val="auto"/>
                <w:lang w:eastAsia="zh-CN"/>
              </w:rPr>
              <w:t>其他</w:t>
            </w:r>
            <w:r>
              <w:rPr>
                <w:rFonts w:hint="eastAsia"/>
                <w:color w:val="auto"/>
              </w:rPr>
              <w:t>附加衰减忽略不计。</w:t>
            </w:r>
          </w:p>
          <w:p w14:paraId="02CF8B7F">
            <w:pPr>
              <w:pStyle w:val="18"/>
              <w:rPr>
                <w:color w:val="auto"/>
              </w:rPr>
            </w:pPr>
            <w:r>
              <w:rPr>
                <w:rFonts w:hint="eastAsia"/>
                <w:color w:val="auto"/>
              </w:rPr>
              <w:t>运用上述计算模式，先将项目的各噪声源按照点声源随距离衰减公式计算各噪声源传到某一定点的声级，然后将其进行叠加即为该定点的噪声影响值。根据《建设项目环境影响评价技术导则声环境》（HJ2.4-2009）中9.2.1条的规定：“进行边界噪声影响评价时，新建建设项目以工程噪声贡献值作为评价量”，本项目为新建项目，故以贡献值作为噪声的评价量</w:t>
            </w:r>
            <w:r>
              <w:rPr>
                <w:color w:val="auto"/>
              </w:rPr>
              <w:t>，预测结果见下表：</w:t>
            </w:r>
          </w:p>
          <w:p w14:paraId="4ADBD9EE">
            <w:pPr>
              <w:pStyle w:val="18"/>
              <w:rPr>
                <w:color w:val="auto"/>
              </w:rPr>
            </w:pPr>
            <w:r>
              <w:rPr>
                <w:b/>
                <w:bCs/>
                <w:color w:val="auto"/>
              </w:rPr>
              <w:t>根据项目外环境关系，厂界周边50m范围内无声环境敏感点分布，</w:t>
            </w:r>
            <w:r>
              <w:rPr>
                <w:rFonts w:hint="eastAsia"/>
                <w:b/>
                <w:bCs/>
                <w:color w:val="auto"/>
              </w:rPr>
              <w:t>仅</w:t>
            </w:r>
            <w:r>
              <w:rPr>
                <w:b/>
                <w:bCs/>
                <w:color w:val="auto"/>
              </w:rPr>
              <w:t>项目厂界噪声进行预测</w:t>
            </w:r>
            <w:r>
              <w:rPr>
                <w:rFonts w:hint="eastAsia"/>
                <w:color w:val="auto"/>
              </w:rPr>
              <w:t>，</w:t>
            </w:r>
            <w:r>
              <w:rPr>
                <w:color w:val="auto"/>
              </w:rPr>
              <w:t>预测结果见下表：</w:t>
            </w:r>
          </w:p>
          <w:p w14:paraId="6E9BF1B0">
            <w:pPr>
              <w:autoSpaceDE w:val="0"/>
              <w:autoSpaceDN w:val="0"/>
              <w:adjustRightInd w:val="0"/>
              <w:snapToGrid w:val="0"/>
              <w:jc w:val="center"/>
              <w:rPr>
                <w:b/>
                <w:bCs/>
                <w:color w:val="auto"/>
                <w:kern w:val="0"/>
                <w:szCs w:val="21"/>
              </w:rPr>
            </w:pPr>
            <w:r>
              <w:rPr>
                <w:b/>
                <w:bCs/>
                <w:color w:val="auto"/>
                <w:kern w:val="0"/>
                <w:szCs w:val="21"/>
              </w:rPr>
              <w:t>表4-1</w:t>
            </w:r>
            <w:r>
              <w:rPr>
                <w:rFonts w:hint="eastAsia"/>
                <w:b/>
                <w:bCs/>
                <w:color w:val="auto"/>
                <w:kern w:val="0"/>
                <w:szCs w:val="21"/>
                <w:lang w:val="en-US" w:eastAsia="zh-CN"/>
              </w:rPr>
              <w:t xml:space="preserve">5 </w:t>
            </w:r>
            <w:r>
              <w:rPr>
                <w:b/>
                <w:bCs/>
                <w:color w:val="auto"/>
                <w:kern w:val="0"/>
                <w:szCs w:val="21"/>
              </w:rPr>
              <w:t>主要噪声源对各厂界噪声预测结果表单位：dB(A)</w:t>
            </w:r>
          </w:p>
          <w:tbl>
            <w:tblPr>
              <w:tblStyle w:val="1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260"/>
              <w:gridCol w:w="1665"/>
              <w:gridCol w:w="995"/>
              <w:gridCol w:w="996"/>
              <w:gridCol w:w="995"/>
              <w:gridCol w:w="997"/>
            </w:tblGrid>
            <w:tr w14:paraId="0289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restart"/>
                  <w:vAlign w:val="center"/>
                </w:tcPr>
                <w:p w14:paraId="111FB460">
                  <w:pPr>
                    <w:pStyle w:val="42"/>
                    <w:rPr>
                      <w:b/>
                      <w:bCs/>
                      <w:color w:val="auto"/>
                      <w:sz w:val="21"/>
                      <w:szCs w:val="21"/>
                    </w:rPr>
                  </w:pPr>
                  <w:r>
                    <w:rPr>
                      <w:b/>
                      <w:bCs/>
                      <w:color w:val="auto"/>
                      <w:sz w:val="21"/>
                      <w:szCs w:val="21"/>
                    </w:rPr>
                    <w:t>预测点编号</w:t>
                  </w:r>
                </w:p>
              </w:tc>
              <w:tc>
                <w:tcPr>
                  <w:tcW w:w="1260" w:type="dxa"/>
                  <w:vMerge w:val="restart"/>
                  <w:vAlign w:val="center"/>
                </w:tcPr>
                <w:p w14:paraId="3FD20259">
                  <w:pPr>
                    <w:pStyle w:val="42"/>
                    <w:rPr>
                      <w:b/>
                      <w:bCs/>
                      <w:color w:val="auto"/>
                      <w:sz w:val="21"/>
                      <w:szCs w:val="21"/>
                    </w:rPr>
                  </w:pPr>
                  <w:r>
                    <w:rPr>
                      <w:b/>
                      <w:bCs/>
                      <w:color w:val="auto"/>
                      <w:sz w:val="21"/>
                      <w:szCs w:val="21"/>
                    </w:rPr>
                    <w:t>方位</w:t>
                  </w:r>
                </w:p>
              </w:tc>
              <w:tc>
                <w:tcPr>
                  <w:tcW w:w="1665" w:type="dxa"/>
                  <w:vMerge w:val="restart"/>
                  <w:vAlign w:val="center"/>
                </w:tcPr>
                <w:p w14:paraId="215DE5E3">
                  <w:pPr>
                    <w:pStyle w:val="42"/>
                    <w:rPr>
                      <w:b/>
                      <w:bCs/>
                      <w:color w:val="auto"/>
                      <w:sz w:val="21"/>
                      <w:szCs w:val="21"/>
                    </w:rPr>
                  </w:pPr>
                  <w:r>
                    <w:rPr>
                      <w:b/>
                      <w:bCs/>
                      <w:color w:val="auto"/>
                      <w:sz w:val="21"/>
                      <w:szCs w:val="21"/>
                    </w:rPr>
                    <w:t>本项目贡献值</w:t>
                  </w:r>
                </w:p>
              </w:tc>
              <w:tc>
                <w:tcPr>
                  <w:tcW w:w="1991" w:type="dxa"/>
                  <w:gridSpan w:val="2"/>
                  <w:vAlign w:val="center"/>
                </w:tcPr>
                <w:p w14:paraId="265F162C">
                  <w:pPr>
                    <w:pStyle w:val="42"/>
                    <w:rPr>
                      <w:b/>
                      <w:bCs/>
                      <w:color w:val="auto"/>
                      <w:sz w:val="21"/>
                      <w:szCs w:val="21"/>
                    </w:rPr>
                  </w:pPr>
                  <w:r>
                    <w:rPr>
                      <w:b/>
                      <w:bCs/>
                      <w:color w:val="auto"/>
                      <w:sz w:val="21"/>
                      <w:szCs w:val="21"/>
                    </w:rPr>
                    <w:t>标准值</w:t>
                  </w:r>
                </w:p>
              </w:tc>
              <w:tc>
                <w:tcPr>
                  <w:tcW w:w="1992" w:type="dxa"/>
                  <w:gridSpan w:val="2"/>
                  <w:vAlign w:val="center"/>
                </w:tcPr>
                <w:p w14:paraId="3C328AD1">
                  <w:pPr>
                    <w:pStyle w:val="42"/>
                    <w:rPr>
                      <w:b/>
                      <w:bCs/>
                      <w:color w:val="auto"/>
                      <w:sz w:val="21"/>
                      <w:szCs w:val="21"/>
                    </w:rPr>
                  </w:pPr>
                  <w:r>
                    <w:rPr>
                      <w:b/>
                      <w:bCs/>
                      <w:color w:val="auto"/>
                      <w:sz w:val="21"/>
                      <w:szCs w:val="21"/>
                    </w:rPr>
                    <w:t>评价结果</w:t>
                  </w:r>
                </w:p>
              </w:tc>
            </w:tr>
            <w:tr w14:paraId="5199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15F91A54">
                  <w:pPr>
                    <w:pStyle w:val="42"/>
                    <w:rPr>
                      <w:b/>
                      <w:bCs/>
                      <w:color w:val="auto"/>
                      <w:sz w:val="21"/>
                      <w:szCs w:val="21"/>
                    </w:rPr>
                  </w:pPr>
                </w:p>
              </w:tc>
              <w:tc>
                <w:tcPr>
                  <w:tcW w:w="1260" w:type="dxa"/>
                  <w:vMerge w:val="continue"/>
                  <w:vAlign w:val="center"/>
                </w:tcPr>
                <w:p w14:paraId="0AFFC33E">
                  <w:pPr>
                    <w:pStyle w:val="42"/>
                    <w:rPr>
                      <w:b/>
                      <w:bCs/>
                      <w:color w:val="auto"/>
                      <w:sz w:val="21"/>
                      <w:szCs w:val="21"/>
                    </w:rPr>
                  </w:pPr>
                </w:p>
              </w:tc>
              <w:tc>
                <w:tcPr>
                  <w:tcW w:w="1665" w:type="dxa"/>
                  <w:vMerge w:val="continue"/>
                  <w:vAlign w:val="center"/>
                </w:tcPr>
                <w:p w14:paraId="5F206D02">
                  <w:pPr>
                    <w:pStyle w:val="42"/>
                    <w:rPr>
                      <w:b/>
                      <w:bCs/>
                      <w:color w:val="auto"/>
                      <w:sz w:val="21"/>
                      <w:szCs w:val="21"/>
                    </w:rPr>
                  </w:pPr>
                </w:p>
              </w:tc>
              <w:tc>
                <w:tcPr>
                  <w:tcW w:w="995" w:type="dxa"/>
                  <w:vAlign w:val="center"/>
                </w:tcPr>
                <w:p w14:paraId="2333477E">
                  <w:pPr>
                    <w:pStyle w:val="42"/>
                    <w:rPr>
                      <w:b/>
                      <w:bCs/>
                      <w:color w:val="auto"/>
                      <w:sz w:val="21"/>
                      <w:szCs w:val="21"/>
                    </w:rPr>
                  </w:pPr>
                  <w:r>
                    <w:rPr>
                      <w:b/>
                      <w:bCs/>
                      <w:color w:val="auto"/>
                      <w:sz w:val="21"/>
                      <w:szCs w:val="21"/>
                    </w:rPr>
                    <w:t>昼间</w:t>
                  </w:r>
                </w:p>
              </w:tc>
              <w:tc>
                <w:tcPr>
                  <w:tcW w:w="996" w:type="dxa"/>
                  <w:vAlign w:val="center"/>
                </w:tcPr>
                <w:p w14:paraId="14CB556E">
                  <w:pPr>
                    <w:pStyle w:val="42"/>
                    <w:rPr>
                      <w:rFonts w:hint="eastAsia" w:eastAsia="宋体"/>
                      <w:b/>
                      <w:bCs/>
                      <w:color w:val="auto"/>
                      <w:sz w:val="21"/>
                      <w:szCs w:val="21"/>
                      <w:lang w:eastAsia="zh-CN"/>
                    </w:rPr>
                  </w:pPr>
                  <w:r>
                    <w:rPr>
                      <w:rFonts w:hint="eastAsia"/>
                      <w:b/>
                      <w:bCs/>
                      <w:color w:val="auto"/>
                      <w:sz w:val="21"/>
                      <w:szCs w:val="21"/>
                      <w:lang w:val="en-US" w:eastAsia="zh-CN"/>
                    </w:rPr>
                    <w:t>夜间</w:t>
                  </w:r>
                </w:p>
              </w:tc>
              <w:tc>
                <w:tcPr>
                  <w:tcW w:w="995" w:type="dxa"/>
                  <w:vAlign w:val="center"/>
                </w:tcPr>
                <w:p w14:paraId="5060A316">
                  <w:pPr>
                    <w:pStyle w:val="42"/>
                    <w:rPr>
                      <w:b/>
                      <w:bCs/>
                      <w:color w:val="auto"/>
                      <w:sz w:val="21"/>
                      <w:szCs w:val="21"/>
                    </w:rPr>
                  </w:pPr>
                  <w:r>
                    <w:rPr>
                      <w:b/>
                      <w:bCs/>
                      <w:color w:val="auto"/>
                      <w:sz w:val="21"/>
                      <w:szCs w:val="21"/>
                    </w:rPr>
                    <w:t>昼间</w:t>
                  </w:r>
                </w:p>
              </w:tc>
              <w:tc>
                <w:tcPr>
                  <w:tcW w:w="997" w:type="dxa"/>
                  <w:vAlign w:val="center"/>
                </w:tcPr>
                <w:p w14:paraId="18AA9E27">
                  <w:pPr>
                    <w:pStyle w:val="42"/>
                    <w:rPr>
                      <w:rFonts w:hint="eastAsia" w:eastAsia="宋体"/>
                      <w:b/>
                      <w:bCs/>
                      <w:color w:val="auto"/>
                      <w:sz w:val="21"/>
                      <w:szCs w:val="21"/>
                      <w:lang w:val="en-US" w:eastAsia="zh-CN"/>
                    </w:rPr>
                  </w:pPr>
                  <w:r>
                    <w:rPr>
                      <w:rFonts w:hint="eastAsia"/>
                      <w:b/>
                      <w:bCs/>
                      <w:color w:val="auto"/>
                      <w:sz w:val="21"/>
                      <w:szCs w:val="21"/>
                      <w:lang w:val="en-US" w:eastAsia="zh-CN"/>
                    </w:rPr>
                    <w:t>夜间</w:t>
                  </w:r>
                </w:p>
              </w:tc>
            </w:tr>
            <w:tr w14:paraId="6901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ED93011">
                  <w:pPr>
                    <w:pStyle w:val="42"/>
                    <w:rPr>
                      <w:color w:val="auto"/>
                      <w:sz w:val="21"/>
                      <w:szCs w:val="21"/>
                    </w:rPr>
                  </w:pPr>
                  <w:r>
                    <w:rPr>
                      <w:color w:val="auto"/>
                      <w:sz w:val="21"/>
                      <w:szCs w:val="21"/>
                    </w:rPr>
                    <w:t>1#</w:t>
                  </w:r>
                </w:p>
              </w:tc>
              <w:tc>
                <w:tcPr>
                  <w:tcW w:w="1260" w:type="dxa"/>
                  <w:vAlign w:val="center"/>
                </w:tcPr>
                <w:p w14:paraId="66B3BA6B">
                  <w:pPr>
                    <w:pStyle w:val="42"/>
                    <w:rPr>
                      <w:color w:val="auto"/>
                      <w:sz w:val="21"/>
                      <w:szCs w:val="21"/>
                    </w:rPr>
                  </w:pPr>
                  <w:r>
                    <w:rPr>
                      <w:color w:val="auto"/>
                      <w:sz w:val="21"/>
                      <w:szCs w:val="21"/>
                    </w:rPr>
                    <w:t>东侧厂界</w:t>
                  </w:r>
                </w:p>
              </w:tc>
              <w:tc>
                <w:tcPr>
                  <w:tcW w:w="1665" w:type="dxa"/>
                  <w:vAlign w:val="center"/>
                </w:tcPr>
                <w:p w14:paraId="3917D8C0">
                  <w:pPr>
                    <w:pStyle w:val="42"/>
                    <w:rPr>
                      <w:color w:val="auto"/>
                      <w:sz w:val="21"/>
                      <w:szCs w:val="21"/>
                    </w:rPr>
                  </w:pPr>
                  <w:r>
                    <w:rPr>
                      <w:rFonts w:hint="eastAsia"/>
                      <w:color w:val="auto"/>
                      <w:sz w:val="21"/>
                      <w:szCs w:val="21"/>
                      <w:lang w:val="en-US" w:eastAsia="zh-CN"/>
                    </w:rPr>
                    <w:t>4</w:t>
                  </w:r>
                  <w:r>
                    <w:rPr>
                      <w:color w:val="auto"/>
                      <w:sz w:val="21"/>
                      <w:szCs w:val="21"/>
                    </w:rPr>
                    <w:t>4.5</w:t>
                  </w:r>
                </w:p>
              </w:tc>
              <w:tc>
                <w:tcPr>
                  <w:tcW w:w="995" w:type="dxa"/>
                  <w:vMerge w:val="restart"/>
                  <w:vAlign w:val="center"/>
                </w:tcPr>
                <w:p w14:paraId="74708ABC">
                  <w:pPr>
                    <w:pStyle w:val="42"/>
                    <w:rPr>
                      <w:rFonts w:hint="default" w:eastAsia="宋体"/>
                      <w:color w:val="auto"/>
                      <w:sz w:val="21"/>
                      <w:szCs w:val="21"/>
                      <w:lang w:val="en-US" w:eastAsia="zh-CN"/>
                    </w:rPr>
                  </w:pPr>
                  <w:r>
                    <w:rPr>
                      <w:rFonts w:hint="eastAsia"/>
                      <w:color w:val="auto"/>
                      <w:sz w:val="21"/>
                      <w:szCs w:val="21"/>
                      <w:lang w:val="en-US" w:eastAsia="zh-CN"/>
                    </w:rPr>
                    <w:t>65</w:t>
                  </w:r>
                </w:p>
              </w:tc>
              <w:tc>
                <w:tcPr>
                  <w:tcW w:w="996" w:type="dxa"/>
                  <w:vMerge w:val="restart"/>
                  <w:vAlign w:val="center"/>
                </w:tcPr>
                <w:p w14:paraId="68113344">
                  <w:pPr>
                    <w:pStyle w:val="42"/>
                    <w:rPr>
                      <w:rFonts w:hint="default" w:eastAsia="宋体"/>
                      <w:color w:val="auto"/>
                      <w:sz w:val="21"/>
                      <w:szCs w:val="21"/>
                      <w:lang w:val="en-US" w:eastAsia="zh-CN"/>
                    </w:rPr>
                  </w:pPr>
                  <w:r>
                    <w:rPr>
                      <w:rFonts w:hint="eastAsia"/>
                      <w:color w:val="auto"/>
                      <w:sz w:val="21"/>
                      <w:szCs w:val="21"/>
                      <w:lang w:val="en-US" w:eastAsia="zh-CN"/>
                    </w:rPr>
                    <w:t>50</w:t>
                  </w:r>
                </w:p>
              </w:tc>
              <w:tc>
                <w:tcPr>
                  <w:tcW w:w="995" w:type="dxa"/>
                  <w:vAlign w:val="center"/>
                </w:tcPr>
                <w:p w14:paraId="650B8FEA">
                  <w:pPr>
                    <w:pStyle w:val="42"/>
                    <w:rPr>
                      <w:color w:val="auto"/>
                      <w:sz w:val="21"/>
                      <w:szCs w:val="21"/>
                    </w:rPr>
                  </w:pPr>
                  <w:r>
                    <w:rPr>
                      <w:color w:val="auto"/>
                      <w:sz w:val="21"/>
                      <w:szCs w:val="21"/>
                    </w:rPr>
                    <w:t>达标</w:t>
                  </w:r>
                </w:p>
              </w:tc>
              <w:tc>
                <w:tcPr>
                  <w:tcW w:w="997" w:type="dxa"/>
                  <w:vAlign w:val="center"/>
                </w:tcPr>
                <w:p w14:paraId="5077A6FB">
                  <w:pPr>
                    <w:pStyle w:val="42"/>
                    <w:rPr>
                      <w:color w:val="auto"/>
                      <w:sz w:val="21"/>
                      <w:szCs w:val="21"/>
                    </w:rPr>
                  </w:pPr>
                  <w:r>
                    <w:rPr>
                      <w:color w:val="auto"/>
                      <w:sz w:val="21"/>
                      <w:szCs w:val="21"/>
                    </w:rPr>
                    <w:t>达标</w:t>
                  </w:r>
                </w:p>
              </w:tc>
            </w:tr>
            <w:tr w14:paraId="7A35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77B3F8B4">
                  <w:pPr>
                    <w:pStyle w:val="42"/>
                    <w:rPr>
                      <w:color w:val="auto"/>
                      <w:sz w:val="21"/>
                      <w:szCs w:val="21"/>
                    </w:rPr>
                  </w:pPr>
                  <w:r>
                    <w:rPr>
                      <w:color w:val="auto"/>
                      <w:sz w:val="21"/>
                      <w:szCs w:val="21"/>
                    </w:rPr>
                    <w:t>2#</w:t>
                  </w:r>
                </w:p>
              </w:tc>
              <w:tc>
                <w:tcPr>
                  <w:tcW w:w="1260" w:type="dxa"/>
                  <w:vAlign w:val="center"/>
                </w:tcPr>
                <w:p w14:paraId="3097AD1E">
                  <w:pPr>
                    <w:pStyle w:val="42"/>
                    <w:rPr>
                      <w:color w:val="auto"/>
                      <w:sz w:val="21"/>
                      <w:szCs w:val="21"/>
                    </w:rPr>
                  </w:pPr>
                  <w:r>
                    <w:rPr>
                      <w:color w:val="auto"/>
                      <w:sz w:val="21"/>
                      <w:szCs w:val="21"/>
                    </w:rPr>
                    <w:t>南侧厂界</w:t>
                  </w:r>
                </w:p>
              </w:tc>
              <w:tc>
                <w:tcPr>
                  <w:tcW w:w="1665" w:type="dxa"/>
                  <w:vAlign w:val="center"/>
                </w:tcPr>
                <w:p w14:paraId="0ED699ED">
                  <w:pPr>
                    <w:pStyle w:val="42"/>
                    <w:rPr>
                      <w:color w:val="auto"/>
                      <w:sz w:val="21"/>
                      <w:szCs w:val="21"/>
                    </w:rPr>
                  </w:pPr>
                  <w:r>
                    <w:rPr>
                      <w:rFonts w:hint="eastAsia"/>
                      <w:color w:val="auto"/>
                      <w:sz w:val="21"/>
                      <w:szCs w:val="21"/>
                      <w:lang w:val="en-US" w:eastAsia="zh-CN"/>
                    </w:rPr>
                    <w:t>4</w:t>
                  </w:r>
                  <w:r>
                    <w:rPr>
                      <w:color w:val="auto"/>
                      <w:sz w:val="21"/>
                      <w:szCs w:val="21"/>
                    </w:rPr>
                    <w:t>1.3</w:t>
                  </w:r>
                </w:p>
              </w:tc>
              <w:tc>
                <w:tcPr>
                  <w:tcW w:w="995" w:type="dxa"/>
                  <w:vMerge w:val="continue"/>
                  <w:vAlign w:val="center"/>
                </w:tcPr>
                <w:p w14:paraId="4837B46B">
                  <w:pPr>
                    <w:pStyle w:val="42"/>
                    <w:rPr>
                      <w:color w:val="auto"/>
                      <w:sz w:val="21"/>
                      <w:szCs w:val="21"/>
                    </w:rPr>
                  </w:pPr>
                </w:p>
              </w:tc>
              <w:tc>
                <w:tcPr>
                  <w:tcW w:w="996" w:type="dxa"/>
                  <w:vMerge w:val="continue"/>
                  <w:vAlign w:val="center"/>
                </w:tcPr>
                <w:p w14:paraId="07E3CBBE">
                  <w:pPr>
                    <w:pStyle w:val="42"/>
                    <w:rPr>
                      <w:color w:val="auto"/>
                      <w:sz w:val="21"/>
                      <w:szCs w:val="21"/>
                    </w:rPr>
                  </w:pPr>
                </w:p>
              </w:tc>
              <w:tc>
                <w:tcPr>
                  <w:tcW w:w="995" w:type="dxa"/>
                  <w:vAlign w:val="center"/>
                </w:tcPr>
                <w:p w14:paraId="2BBF2F45">
                  <w:pPr>
                    <w:pStyle w:val="42"/>
                    <w:rPr>
                      <w:color w:val="auto"/>
                      <w:sz w:val="21"/>
                      <w:szCs w:val="21"/>
                    </w:rPr>
                  </w:pPr>
                  <w:r>
                    <w:rPr>
                      <w:color w:val="auto"/>
                      <w:sz w:val="21"/>
                      <w:szCs w:val="21"/>
                    </w:rPr>
                    <w:t>达标</w:t>
                  </w:r>
                </w:p>
              </w:tc>
              <w:tc>
                <w:tcPr>
                  <w:tcW w:w="997" w:type="dxa"/>
                  <w:vAlign w:val="center"/>
                </w:tcPr>
                <w:p w14:paraId="6D6BF08A">
                  <w:pPr>
                    <w:pStyle w:val="42"/>
                    <w:rPr>
                      <w:color w:val="auto"/>
                      <w:sz w:val="21"/>
                      <w:szCs w:val="21"/>
                    </w:rPr>
                  </w:pPr>
                  <w:r>
                    <w:rPr>
                      <w:color w:val="auto"/>
                      <w:sz w:val="21"/>
                      <w:szCs w:val="21"/>
                    </w:rPr>
                    <w:t>达标</w:t>
                  </w:r>
                </w:p>
              </w:tc>
            </w:tr>
            <w:tr w14:paraId="288E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6CB5DF3D">
                  <w:pPr>
                    <w:pStyle w:val="42"/>
                    <w:rPr>
                      <w:color w:val="auto"/>
                      <w:sz w:val="21"/>
                      <w:szCs w:val="21"/>
                    </w:rPr>
                  </w:pPr>
                  <w:r>
                    <w:rPr>
                      <w:color w:val="auto"/>
                      <w:sz w:val="21"/>
                      <w:szCs w:val="21"/>
                    </w:rPr>
                    <w:t>3#</w:t>
                  </w:r>
                </w:p>
              </w:tc>
              <w:tc>
                <w:tcPr>
                  <w:tcW w:w="1260" w:type="dxa"/>
                  <w:vAlign w:val="center"/>
                </w:tcPr>
                <w:p w14:paraId="58FB6EF4">
                  <w:pPr>
                    <w:pStyle w:val="42"/>
                    <w:rPr>
                      <w:color w:val="auto"/>
                      <w:sz w:val="21"/>
                      <w:szCs w:val="21"/>
                    </w:rPr>
                  </w:pPr>
                  <w:r>
                    <w:rPr>
                      <w:color w:val="auto"/>
                      <w:sz w:val="21"/>
                      <w:szCs w:val="21"/>
                    </w:rPr>
                    <w:t>西侧厂界</w:t>
                  </w:r>
                </w:p>
              </w:tc>
              <w:tc>
                <w:tcPr>
                  <w:tcW w:w="1665" w:type="dxa"/>
                  <w:vAlign w:val="center"/>
                </w:tcPr>
                <w:p w14:paraId="70BC59CB">
                  <w:pPr>
                    <w:pStyle w:val="42"/>
                    <w:rPr>
                      <w:color w:val="auto"/>
                      <w:sz w:val="21"/>
                      <w:szCs w:val="21"/>
                    </w:rPr>
                  </w:pPr>
                  <w:r>
                    <w:rPr>
                      <w:rFonts w:hint="eastAsia"/>
                      <w:color w:val="auto"/>
                      <w:sz w:val="21"/>
                      <w:szCs w:val="21"/>
                      <w:lang w:val="en-US" w:eastAsia="zh-CN"/>
                    </w:rPr>
                    <w:t>4</w:t>
                  </w:r>
                  <w:r>
                    <w:rPr>
                      <w:color w:val="auto"/>
                      <w:sz w:val="21"/>
                      <w:szCs w:val="21"/>
                    </w:rPr>
                    <w:t>6.2</w:t>
                  </w:r>
                </w:p>
              </w:tc>
              <w:tc>
                <w:tcPr>
                  <w:tcW w:w="995" w:type="dxa"/>
                  <w:vMerge w:val="continue"/>
                  <w:vAlign w:val="center"/>
                </w:tcPr>
                <w:p w14:paraId="6F352136">
                  <w:pPr>
                    <w:pStyle w:val="42"/>
                    <w:rPr>
                      <w:color w:val="auto"/>
                      <w:sz w:val="21"/>
                      <w:szCs w:val="21"/>
                    </w:rPr>
                  </w:pPr>
                </w:p>
              </w:tc>
              <w:tc>
                <w:tcPr>
                  <w:tcW w:w="996" w:type="dxa"/>
                  <w:vMerge w:val="continue"/>
                  <w:vAlign w:val="center"/>
                </w:tcPr>
                <w:p w14:paraId="78F3EC2C">
                  <w:pPr>
                    <w:pStyle w:val="42"/>
                    <w:rPr>
                      <w:color w:val="auto"/>
                      <w:sz w:val="21"/>
                      <w:szCs w:val="21"/>
                    </w:rPr>
                  </w:pPr>
                </w:p>
              </w:tc>
              <w:tc>
                <w:tcPr>
                  <w:tcW w:w="995" w:type="dxa"/>
                  <w:vAlign w:val="center"/>
                </w:tcPr>
                <w:p w14:paraId="48E8AD87">
                  <w:pPr>
                    <w:pStyle w:val="42"/>
                    <w:rPr>
                      <w:color w:val="auto"/>
                      <w:sz w:val="21"/>
                      <w:szCs w:val="21"/>
                    </w:rPr>
                  </w:pPr>
                  <w:r>
                    <w:rPr>
                      <w:color w:val="auto"/>
                      <w:sz w:val="21"/>
                      <w:szCs w:val="21"/>
                    </w:rPr>
                    <w:t>达标</w:t>
                  </w:r>
                </w:p>
              </w:tc>
              <w:tc>
                <w:tcPr>
                  <w:tcW w:w="997" w:type="dxa"/>
                  <w:vAlign w:val="center"/>
                </w:tcPr>
                <w:p w14:paraId="4894B257">
                  <w:pPr>
                    <w:pStyle w:val="42"/>
                    <w:rPr>
                      <w:color w:val="auto"/>
                      <w:sz w:val="21"/>
                      <w:szCs w:val="21"/>
                    </w:rPr>
                  </w:pPr>
                  <w:r>
                    <w:rPr>
                      <w:color w:val="auto"/>
                      <w:sz w:val="21"/>
                      <w:szCs w:val="21"/>
                    </w:rPr>
                    <w:t>达标</w:t>
                  </w:r>
                </w:p>
              </w:tc>
            </w:tr>
            <w:tr w14:paraId="0F4F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260EC26E">
                  <w:pPr>
                    <w:pStyle w:val="42"/>
                    <w:rPr>
                      <w:color w:val="auto"/>
                      <w:sz w:val="21"/>
                      <w:szCs w:val="21"/>
                    </w:rPr>
                  </w:pPr>
                  <w:r>
                    <w:rPr>
                      <w:color w:val="auto"/>
                      <w:sz w:val="21"/>
                      <w:szCs w:val="21"/>
                    </w:rPr>
                    <w:t>4#</w:t>
                  </w:r>
                </w:p>
              </w:tc>
              <w:tc>
                <w:tcPr>
                  <w:tcW w:w="1260" w:type="dxa"/>
                  <w:vAlign w:val="center"/>
                </w:tcPr>
                <w:p w14:paraId="51737A7D">
                  <w:pPr>
                    <w:pStyle w:val="42"/>
                    <w:rPr>
                      <w:color w:val="auto"/>
                      <w:sz w:val="21"/>
                      <w:szCs w:val="21"/>
                    </w:rPr>
                  </w:pPr>
                  <w:r>
                    <w:rPr>
                      <w:color w:val="auto"/>
                      <w:sz w:val="21"/>
                      <w:szCs w:val="21"/>
                    </w:rPr>
                    <w:t>北侧厂界</w:t>
                  </w:r>
                </w:p>
              </w:tc>
              <w:tc>
                <w:tcPr>
                  <w:tcW w:w="1665" w:type="dxa"/>
                  <w:vAlign w:val="center"/>
                </w:tcPr>
                <w:p w14:paraId="6C687ECC">
                  <w:pPr>
                    <w:pStyle w:val="42"/>
                    <w:rPr>
                      <w:color w:val="auto"/>
                      <w:sz w:val="21"/>
                      <w:szCs w:val="21"/>
                    </w:rPr>
                  </w:pPr>
                  <w:r>
                    <w:rPr>
                      <w:rFonts w:hint="eastAsia"/>
                      <w:color w:val="auto"/>
                      <w:sz w:val="21"/>
                      <w:szCs w:val="21"/>
                      <w:lang w:val="en-US" w:eastAsia="zh-CN"/>
                    </w:rPr>
                    <w:t>4</w:t>
                  </w:r>
                  <w:r>
                    <w:rPr>
                      <w:color w:val="auto"/>
                      <w:sz w:val="21"/>
                      <w:szCs w:val="21"/>
                    </w:rPr>
                    <w:t>2.7</w:t>
                  </w:r>
                </w:p>
              </w:tc>
              <w:tc>
                <w:tcPr>
                  <w:tcW w:w="995" w:type="dxa"/>
                  <w:vMerge w:val="continue"/>
                  <w:vAlign w:val="center"/>
                </w:tcPr>
                <w:p w14:paraId="58539D1C">
                  <w:pPr>
                    <w:pStyle w:val="42"/>
                    <w:rPr>
                      <w:color w:val="auto"/>
                      <w:sz w:val="21"/>
                      <w:szCs w:val="21"/>
                    </w:rPr>
                  </w:pPr>
                </w:p>
              </w:tc>
              <w:tc>
                <w:tcPr>
                  <w:tcW w:w="996" w:type="dxa"/>
                  <w:vMerge w:val="continue"/>
                  <w:vAlign w:val="center"/>
                </w:tcPr>
                <w:p w14:paraId="28C73843">
                  <w:pPr>
                    <w:pStyle w:val="42"/>
                    <w:rPr>
                      <w:color w:val="auto"/>
                      <w:sz w:val="21"/>
                      <w:szCs w:val="21"/>
                    </w:rPr>
                  </w:pPr>
                </w:p>
              </w:tc>
              <w:tc>
                <w:tcPr>
                  <w:tcW w:w="995" w:type="dxa"/>
                  <w:vAlign w:val="center"/>
                </w:tcPr>
                <w:p w14:paraId="009C1C4B">
                  <w:pPr>
                    <w:pStyle w:val="42"/>
                    <w:rPr>
                      <w:color w:val="auto"/>
                      <w:sz w:val="21"/>
                      <w:szCs w:val="21"/>
                    </w:rPr>
                  </w:pPr>
                  <w:r>
                    <w:rPr>
                      <w:color w:val="auto"/>
                      <w:sz w:val="21"/>
                      <w:szCs w:val="21"/>
                    </w:rPr>
                    <w:t>达标</w:t>
                  </w:r>
                </w:p>
              </w:tc>
              <w:tc>
                <w:tcPr>
                  <w:tcW w:w="997" w:type="dxa"/>
                  <w:vAlign w:val="center"/>
                </w:tcPr>
                <w:p w14:paraId="2EF86ABE">
                  <w:pPr>
                    <w:pStyle w:val="42"/>
                    <w:rPr>
                      <w:color w:val="auto"/>
                      <w:sz w:val="21"/>
                      <w:szCs w:val="21"/>
                    </w:rPr>
                  </w:pPr>
                  <w:r>
                    <w:rPr>
                      <w:color w:val="auto"/>
                      <w:sz w:val="21"/>
                      <w:szCs w:val="21"/>
                    </w:rPr>
                    <w:t>达标</w:t>
                  </w:r>
                </w:p>
              </w:tc>
            </w:tr>
          </w:tbl>
          <w:p w14:paraId="280ABEA8">
            <w:pPr>
              <w:pStyle w:val="18"/>
              <w:rPr>
                <w:b/>
                <w:bCs/>
                <w:color w:val="auto"/>
                <w:szCs w:val="21"/>
              </w:rPr>
            </w:pPr>
            <w:r>
              <w:rPr>
                <w:color w:val="auto"/>
              </w:rPr>
              <w:t>从上表</w:t>
            </w:r>
            <w:r>
              <w:rPr>
                <w:rFonts w:hint="eastAsia"/>
                <w:color w:val="auto"/>
              </w:rPr>
              <w:t>可以</w:t>
            </w:r>
            <w:r>
              <w:rPr>
                <w:color w:val="auto"/>
              </w:rPr>
              <w:t>看出，项目各主要噪声源产生的噪声经治理措施、距离衰减后，厂界噪声可以达到《工业企业厂界环境噪声排放标准》</w:t>
            </w:r>
            <w:r>
              <w:rPr>
                <w:rFonts w:hint="eastAsia"/>
                <w:color w:val="auto"/>
              </w:rPr>
              <w:t>（</w:t>
            </w:r>
            <w:r>
              <w:rPr>
                <w:color w:val="auto"/>
              </w:rPr>
              <w:t>GB12348-2008）中3类标准要求。根据项目外环境关系，周边无声环境敏感点。</w:t>
            </w:r>
            <w:r>
              <w:rPr>
                <w:b/>
                <w:bCs/>
                <w:color w:val="auto"/>
              </w:rPr>
              <w:t>本项目的建设对项目所在区域声环境影响甚微，不会改变区域声环境功能。</w:t>
            </w:r>
          </w:p>
          <w:p w14:paraId="3C45EE04">
            <w:pPr>
              <w:spacing w:line="360" w:lineRule="auto"/>
              <w:ind w:firstLine="420" w:firstLineChars="200"/>
              <w:rPr>
                <w:color w:val="auto"/>
                <w:szCs w:val="21"/>
              </w:rPr>
            </w:pPr>
            <w:r>
              <w:rPr>
                <w:color w:val="auto"/>
              </w:rPr>
              <w:t>（3）噪声监测计划</w:t>
            </w:r>
          </w:p>
          <w:p w14:paraId="3B652F19">
            <w:pPr>
              <w:spacing w:line="360" w:lineRule="auto"/>
              <w:ind w:firstLine="420" w:firstLineChars="200"/>
              <w:rPr>
                <w:color w:val="auto"/>
                <w:szCs w:val="21"/>
              </w:rPr>
            </w:pPr>
            <w:r>
              <w:rPr>
                <w:color w:val="auto"/>
                <w:szCs w:val="21"/>
              </w:rPr>
              <w:t>根据《排污单位自行监测技术指南总则》要求，本项目噪声监测要求如下表所示：</w:t>
            </w:r>
          </w:p>
          <w:p w14:paraId="11C1A3F2">
            <w:pPr>
              <w:autoSpaceDE w:val="0"/>
              <w:autoSpaceDN w:val="0"/>
              <w:adjustRightInd w:val="0"/>
              <w:snapToGrid w:val="0"/>
              <w:jc w:val="center"/>
              <w:rPr>
                <w:rFonts w:hint="eastAsia"/>
                <w:b/>
                <w:bCs/>
                <w:color w:val="auto"/>
                <w:kern w:val="0"/>
                <w:szCs w:val="21"/>
                <w:lang w:val="en-US" w:eastAsia="zh-CN"/>
              </w:rPr>
            </w:pPr>
            <w:r>
              <w:rPr>
                <w:rFonts w:hint="eastAsia"/>
                <w:b/>
                <w:bCs/>
                <w:color w:val="auto"/>
                <w:kern w:val="0"/>
                <w:szCs w:val="21"/>
                <w:lang w:val="en-US" w:eastAsia="zh-CN"/>
              </w:rPr>
              <w:t>表4-16 本项目噪声污染物监测计划一览表</w:t>
            </w:r>
          </w:p>
          <w:tbl>
            <w:tblPr>
              <w:tblStyle w:val="19"/>
              <w:tblpPr w:leftFromText="180" w:rightFromText="180" w:vertAnchor="text" w:tblpXSpec="center" w:tblpY="1"/>
              <w:tblOverlap w:val="never"/>
              <w:tblW w:w="0" w:type="auto"/>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235"/>
              <w:gridCol w:w="1375"/>
              <w:gridCol w:w="1788"/>
              <w:gridCol w:w="1377"/>
              <w:gridCol w:w="2391"/>
            </w:tblGrid>
            <w:tr w14:paraId="487519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1235" w:type="dxa"/>
                  <w:vAlign w:val="center"/>
                </w:tcPr>
                <w:p w14:paraId="21EE28A8">
                  <w:pPr>
                    <w:pStyle w:val="42"/>
                    <w:rPr>
                      <w:b/>
                      <w:bCs/>
                      <w:color w:val="auto"/>
                      <w:sz w:val="21"/>
                      <w:szCs w:val="21"/>
                    </w:rPr>
                  </w:pPr>
                  <w:r>
                    <w:rPr>
                      <w:b/>
                      <w:bCs/>
                      <w:color w:val="auto"/>
                      <w:sz w:val="21"/>
                      <w:szCs w:val="21"/>
                    </w:rPr>
                    <w:t>监测类别</w:t>
                  </w:r>
                </w:p>
              </w:tc>
              <w:tc>
                <w:tcPr>
                  <w:tcW w:w="1375" w:type="dxa"/>
                  <w:vAlign w:val="center"/>
                </w:tcPr>
                <w:p w14:paraId="02A0DC0F">
                  <w:pPr>
                    <w:pStyle w:val="42"/>
                    <w:rPr>
                      <w:b/>
                      <w:bCs/>
                      <w:color w:val="auto"/>
                      <w:sz w:val="21"/>
                      <w:szCs w:val="21"/>
                    </w:rPr>
                  </w:pPr>
                  <w:r>
                    <w:rPr>
                      <w:b/>
                      <w:bCs/>
                      <w:color w:val="auto"/>
                      <w:sz w:val="21"/>
                      <w:szCs w:val="21"/>
                    </w:rPr>
                    <w:t>监测项目</w:t>
                  </w:r>
                </w:p>
              </w:tc>
              <w:tc>
                <w:tcPr>
                  <w:tcW w:w="1788" w:type="dxa"/>
                  <w:vAlign w:val="center"/>
                </w:tcPr>
                <w:p w14:paraId="72CD9D54">
                  <w:pPr>
                    <w:pStyle w:val="42"/>
                    <w:rPr>
                      <w:b/>
                      <w:bCs/>
                      <w:color w:val="auto"/>
                      <w:sz w:val="21"/>
                      <w:szCs w:val="21"/>
                    </w:rPr>
                  </w:pPr>
                  <w:r>
                    <w:rPr>
                      <w:b/>
                      <w:bCs/>
                      <w:color w:val="auto"/>
                      <w:sz w:val="21"/>
                      <w:szCs w:val="21"/>
                    </w:rPr>
                    <w:t>监测点位</w:t>
                  </w:r>
                </w:p>
              </w:tc>
              <w:tc>
                <w:tcPr>
                  <w:tcW w:w="1377" w:type="dxa"/>
                  <w:vAlign w:val="center"/>
                </w:tcPr>
                <w:p w14:paraId="2AD90864">
                  <w:pPr>
                    <w:pStyle w:val="42"/>
                    <w:rPr>
                      <w:b/>
                      <w:bCs/>
                      <w:color w:val="auto"/>
                      <w:sz w:val="21"/>
                      <w:szCs w:val="21"/>
                    </w:rPr>
                  </w:pPr>
                  <w:r>
                    <w:rPr>
                      <w:b/>
                      <w:bCs/>
                      <w:color w:val="auto"/>
                      <w:sz w:val="21"/>
                      <w:szCs w:val="21"/>
                    </w:rPr>
                    <w:t>监测频次</w:t>
                  </w:r>
                </w:p>
              </w:tc>
              <w:tc>
                <w:tcPr>
                  <w:tcW w:w="2391" w:type="dxa"/>
                  <w:vAlign w:val="center"/>
                </w:tcPr>
                <w:p w14:paraId="7307D7B8">
                  <w:pPr>
                    <w:pStyle w:val="42"/>
                    <w:rPr>
                      <w:b/>
                      <w:bCs/>
                      <w:color w:val="auto"/>
                      <w:sz w:val="21"/>
                      <w:szCs w:val="21"/>
                    </w:rPr>
                  </w:pPr>
                  <w:r>
                    <w:rPr>
                      <w:b/>
                      <w:bCs/>
                      <w:color w:val="auto"/>
                      <w:sz w:val="21"/>
                      <w:szCs w:val="21"/>
                    </w:rPr>
                    <w:t>执行标准</w:t>
                  </w:r>
                </w:p>
              </w:tc>
            </w:tr>
            <w:tr w14:paraId="688BE3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35" w:type="dxa"/>
                  <w:vAlign w:val="center"/>
                </w:tcPr>
                <w:p w14:paraId="56C3C711">
                  <w:pPr>
                    <w:pStyle w:val="42"/>
                    <w:rPr>
                      <w:color w:val="auto"/>
                      <w:sz w:val="21"/>
                      <w:szCs w:val="21"/>
                    </w:rPr>
                  </w:pPr>
                  <w:r>
                    <w:rPr>
                      <w:rFonts w:hint="eastAsia"/>
                      <w:color w:val="auto"/>
                      <w:sz w:val="21"/>
                      <w:szCs w:val="21"/>
                    </w:rPr>
                    <w:t>噪声</w:t>
                  </w:r>
                </w:p>
              </w:tc>
              <w:tc>
                <w:tcPr>
                  <w:tcW w:w="1375" w:type="dxa"/>
                  <w:vAlign w:val="center"/>
                </w:tcPr>
                <w:p w14:paraId="42ECC631">
                  <w:pPr>
                    <w:pStyle w:val="42"/>
                    <w:rPr>
                      <w:color w:val="auto"/>
                      <w:sz w:val="21"/>
                      <w:szCs w:val="21"/>
                    </w:rPr>
                  </w:pPr>
                  <w:r>
                    <w:rPr>
                      <w:rFonts w:hint="eastAsia"/>
                      <w:color w:val="auto"/>
                      <w:sz w:val="21"/>
                      <w:szCs w:val="21"/>
                    </w:rPr>
                    <w:t>厂界噪声</w:t>
                  </w:r>
                </w:p>
              </w:tc>
              <w:tc>
                <w:tcPr>
                  <w:tcW w:w="1788" w:type="dxa"/>
                  <w:vAlign w:val="center"/>
                </w:tcPr>
                <w:p w14:paraId="5035E942">
                  <w:pPr>
                    <w:pStyle w:val="42"/>
                    <w:rPr>
                      <w:color w:val="auto"/>
                      <w:sz w:val="21"/>
                      <w:szCs w:val="21"/>
                    </w:rPr>
                  </w:pPr>
                  <w:r>
                    <w:rPr>
                      <w:rFonts w:hint="eastAsia"/>
                      <w:color w:val="auto"/>
                      <w:sz w:val="21"/>
                      <w:szCs w:val="21"/>
                    </w:rPr>
                    <w:t>四周厂界外</w:t>
                  </w:r>
                  <w:r>
                    <w:rPr>
                      <w:color w:val="auto"/>
                      <w:sz w:val="21"/>
                      <w:szCs w:val="21"/>
                    </w:rPr>
                    <w:t>1m</w:t>
                  </w:r>
                  <w:r>
                    <w:rPr>
                      <w:rFonts w:hint="eastAsia"/>
                      <w:color w:val="auto"/>
                      <w:sz w:val="21"/>
                      <w:szCs w:val="21"/>
                    </w:rPr>
                    <w:t>处</w:t>
                  </w:r>
                </w:p>
              </w:tc>
              <w:tc>
                <w:tcPr>
                  <w:tcW w:w="1377" w:type="dxa"/>
                  <w:vAlign w:val="center"/>
                </w:tcPr>
                <w:p w14:paraId="23823ACF">
                  <w:pPr>
                    <w:pStyle w:val="42"/>
                    <w:rPr>
                      <w:color w:val="auto"/>
                      <w:sz w:val="21"/>
                      <w:szCs w:val="21"/>
                    </w:rPr>
                  </w:pPr>
                  <w:r>
                    <w:rPr>
                      <w:color w:val="auto"/>
                      <w:sz w:val="21"/>
                      <w:szCs w:val="21"/>
                    </w:rPr>
                    <w:t>1</w:t>
                  </w:r>
                  <w:r>
                    <w:rPr>
                      <w:rFonts w:hint="eastAsia"/>
                      <w:color w:val="auto"/>
                      <w:sz w:val="21"/>
                      <w:szCs w:val="21"/>
                    </w:rPr>
                    <w:t>次</w:t>
                  </w:r>
                  <w:r>
                    <w:rPr>
                      <w:color w:val="auto"/>
                      <w:sz w:val="21"/>
                      <w:szCs w:val="21"/>
                    </w:rPr>
                    <w:t>/</w:t>
                  </w:r>
                  <w:r>
                    <w:rPr>
                      <w:rFonts w:hint="eastAsia"/>
                      <w:color w:val="auto"/>
                      <w:sz w:val="21"/>
                      <w:szCs w:val="21"/>
                    </w:rPr>
                    <w:t>季度，昼</w:t>
                  </w:r>
                </w:p>
                <w:p w14:paraId="2F01AB01">
                  <w:pPr>
                    <w:pStyle w:val="42"/>
                    <w:rPr>
                      <w:color w:val="auto"/>
                      <w:sz w:val="21"/>
                      <w:szCs w:val="21"/>
                    </w:rPr>
                  </w:pPr>
                  <w:r>
                    <w:rPr>
                      <w:rFonts w:hint="eastAsia"/>
                      <w:color w:val="auto"/>
                      <w:sz w:val="21"/>
                      <w:szCs w:val="21"/>
                      <w:lang w:val="en-US" w:eastAsia="zh-CN"/>
                    </w:rPr>
                    <w:t>夜各</w:t>
                  </w:r>
                  <w:r>
                    <w:rPr>
                      <w:rFonts w:hint="eastAsia"/>
                      <w:color w:val="auto"/>
                      <w:sz w:val="21"/>
                      <w:szCs w:val="21"/>
                    </w:rPr>
                    <w:t>1次</w:t>
                  </w:r>
                </w:p>
              </w:tc>
              <w:tc>
                <w:tcPr>
                  <w:tcW w:w="2391" w:type="dxa"/>
                  <w:vAlign w:val="center"/>
                </w:tcPr>
                <w:p w14:paraId="7D57CC0D">
                  <w:pPr>
                    <w:pStyle w:val="42"/>
                    <w:rPr>
                      <w:color w:val="auto"/>
                      <w:sz w:val="21"/>
                      <w:szCs w:val="21"/>
                    </w:rPr>
                  </w:pPr>
                  <w:r>
                    <w:rPr>
                      <w:rFonts w:hint="eastAsia"/>
                      <w:color w:val="auto"/>
                      <w:sz w:val="21"/>
                      <w:szCs w:val="21"/>
                    </w:rPr>
                    <w:t>《工业企业厂界环境噪声排放标准》（</w:t>
                  </w:r>
                  <w:r>
                    <w:rPr>
                      <w:color w:val="auto"/>
                      <w:sz w:val="21"/>
                      <w:szCs w:val="21"/>
                    </w:rPr>
                    <w:t>GB12348-2008</w:t>
                  </w:r>
                  <w:r>
                    <w:rPr>
                      <w:rFonts w:hint="eastAsia"/>
                      <w:color w:val="auto"/>
                      <w:sz w:val="21"/>
                      <w:szCs w:val="21"/>
                    </w:rPr>
                    <w:t>）</w:t>
                  </w:r>
                  <w:r>
                    <w:rPr>
                      <w:color w:val="auto"/>
                      <w:sz w:val="21"/>
                      <w:szCs w:val="21"/>
                    </w:rPr>
                    <w:t>3</w:t>
                  </w:r>
                  <w:r>
                    <w:rPr>
                      <w:rFonts w:hint="eastAsia"/>
                      <w:color w:val="auto"/>
                      <w:sz w:val="21"/>
                      <w:szCs w:val="21"/>
                    </w:rPr>
                    <w:t>类标准</w:t>
                  </w:r>
                </w:p>
              </w:tc>
            </w:tr>
          </w:tbl>
          <w:p w14:paraId="23821587">
            <w:pPr>
              <w:spacing w:line="360" w:lineRule="auto"/>
              <w:ind w:firstLine="422" w:firstLineChars="200"/>
              <w:rPr>
                <w:b/>
                <w:bCs/>
                <w:color w:val="auto"/>
                <w:szCs w:val="21"/>
              </w:rPr>
            </w:pPr>
            <w:r>
              <w:rPr>
                <w:b/>
                <w:bCs/>
                <w:color w:val="auto"/>
                <w:szCs w:val="21"/>
              </w:rPr>
              <w:t>4、固体废物</w:t>
            </w:r>
          </w:p>
          <w:p w14:paraId="3372D890">
            <w:pPr>
              <w:spacing w:line="360" w:lineRule="auto"/>
              <w:ind w:firstLine="422" w:firstLineChars="200"/>
              <w:rPr>
                <w:b/>
                <w:bCs/>
                <w:color w:val="auto"/>
                <w:szCs w:val="21"/>
              </w:rPr>
            </w:pPr>
            <w:bookmarkStart w:id="34" w:name="_Hlk144282687"/>
            <w:bookmarkStart w:id="35" w:name="_Hlk139635631"/>
            <w:bookmarkStart w:id="36" w:name="_Hlk161316611"/>
            <w:r>
              <w:rPr>
                <w:b/>
                <w:bCs/>
                <w:color w:val="auto"/>
                <w:szCs w:val="21"/>
              </w:rPr>
              <w:t>（1）一般</w:t>
            </w:r>
            <w:r>
              <w:rPr>
                <w:rFonts w:hint="eastAsia"/>
                <w:b/>
                <w:bCs/>
                <w:color w:val="auto"/>
                <w:szCs w:val="21"/>
              </w:rPr>
              <w:t>工业</w:t>
            </w:r>
            <w:r>
              <w:rPr>
                <w:b/>
                <w:bCs/>
                <w:color w:val="auto"/>
                <w:szCs w:val="21"/>
              </w:rPr>
              <w:t>固废</w:t>
            </w:r>
          </w:p>
          <w:p w14:paraId="77AA8BA0">
            <w:pPr>
              <w:pStyle w:val="18"/>
              <w:rPr>
                <w:color w:val="auto"/>
              </w:rPr>
            </w:pPr>
            <w:bookmarkStart w:id="37" w:name="_Hlk161319059"/>
            <w:bookmarkStart w:id="38" w:name="_Hlk143788486"/>
            <w:r>
              <w:rPr>
                <w:rFonts w:hint="eastAsia"/>
                <w:color w:val="auto"/>
                <w:lang w:val="en-US" w:eastAsia="zh-CN"/>
              </w:rPr>
              <w:t>①</w:t>
            </w:r>
            <w:r>
              <w:rPr>
                <w:rFonts w:hint="eastAsia"/>
                <w:color w:val="auto"/>
              </w:rPr>
              <w:t>加工</w:t>
            </w:r>
            <w:r>
              <w:rPr>
                <w:rFonts w:hint="eastAsia"/>
                <w:color w:val="auto"/>
                <w:lang w:val="en-US" w:eastAsia="zh-CN"/>
              </w:rPr>
              <w:t>产生的</w:t>
            </w:r>
            <w:r>
              <w:rPr>
                <w:rFonts w:hint="eastAsia"/>
                <w:color w:val="auto"/>
              </w:rPr>
              <w:t>粉尘通过布袋除尘器收集，收集量约为0.1562t/a，废物代码：</w:t>
            </w:r>
            <w:r>
              <w:rPr>
                <w:color w:val="auto"/>
              </w:rPr>
              <w:t>900-099-S59</w:t>
            </w:r>
            <w:r>
              <w:rPr>
                <w:rFonts w:hint="eastAsia"/>
                <w:color w:val="auto"/>
              </w:rPr>
              <w:t>，收集后作为原料回用，不外排。</w:t>
            </w:r>
          </w:p>
          <w:bookmarkEnd w:id="37"/>
          <w:p w14:paraId="0A15BF8F">
            <w:pPr>
              <w:pStyle w:val="18"/>
              <w:rPr>
                <w:rFonts w:hint="eastAsia"/>
                <w:color w:val="auto"/>
                <w:lang w:val="en-US" w:eastAsia="zh-CN"/>
              </w:rPr>
            </w:pPr>
            <w:bookmarkStart w:id="39" w:name="_Hlk173244498"/>
            <w:r>
              <w:rPr>
                <w:rFonts w:hint="eastAsia"/>
                <w:color w:val="auto"/>
                <w:lang w:val="en-US" w:eastAsia="zh-CN"/>
              </w:rPr>
              <w:t>②餐厨垃圾（含隔油池油脂）：主要包括食堂产生的餐厨垃圾和隔油池清掏的废油脂，</w:t>
            </w:r>
            <w:bookmarkStart w:id="40" w:name="OLE_LINK5"/>
            <w:r>
              <w:rPr>
                <w:rFonts w:hint="eastAsia"/>
                <w:color w:val="auto"/>
                <w:lang w:val="en-US" w:eastAsia="zh-CN"/>
              </w:rPr>
              <w:t>废物代码：900-002-S61，</w:t>
            </w:r>
            <w:bookmarkEnd w:id="40"/>
            <w:r>
              <w:rPr>
                <w:rFonts w:hint="eastAsia"/>
                <w:color w:val="auto"/>
                <w:lang w:val="en-US" w:eastAsia="zh-CN"/>
              </w:rPr>
              <w:t>产生量按0.1kg/人·d计，则营运期餐厨垃圾产生量为1.5t/a。单独收集后采用符合标准、有醒目标识的餐厨垃圾专用收集桶储存于食堂，每日交由餐厨垃圾处理单位收运处置，并签订书面收运协议，确保日产日清。</w:t>
            </w:r>
          </w:p>
          <w:p w14:paraId="04F860CC">
            <w:pPr>
              <w:pStyle w:val="18"/>
              <w:rPr>
                <w:rFonts w:hint="eastAsia"/>
                <w:color w:val="auto"/>
                <w:lang w:val="en-US" w:eastAsia="zh-CN"/>
              </w:rPr>
            </w:pPr>
            <w:r>
              <w:rPr>
                <w:rFonts w:hint="eastAsia"/>
                <w:color w:val="auto"/>
                <w:lang w:val="en-US" w:eastAsia="zh-CN"/>
              </w:rPr>
              <w:t>③预处理池污泥：预处理池污泥产生量为0.1t/a，废物代码900-099-S59，交由专业单位清运。</w:t>
            </w:r>
          </w:p>
          <w:bookmarkEnd w:id="39"/>
          <w:p w14:paraId="78AEF99C">
            <w:pPr>
              <w:pStyle w:val="18"/>
              <w:rPr>
                <w:rFonts w:hint="eastAsia"/>
                <w:color w:val="auto"/>
                <w:lang w:val="en-US" w:eastAsia="zh-CN"/>
              </w:rPr>
            </w:pPr>
            <w:r>
              <w:rPr>
                <w:rFonts w:hint="eastAsia"/>
                <w:color w:val="auto"/>
                <w:lang w:val="en-US" w:eastAsia="zh-CN"/>
              </w:rPr>
              <w:t>④废RO膜：本项目纯水制备采用RO反渗透，根据建设单位提供资料，废RO膜为2年一更换，产生量为0.1t/次。废物代码900-099-S59，交由供应商回收处置。</w:t>
            </w:r>
          </w:p>
          <w:p w14:paraId="4F1F51B8">
            <w:pPr>
              <w:pStyle w:val="18"/>
              <w:rPr>
                <w:rFonts w:hint="default"/>
                <w:color w:val="auto"/>
                <w:lang w:val="en-US" w:eastAsia="zh-CN"/>
              </w:rPr>
            </w:pPr>
            <w:r>
              <w:rPr>
                <w:rFonts w:hint="eastAsia"/>
                <w:color w:val="auto"/>
                <w:lang w:val="en-US" w:eastAsia="zh-CN"/>
              </w:rPr>
              <w:t>⑤不合格品：本项目内设置检验室，对于抽检的不合格品，由于本项目无化学反应，产品为单纯的复配，可以直接回用生产，产生量约0.05t/a，废物代码261-013-S16。</w:t>
            </w:r>
          </w:p>
          <w:p w14:paraId="27FB793F">
            <w:pPr>
              <w:pStyle w:val="18"/>
              <w:rPr>
                <w:color w:val="auto"/>
              </w:rPr>
            </w:pPr>
            <w:r>
              <w:rPr>
                <w:color w:val="auto"/>
              </w:rPr>
              <w:t>（2）危险废物</w:t>
            </w:r>
          </w:p>
          <w:p w14:paraId="7A5773AB">
            <w:pPr>
              <w:spacing w:line="360" w:lineRule="auto"/>
              <w:ind w:firstLine="422" w:firstLineChars="200"/>
              <w:rPr>
                <w:b/>
                <w:bCs/>
                <w:color w:val="auto"/>
                <w:kern w:val="0"/>
                <w:szCs w:val="21"/>
              </w:rPr>
            </w:pPr>
            <w:r>
              <w:rPr>
                <w:rFonts w:hint="eastAsia"/>
                <w:b/>
                <w:bCs/>
                <w:color w:val="auto"/>
                <w:kern w:val="0"/>
                <w:szCs w:val="21"/>
                <w:lang w:val="en-US" w:eastAsia="zh-CN"/>
              </w:rPr>
              <w:t>①</w:t>
            </w:r>
            <w:r>
              <w:rPr>
                <w:rFonts w:hint="eastAsia"/>
                <w:b/>
                <w:bCs/>
                <w:color w:val="auto"/>
                <w:kern w:val="0"/>
                <w:szCs w:val="21"/>
              </w:rPr>
              <w:t>检修废物（含油废棉纱、抹布及其他含油污劳保产品）</w:t>
            </w:r>
          </w:p>
          <w:p w14:paraId="0590E207">
            <w:pPr>
              <w:spacing w:line="360" w:lineRule="auto"/>
              <w:ind w:firstLine="420" w:firstLineChars="200"/>
              <w:rPr>
                <w:color w:val="auto"/>
                <w:kern w:val="0"/>
                <w:szCs w:val="21"/>
              </w:rPr>
            </w:pPr>
            <w:r>
              <w:rPr>
                <w:color w:val="auto"/>
                <w:kern w:val="0"/>
                <w:szCs w:val="21"/>
              </w:rPr>
              <w:t>来源于设备检修、保养过程，产生量约为0.02t/a，属于</w:t>
            </w:r>
            <w:r>
              <w:rPr>
                <w:rFonts w:hint="eastAsia"/>
                <w:color w:val="auto"/>
                <w:kern w:val="0"/>
                <w:szCs w:val="21"/>
              </w:rPr>
              <w:t>《国家危险废物名录（2025年版）》</w:t>
            </w:r>
            <w:r>
              <w:rPr>
                <w:color w:val="auto"/>
                <w:kern w:val="0"/>
                <w:szCs w:val="21"/>
              </w:rPr>
              <w:t>中HW49其他废物，废物代码为：900-041-49；分类收集，放于</w:t>
            </w:r>
            <w:r>
              <w:rPr>
                <w:rFonts w:hint="eastAsia"/>
                <w:color w:val="auto"/>
                <w:kern w:val="0"/>
                <w:szCs w:val="21"/>
                <w:lang w:eastAsia="zh-CN"/>
              </w:rPr>
              <w:t>危废贮存库</w:t>
            </w:r>
            <w:r>
              <w:rPr>
                <w:color w:val="auto"/>
                <w:kern w:val="0"/>
                <w:szCs w:val="21"/>
              </w:rPr>
              <w:t>，定期交由有资质单位进行处理。</w:t>
            </w:r>
          </w:p>
          <w:p w14:paraId="41248253">
            <w:pPr>
              <w:spacing w:line="360" w:lineRule="auto"/>
              <w:ind w:firstLine="422" w:firstLineChars="200"/>
              <w:rPr>
                <w:b/>
                <w:bCs/>
                <w:color w:val="auto"/>
                <w:kern w:val="0"/>
                <w:szCs w:val="21"/>
              </w:rPr>
            </w:pPr>
            <w:r>
              <w:rPr>
                <w:rFonts w:hint="eastAsia"/>
                <w:b/>
                <w:bCs/>
                <w:color w:val="auto"/>
                <w:kern w:val="0"/>
                <w:szCs w:val="21"/>
                <w:lang w:val="en-US" w:eastAsia="zh-CN"/>
              </w:rPr>
              <w:t>②</w:t>
            </w:r>
            <w:r>
              <w:rPr>
                <w:rFonts w:hint="eastAsia"/>
                <w:b/>
                <w:bCs/>
                <w:color w:val="auto"/>
                <w:kern w:val="0"/>
                <w:szCs w:val="21"/>
              </w:rPr>
              <w:t>废机油</w:t>
            </w:r>
          </w:p>
          <w:p w14:paraId="03331F9F">
            <w:pPr>
              <w:spacing w:line="360" w:lineRule="auto"/>
              <w:ind w:firstLine="420" w:firstLineChars="200"/>
              <w:rPr>
                <w:rFonts w:hint="eastAsia"/>
                <w:color w:val="auto"/>
                <w:kern w:val="0"/>
                <w:szCs w:val="21"/>
              </w:rPr>
            </w:pPr>
            <w:r>
              <w:rPr>
                <w:rFonts w:hint="eastAsia"/>
                <w:color w:val="auto"/>
                <w:kern w:val="0"/>
                <w:szCs w:val="21"/>
              </w:rPr>
              <w:t>设备维护会产生废机油，产生量约0.</w:t>
            </w:r>
            <w:r>
              <w:rPr>
                <w:color w:val="auto"/>
                <w:kern w:val="0"/>
                <w:szCs w:val="21"/>
              </w:rPr>
              <w:t>1</w:t>
            </w:r>
            <w:r>
              <w:rPr>
                <w:rFonts w:hint="eastAsia"/>
                <w:color w:val="auto"/>
                <w:kern w:val="0"/>
                <w:szCs w:val="21"/>
              </w:rPr>
              <w:t>t/a，根据《国家危险废物名录（2025年版）》，废机油属于危险废物，废物代码：HW08900-214-08车辆、轮船及其他机械维修过程中产生的废发动机油、制动器油、自动变速器油、齿轮油等废润滑油，统一收集暂存于危险废物暂存间，委托资质单位处置。</w:t>
            </w:r>
          </w:p>
          <w:p w14:paraId="41B2169F">
            <w:pPr>
              <w:spacing w:line="360" w:lineRule="auto"/>
              <w:ind w:firstLine="422" w:firstLineChars="200"/>
              <w:rPr>
                <w:rFonts w:hint="eastAsia"/>
                <w:b/>
                <w:bCs/>
                <w:color w:val="auto"/>
                <w:kern w:val="0"/>
                <w:szCs w:val="21"/>
                <w:lang w:val="en-US" w:eastAsia="zh-CN"/>
              </w:rPr>
            </w:pPr>
            <w:r>
              <w:rPr>
                <w:rFonts w:hint="eastAsia"/>
                <w:b/>
                <w:bCs/>
                <w:color w:val="auto"/>
                <w:kern w:val="0"/>
                <w:szCs w:val="21"/>
                <w:lang w:val="en-US" w:eastAsia="zh-CN"/>
              </w:rPr>
              <w:t>③废包装</w:t>
            </w:r>
          </w:p>
          <w:p w14:paraId="288892DA">
            <w:pPr>
              <w:spacing w:line="360" w:lineRule="auto"/>
              <w:ind w:firstLine="420" w:firstLineChars="200"/>
              <w:rPr>
                <w:rFonts w:hint="eastAsia"/>
                <w:color w:val="auto"/>
                <w:kern w:val="0"/>
                <w:szCs w:val="21"/>
                <w:lang w:val="en-US" w:eastAsia="zh-CN"/>
              </w:rPr>
            </w:pPr>
            <w:r>
              <w:rPr>
                <w:rFonts w:hint="eastAsia"/>
                <w:color w:val="auto"/>
                <w:kern w:val="0"/>
                <w:szCs w:val="21"/>
                <w:lang w:val="en-US" w:eastAsia="zh-CN"/>
              </w:rPr>
              <w:t>根据建设单位提供资料，农药原药原料桶及原料袋产生量约1.0t/a，因沾染农药原药，根据《国家危险废物名录（2025年版）》，属于HW04类农药废物，废物代码为900-003-04，收集后暂存于危废贮存库，交由资质单位处置。</w:t>
            </w:r>
          </w:p>
          <w:p w14:paraId="39137F84">
            <w:pPr>
              <w:spacing w:line="360" w:lineRule="auto"/>
              <w:ind w:firstLine="422" w:firstLineChars="200"/>
              <w:rPr>
                <w:rFonts w:hint="default"/>
                <w:b/>
                <w:bCs/>
                <w:color w:val="auto"/>
                <w:kern w:val="0"/>
                <w:szCs w:val="21"/>
                <w:lang w:val="en-US" w:eastAsia="zh-CN"/>
              </w:rPr>
            </w:pPr>
            <w:r>
              <w:rPr>
                <w:rFonts w:hint="eastAsia"/>
                <w:b/>
                <w:bCs/>
                <w:color w:val="auto"/>
                <w:kern w:val="0"/>
                <w:szCs w:val="21"/>
                <w:lang w:val="en-US" w:eastAsia="zh-CN"/>
              </w:rPr>
              <w:t>④</w:t>
            </w:r>
            <w:r>
              <w:rPr>
                <w:rFonts w:hint="default"/>
                <w:b/>
                <w:bCs/>
                <w:color w:val="auto"/>
                <w:kern w:val="0"/>
                <w:szCs w:val="21"/>
                <w:lang w:val="en-US" w:eastAsia="zh-CN"/>
              </w:rPr>
              <w:t>废活性炭</w:t>
            </w:r>
          </w:p>
          <w:p w14:paraId="380C8A39">
            <w:pPr>
              <w:spacing w:line="360" w:lineRule="auto"/>
              <w:ind w:firstLine="420" w:firstLineChars="200"/>
              <w:rPr>
                <w:rFonts w:hint="eastAsia"/>
                <w:color w:val="auto"/>
                <w:kern w:val="0"/>
                <w:szCs w:val="21"/>
                <w:lang w:val="en-US" w:eastAsia="zh-CN"/>
              </w:rPr>
            </w:pPr>
            <w:r>
              <w:rPr>
                <w:rFonts w:hint="default"/>
                <w:color w:val="auto"/>
                <w:kern w:val="0"/>
                <w:szCs w:val="21"/>
                <w:lang w:val="en-US" w:eastAsia="zh-CN"/>
              </w:rPr>
              <w:t>项目选用碘值不低于800毫克/克的活性炭，活性炭对有机废气的吸附效率约为0.2～0.3t/t，取0.</w:t>
            </w:r>
            <w:r>
              <w:rPr>
                <w:rFonts w:hint="eastAsia"/>
                <w:color w:val="auto"/>
                <w:kern w:val="0"/>
                <w:szCs w:val="21"/>
                <w:lang w:val="en-US" w:eastAsia="zh-CN"/>
              </w:rPr>
              <w:t>25</w:t>
            </w:r>
            <w:r>
              <w:rPr>
                <w:rFonts w:hint="default"/>
                <w:color w:val="auto"/>
                <w:kern w:val="0"/>
                <w:szCs w:val="21"/>
                <w:lang w:val="en-US" w:eastAsia="zh-CN"/>
              </w:rPr>
              <w:t>t/t，活性炭吸附处理的有机废气量约为3.5875t/a，计算得出至少需填充活性炭量为</w:t>
            </w:r>
            <w:r>
              <w:rPr>
                <w:rFonts w:hint="eastAsia"/>
                <w:color w:val="auto"/>
                <w:kern w:val="0"/>
                <w:szCs w:val="21"/>
                <w:lang w:val="en-US" w:eastAsia="zh-CN"/>
              </w:rPr>
              <w:t>14.35</w:t>
            </w:r>
            <w:r>
              <w:rPr>
                <w:rFonts w:hint="default"/>
                <w:color w:val="auto"/>
                <w:kern w:val="0"/>
                <w:szCs w:val="21"/>
                <w:lang w:val="en-US" w:eastAsia="zh-CN"/>
              </w:rPr>
              <w:t>t/a，项目废气处理设施的活性炭每</w:t>
            </w:r>
            <w:r>
              <w:rPr>
                <w:rFonts w:hint="eastAsia"/>
                <w:color w:val="auto"/>
                <w:kern w:val="0"/>
                <w:szCs w:val="21"/>
                <w:lang w:val="en-US" w:eastAsia="zh-CN"/>
              </w:rPr>
              <w:t>30</w:t>
            </w:r>
            <w:r>
              <w:rPr>
                <w:rFonts w:hint="default"/>
                <w:color w:val="auto"/>
                <w:kern w:val="0"/>
                <w:szCs w:val="21"/>
                <w:lang w:val="en-US" w:eastAsia="zh-CN"/>
              </w:rPr>
              <w:t>天更换一次，产生的废活性炭量</w:t>
            </w:r>
            <w:r>
              <w:rPr>
                <w:rFonts w:hint="eastAsia"/>
                <w:color w:val="auto"/>
                <w:kern w:val="0"/>
                <w:szCs w:val="21"/>
                <w:lang w:val="en-US" w:eastAsia="zh-CN"/>
              </w:rPr>
              <w:t>14.35</w:t>
            </w:r>
            <w:r>
              <w:rPr>
                <w:rFonts w:hint="default"/>
                <w:color w:val="auto"/>
                <w:kern w:val="0"/>
                <w:szCs w:val="21"/>
                <w:lang w:val="en-US" w:eastAsia="zh-CN"/>
              </w:rPr>
              <w:t>t/a。更换后废活性炭暂存于危废贮存库，交由有资质的单位处置。根据《国家危险废物名录（2025）》，废活性炭属于危险废物，（危废类别：HW49，危废代码：900-039-49）</w:t>
            </w:r>
            <w:r>
              <w:rPr>
                <w:rFonts w:hint="eastAsia"/>
                <w:color w:val="auto"/>
                <w:kern w:val="0"/>
                <w:szCs w:val="21"/>
                <w:lang w:val="en-US" w:eastAsia="zh-CN"/>
              </w:rPr>
              <w:t>。</w:t>
            </w:r>
          </w:p>
          <w:p w14:paraId="43217CBF">
            <w:pPr>
              <w:spacing w:line="360" w:lineRule="auto"/>
              <w:ind w:firstLine="422" w:firstLineChars="200"/>
              <w:rPr>
                <w:rFonts w:hint="eastAsia"/>
                <w:b/>
                <w:bCs/>
                <w:color w:val="auto"/>
                <w:kern w:val="0"/>
                <w:szCs w:val="21"/>
                <w:lang w:val="en-US" w:eastAsia="zh-CN"/>
              </w:rPr>
            </w:pPr>
            <w:r>
              <w:rPr>
                <w:rFonts w:hint="eastAsia"/>
                <w:b/>
                <w:bCs/>
                <w:color w:val="auto"/>
                <w:kern w:val="0"/>
                <w:szCs w:val="21"/>
                <w:lang w:val="en-US" w:eastAsia="zh-CN"/>
              </w:rPr>
              <w:t>⑤检验废物</w:t>
            </w:r>
          </w:p>
          <w:p w14:paraId="27F317ED">
            <w:pPr>
              <w:spacing w:line="360" w:lineRule="auto"/>
              <w:ind w:firstLine="420" w:firstLineChars="200"/>
              <w:rPr>
                <w:rFonts w:hint="default"/>
                <w:color w:val="auto"/>
                <w:kern w:val="0"/>
                <w:szCs w:val="21"/>
                <w:lang w:val="en-US" w:eastAsia="zh-CN"/>
              </w:rPr>
            </w:pPr>
            <w:r>
              <w:rPr>
                <w:rFonts w:hint="default"/>
                <w:color w:val="auto"/>
                <w:kern w:val="0"/>
                <w:szCs w:val="21"/>
                <w:lang w:val="en-US" w:eastAsia="zh-CN"/>
              </w:rPr>
              <w:t>检验室主要分析项目为</w:t>
            </w:r>
            <w:r>
              <w:rPr>
                <w:rFonts w:hint="eastAsia"/>
                <w:color w:val="auto"/>
                <w:kern w:val="0"/>
                <w:szCs w:val="21"/>
                <w:lang w:val="en-US" w:eastAsia="zh-CN"/>
              </w:rPr>
              <w:t>成品</w:t>
            </w:r>
            <w:r>
              <w:rPr>
                <w:rFonts w:hint="default"/>
                <w:color w:val="auto"/>
                <w:kern w:val="0"/>
                <w:szCs w:val="21"/>
                <w:lang w:val="en-US" w:eastAsia="zh-CN"/>
              </w:rPr>
              <w:t>的成分</w:t>
            </w:r>
            <w:r>
              <w:rPr>
                <w:rFonts w:hint="eastAsia"/>
                <w:color w:val="auto"/>
                <w:kern w:val="0"/>
                <w:szCs w:val="21"/>
                <w:lang w:val="en-US" w:eastAsia="zh-CN"/>
              </w:rPr>
              <w:t>、水分、pH检验</w:t>
            </w:r>
            <w:r>
              <w:rPr>
                <w:rFonts w:hint="default"/>
                <w:color w:val="auto"/>
                <w:kern w:val="0"/>
                <w:szCs w:val="21"/>
                <w:lang w:val="en-US" w:eastAsia="zh-CN"/>
              </w:rPr>
              <w:t>，需要使用少量</w:t>
            </w:r>
            <w:r>
              <w:rPr>
                <w:rFonts w:hint="eastAsia"/>
                <w:color w:val="auto"/>
                <w:kern w:val="0"/>
                <w:szCs w:val="21"/>
                <w:lang w:val="en-US" w:eastAsia="zh-CN"/>
              </w:rPr>
              <w:t>酸碱、色谱纯试剂</w:t>
            </w:r>
            <w:r>
              <w:rPr>
                <w:rFonts w:hint="default"/>
                <w:color w:val="auto"/>
                <w:kern w:val="0"/>
                <w:szCs w:val="21"/>
                <w:lang w:val="en-US" w:eastAsia="zh-CN"/>
              </w:rPr>
              <w:t>等化学试剂，化验产生的废试剂及废液新增产生量约</w:t>
            </w:r>
            <w:r>
              <w:rPr>
                <w:rFonts w:hint="eastAsia"/>
                <w:color w:val="auto"/>
                <w:kern w:val="0"/>
                <w:szCs w:val="21"/>
                <w:lang w:val="en-US" w:eastAsia="zh-CN"/>
              </w:rPr>
              <w:t>0.2</w:t>
            </w:r>
            <w:r>
              <w:rPr>
                <w:rFonts w:hint="default"/>
                <w:color w:val="auto"/>
                <w:kern w:val="0"/>
                <w:szCs w:val="21"/>
                <w:lang w:val="en-US" w:eastAsia="zh-CN"/>
              </w:rPr>
              <w:t>t/a。</w:t>
            </w:r>
          </w:p>
          <w:p w14:paraId="5783433D">
            <w:pPr>
              <w:spacing w:line="360" w:lineRule="auto"/>
              <w:ind w:firstLine="420" w:firstLineChars="200"/>
              <w:rPr>
                <w:rFonts w:hint="default"/>
                <w:color w:val="auto"/>
                <w:kern w:val="0"/>
                <w:szCs w:val="21"/>
                <w:lang w:val="en-US" w:eastAsia="zh-CN"/>
              </w:rPr>
            </w:pPr>
            <w:r>
              <w:rPr>
                <w:rFonts w:hint="default"/>
                <w:color w:val="auto"/>
                <w:kern w:val="0"/>
                <w:szCs w:val="21"/>
                <w:lang w:val="en-US" w:eastAsia="zh-CN"/>
              </w:rPr>
              <w:t>根据《国家危险废物名录（2025年版）》，实验室废液属于危险废物，废物类别为HW49，危废代码为900-047-49。环评要求：建设单位应对检验室废液采用桶装收集、加盖密封，并暂存于</w:t>
            </w:r>
            <w:r>
              <w:rPr>
                <w:color w:val="auto"/>
                <w:sz w:val="21"/>
                <w:szCs w:val="21"/>
              </w:rPr>
              <w:t>危废贮存</w:t>
            </w:r>
            <w:r>
              <w:rPr>
                <w:rFonts w:hint="eastAsia"/>
                <w:color w:val="auto"/>
                <w:sz w:val="21"/>
                <w:szCs w:val="21"/>
                <w:lang w:val="en-US" w:eastAsia="zh-CN"/>
              </w:rPr>
              <w:t>库</w:t>
            </w:r>
            <w:r>
              <w:rPr>
                <w:rFonts w:hint="default"/>
                <w:color w:val="auto"/>
                <w:kern w:val="0"/>
                <w:szCs w:val="21"/>
                <w:lang w:val="en-US" w:eastAsia="zh-CN"/>
              </w:rPr>
              <w:t>，外委有危废处理资质单位处理。</w:t>
            </w:r>
          </w:p>
          <w:p w14:paraId="5D94EC02">
            <w:pPr>
              <w:pStyle w:val="18"/>
              <w:rPr>
                <w:b/>
                <w:bCs/>
                <w:color w:val="auto"/>
              </w:rPr>
            </w:pPr>
            <w:r>
              <w:rPr>
                <w:rFonts w:hint="eastAsia"/>
                <w:b/>
                <w:bCs/>
                <w:color w:val="auto"/>
              </w:rPr>
              <w:t>（</w:t>
            </w:r>
            <w:r>
              <w:rPr>
                <w:b/>
                <w:bCs/>
                <w:color w:val="auto"/>
              </w:rPr>
              <w:t>3</w:t>
            </w:r>
            <w:r>
              <w:rPr>
                <w:rFonts w:hint="eastAsia"/>
                <w:b/>
                <w:bCs/>
                <w:color w:val="auto"/>
              </w:rPr>
              <w:t>）生活垃圾</w:t>
            </w:r>
            <w:r>
              <w:rPr>
                <w:b/>
                <w:bCs/>
                <w:color w:val="auto"/>
              </w:rPr>
              <w:tab/>
            </w:r>
          </w:p>
          <w:p w14:paraId="4F03F93D">
            <w:pPr>
              <w:pStyle w:val="18"/>
              <w:rPr>
                <w:color w:val="auto"/>
              </w:rPr>
            </w:pPr>
            <w:r>
              <w:rPr>
                <w:rFonts w:hint="eastAsia"/>
                <w:color w:val="auto"/>
              </w:rPr>
              <w:t>项目员工</w:t>
            </w:r>
            <w:r>
              <w:rPr>
                <w:rFonts w:hint="eastAsia"/>
                <w:color w:val="auto"/>
                <w:lang w:val="en-US" w:eastAsia="zh-CN"/>
              </w:rPr>
              <w:t>50</w:t>
            </w:r>
            <w:r>
              <w:rPr>
                <w:rFonts w:hint="eastAsia"/>
                <w:color w:val="auto"/>
              </w:rPr>
              <w:t>人，生活垃圾按</w:t>
            </w:r>
            <w:r>
              <w:rPr>
                <w:color w:val="auto"/>
              </w:rPr>
              <w:t>0.5kg/</w:t>
            </w:r>
            <w:r>
              <w:rPr>
                <w:rFonts w:hint="eastAsia"/>
                <w:color w:val="auto"/>
              </w:rPr>
              <w:t>人·天计，年工作时间为</w:t>
            </w:r>
            <w:r>
              <w:rPr>
                <w:color w:val="auto"/>
              </w:rPr>
              <w:t>300</w:t>
            </w:r>
            <w:r>
              <w:rPr>
                <w:rFonts w:hint="eastAsia"/>
                <w:color w:val="auto"/>
              </w:rPr>
              <w:t>天；则项目生活垃圾产生量为</w:t>
            </w:r>
            <w:r>
              <w:rPr>
                <w:rFonts w:hint="eastAsia"/>
                <w:color w:val="auto"/>
                <w:lang w:val="en-US" w:eastAsia="zh-CN"/>
              </w:rPr>
              <w:t>7.5</w:t>
            </w:r>
            <w:r>
              <w:rPr>
                <w:rFonts w:hint="eastAsia"/>
                <w:color w:val="auto"/>
              </w:rPr>
              <w:t>t/a，交由环卫部门统一处置。</w:t>
            </w:r>
          </w:p>
          <w:bookmarkEnd w:id="34"/>
          <w:bookmarkEnd w:id="35"/>
          <w:bookmarkEnd w:id="38"/>
          <w:p w14:paraId="37EB01AC">
            <w:pPr>
              <w:spacing w:line="360" w:lineRule="auto"/>
              <w:ind w:firstLine="422" w:firstLineChars="200"/>
              <w:rPr>
                <w:color w:val="auto"/>
                <w:kern w:val="0"/>
                <w:szCs w:val="21"/>
              </w:rPr>
            </w:pPr>
            <w:r>
              <w:rPr>
                <w:b/>
                <w:bCs/>
                <w:color w:val="auto"/>
                <w:kern w:val="0"/>
                <w:szCs w:val="21"/>
              </w:rPr>
              <w:t>项目固体废物产生及处置去向统计见下表</w:t>
            </w:r>
            <w:r>
              <w:rPr>
                <w:color w:val="auto"/>
                <w:kern w:val="0"/>
                <w:szCs w:val="21"/>
              </w:rPr>
              <w:t>。</w:t>
            </w:r>
          </w:p>
          <w:p w14:paraId="2AF184C7">
            <w:pPr>
              <w:autoSpaceDE w:val="0"/>
              <w:autoSpaceDN w:val="0"/>
              <w:adjustRightInd w:val="0"/>
              <w:snapToGrid w:val="0"/>
              <w:jc w:val="center"/>
              <w:rPr>
                <w:b/>
                <w:bCs/>
                <w:color w:val="auto"/>
                <w:kern w:val="0"/>
                <w:szCs w:val="21"/>
              </w:rPr>
            </w:pPr>
            <w:r>
              <w:rPr>
                <w:b/>
                <w:bCs/>
                <w:color w:val="auto"/>
                <w:kern w:val="0"/>
                <w:szCs w:val="21"/>
              </w:rPr>
              <w:t>表4-</w:t>
            </w:r>
            <w:bookmarkStart w:id="41" w:name="OLE_LINK1"/>
            <w:r>
              <w:rPr>
                <w:rFonts w:hint="eastAsia"/>
                <w:b/>
                <w:bCs/>
                <w:color w:val="auto"/>
                <w:kern w:val="0"/>
                <w:szCs w:val="21"/>
                <w:lang w:val="en-US" w:eastAsia="zh-CN"/>
              </w:rPr>
              <w:t xml:space="preserve">17 </w:t>
            </w:r>
            <w:r>
              <w:rPr>
                <w:b/>
                <w:bCs/>
                <w:color w:val="auto"/>
                <w:kern w:val="0"/>
                <w:szCs w:val="21"/>
              </w:rPr>
              <w:t>项目固体废物产生及去向统计</w:t>
            </w:r>
            <w:bookmarkEnd w:id="41"/>
          </w:p>
          <w:tbl>
            <w:tblPr>
              <w:tblStyle w:val="19"/>
              <w:tblW w:w="80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0"/>
              <w:gridCol w:w="918"/>
              <w:gridCol w:w="650"/>
              <w:gridCol w:w="3179"/>
            </w:tblGrid>
            <w:tr w14:paraId="1D8B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0" w:type="dxa"/>
                  <w:vAlign w:val="center"/>
                </w:tcPr>
                <w:p w14:paraId="15261622">
                  <w:pPr>
                    <w:pStyle w:val="42"/>
                    <w:rPr>
                      <w:color w:val="auto"/>
                      <w:sz w:val="21"/>
                      <w:szCs w:val="21"/>
                    </w:rPr>
                  </w:pPr>
                  <w:bookmarkStart w:id="42" w:name="_Hlk140499441"/>
                  <w:r>
                    <w:rPr>
                      <w:color w:val="auto"/>
                      <w:sz w:val="21"/>
                      <w:szCs w:val="21"/>
                    </w:rPr>
                    <w:t>固废名称</w:t>
                  </w:r>
                </w:p>
              </w:tc>
              <w:tc>
                <w:tcPr>
                  <w:tcW w:w="918" w:type="dxa"/>
                  <w:vAlign w:val="center"/>
                </w:tcPr>
                <w:p w14:paraId="452E5E8C">
                  <w:pPr>
                    <w:pStyle w:val="42"/>
                    <w:rPr>
                      <w:color w:val="auto"/>
                      <w:sz w:val="21"/>
                      <w:szCs w:val="21"/>
                    </w:rPr>
                  </w:pPr>
                  <w:r>
                    <w:rPr>
                      <w:color w:val="auto"/>
                      <w:sz w:val="21"/>
                      <w:szCs w:val="21"/>
                    </w:rPr>
                    <w:t>产生量（t/a）</w:t>
                  </w:r>
                </w:p>
              </w:tc>
              <w:tc>
                <w:tcPr>
                  <w:tcW w:w="650" w:type="dxa"/>
                  <w:vAlign w:val="center"/>
                </w:tcPr>
                <w:p w14:paraId="287E7FB0">
                  <w:pPr>
                    <w:pStyle w:val="42"/>
                    <w:rPr>
                      <w:color w:val="auto"/>
                      <w:sz w:val="21"/>
                      <w:szCs w:val="21"/>
                    </w:rPr>
                  </w:pPr>
                  <w:r>
                    <w:rPr>
                      <w:color w:val="auto"/>
                      <w:sz w:val="21"/>
                      <w:szCs w:val="21"/>
                    </w:rPr>
                    <w:t>性质</w:t>
                  </w:r>
                </w:p>
              </w:tc>
              <w:tc>
                <w:tcPr>
                  <w:tcW w:w="3179" w:type="dxa"/>
                  <w:vAlign w:val="center"/>
                </w:tcPr>
                <w:p w14:paraId="619E06A4">
                  <w:pPr>
                    <w:pStyle w:val="42"/>
                    <w:rPr>
                      <w:color w:val="auto"/>
                      <w:sz w:val="21"/>
                      <w:szCs w:val="21"/>
                    </w:rPr>
                  </w:pPr>
                  <w:r>
                    <w:rPr>
                      <w:color w:val="auto"/>
                      <w:sz w:val="21"/>
                      <w:szCs w:val="21"/>
                    </w:rPr>
                    <w:t>处理去向</w:t>
                  </w:r>
                </w:p>
              </w:tc>
            </w:tr>
            <w:tr w14:paraId="3383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280" w:type="dxa"/>
                  <w:vAlign w:val="center"/>
                </w:tcPr>
                <w:p w14:paraId="33BE95CB">
                  <w:pPr>
                    <w:pStyle w:val="42"/>
                    <w:rPr>
                      <w:color w:val="auto"/>
                      <w:sz w:val="21"/>
                      <w:szCs w:val="21"/>
                    </w:rPr>
                  </w:pPr>
                  <w:r>
                    <w:rPr>
                      <w:rFonts w:hint="eastAsia"/>
                      <w:color w:val="auto"/>
                      <w:sz w:val="21"/>
                      <w:szCs w:val="21"/>
                    </w:rPr>
                    <w:t>布袋除尘粉尘</w:t>
                  </w:r>
                </w:p>
              </w:tc>
              <w:tc>
                <w:tcPr>
                  <w:tcW w:w="918" w:type="dxa"/>
                  <w:vAlign w:val="center"/>
                </w:tcPr>
                <w:p w14:paraId="1134C7A7">
                  <w:pPr>
                    <w:pStyle w:val="42"/>
                    <w:rPr>
                      <w:rFonts w:hint="default" w:eastAsia="宋体"/>
                      <w:color w:val="auto"/>
                      <w:sz w:val="21"/>
                      <w:szCs w:val="21"/>
                      <w:lang w:val="en-US" w:eastAsia="zh-CN"/>
                    </w:rPr>
                  </w:pPr>
                  <w:r>
                    <w:rPr>
                      <w:rFonts w:hint="eastAsia"/>
                      <w:color w:val="auto"/>
                      <w:sz w:val="21"/>
                      <w:szCs w:val="21"/>
                      <w:lang w:val="en-US" w:eastAsia="zh-CN"/>
                    </w:rPr>
                    <w:t>0.1562</w:t>
                  </w:r>
                </w:p>
              </w:tc>
              <w:tc>
                <w:tcPr>
                  <w:tcW w:w="650" w:type="dxa"/>
                  <w:vMerge w:val="restart"/>
                  <w:vAlign w:val="center"/>
                </w:tcPr>
                <w:p w14:paraId="2F50BD81">
                  <w:pPr>
                    <w:pStyle w:val="42"/>
                    <w:rPr>
                      <w:color w:val="auto"/>
                      <w:sz w:val="21"/>
                      <w:szCs w:val="21"/>
                    </w:rPr>
                  </w:pPr>
                  <w:r>
                    <w:rPr>
                      <w:color w:val="auto"/>
                      <w:sz w:val="21"/>
                      <w:szCs w:val="21"/>
                    </w:rPr>
                    <w:t>一般固废</w:t>
                  </w:r>
                </w:p>
              </w:tc>
              <w:tc>
                <w:tcPr>
                  <w:tcW w:w="3179" w:type="dxa"/>
                  <w:vAlign w:val="center"/>
                </w:tcPr>
                <w:p w14:paraId="4F961CBB">
                  <w:pPr>
                    <w:pStyle w:val="42"/>
                    <w:rPr>
                      <w:color w:val="auto"/>
                      <w:sz w:val="21"/>
                      <w:szCs w:val="21"/>
                    </w:rPr>
                  </w:pPr>
                  <w:r>
                    <w:rPr>
                      <w:rFonts w:hint="eastAsia"/>
                      <w:color w:val="auto"/>
                      <w:sz w:val="21"/>
                      <w:szCs w:val="21"/>
                    </w:rPr>
                    <w:t>收集后作为原料回用，不外排</w:t>
                  </w:r>
                </w:p>
              </w:tc>
            </w:tr>
            <w:tr w14:paraId="7C77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69BC60DE">
                  <w:pPr>
                    <w:pStyle w:val="42"/>
                    <w:rPr>
                      <w:color w:val="auto"/>
                      <w:sz w:val="21"/>
                      <w:szCs w:val="21"/>
                    </w:rPr>
                  </w:pPr>
                  <w:r>
                    <w:rPr>
                      <w:rFonts w:hint="eastAsia"/>
                      <w:color w:val="auto"/>
                      <w:sz w:val="21"/>
                      <w:szCs w:val="21"/>
                    </w:rPr>
                    <w:t>预处理池污泥</w:t>
                  </w:r>
                </w:p>
              </w:tc>
              <w:tc>
                <w:tcPr>
                  <w:tcW w:w="918" w:type="dxa"/>
                  <w:vAlign w:val="center"/>
                </w:tcPr>
                <w:p w14:paraId="10C17AD0">
                  <w:pPr>
                    <w:pStyle w:val="42"/>
                    <w:rPr>
                      <w:color w:val="auto"/>
                      <w:sz w:val="21"/>
                      <w:szCs w:val="21"/>
                    </w:rPr>
                  </w:pPr>
                  <w:r>
                    <w:rPr>
                      <w:rFonts w:hint="eastAsia"/>
                      <w:color w:val="auto"/>
                      <w:sz w:val="21"/>
                      <w:szCs w:val="21"/>
                    </w:rPr>
                    <w:t>0</w:t>
                  </w:r>
                  <w:r>
                    <w:rPr>
                      <w:color w:val="auto"/>
                      <w:sz w:val="21"/>
                      <w:szCs w:val="21"/>
                    </w:rPr>
                    <w:t>.1</w:t>
                  </w:r>
                </w:p>
              </w:tc>
              <w:tc>
                <w:tcPr>
                  <w:tcW w:w="650" w:type="dxa"/>
                  <w:vMerge w:val="continue"/>
                  <w:vAlign w:val="center"/>
                </w:tcPr>
                <w:p w14:paraId="51662490">
                  <w:pPr>
                    <w:pStyle w:val="42"/>
                    <w:rPr>
                      <w:color w:val="auto"/>
                      <w:sz w:val="21"/>
                      <w:szCs w:val="21"/>
                    </w:rPr>
                  </w:pPr>
                </w:p>
              </w:tc>
              <w:tc>
                <w:tcPr>
                  <w:tcW w:w="3179" w:type="dxa"/>
                  <w:vAlign w:val="center"/>
                </w:tcPr>
                <w:p w14:paraId="11F4C77D">
                  <w:pPr>
                    <w:pStyle w:val="42"/>
                    <w:rPr>
                      <w:color w:val="auto"/>
                      <w:sz w:val="21"/>
                      <w:szCs w:val="21"/>
                    </w:rPr>
                  </w:pPr>
                  <w:r>
                    <w:rPr>
                      <w:rFonts w:hint="eastAsia"/>
                      <w:color w:val="auto"/>
                      <w:sz w:val="21"/>
                      <w:szCs w:val="21"/>
                    </w:rPr>
                    <w:t>专业单位清运</w:t>
                  </w:r>
                </w:p>
              </w:tc>
            </w:tr>
            <w:tr w14:paraId="57AF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0" w:type="dxa"/>
                  <w:vAlign w:val="center"/>
                </w:tcPr>
                <w:p w14:paraId="4DEF795E">
                  <w:pPr>
                    <w:pStyle w:val="42"/>
                    <w:rPr>
                      <w:color w:val="auto"/>
                      <w:sz w:val="21"/>
                      <w:szCs w:val="21"/>
                    </w:rPr>
                  </w:pPr>
                  <w:r>
                    <w:rPr>
                      <w:rFonts w:hint="eastAsia"/>
                      <w:color w:val="auto"/>
                      <w:sz w:val="21"/>
                      <w:szCs w:val="21"/>
                    </w:rPr>
                    <w:t>餐厨垃圾（含隔油池油脂）</w:t>
                  </w:r>
                </w:p>
              </w:tc>
              <w:tc>
                <w:tcPr>
                  <w:tcW w:w="918" w:type="dxa"/>
                  <w:vAlign w:val="center"/>
                </w:tcPr>
                <w:p w14:paraId="75617C3D">
                  <w:pPr>
                    <w:pStyle w:val="42"/>
                    <w:rPr>
                      <w:rFonts w:hint="default" w:eastAsia="宋体"/>
                      <w:color w:val="auto"/>
                      <w:sz w:val="21"/>
                      <w:szCs w:val="21"/>
                      <w:lang w:val="en-US" w:eastAsia="zh-CN"/>
                    </w:rPr>
                  </w:pPr>
                  <w:r>
                    <w:rPr>
                      <w:rFonts w:hint="eastAsia"/>
                      <w:color w:val="auto"/>
                      <w:sz w:val="21"/>
                      <w:szCs w:val="21"/>
                      <w:lang w:val="en-US" w:eastAsia="zh-CN"/>
                    </w:rPr>
                    <w:t>1.5</w:t>
                  </w:r>
                </w:p>
              </w:tc>
              <w:tc>
                <w:tcPr>
                  <w:tcW w:w="650" w:type="dxa"/>
                  <w:vMerge w:val="continue"/>
                  <w:vAlign w:val="center"/>
                </w:tcPr>
                <w:p w14:paraId="01BD59A2">
                  <w:pPr>
                    <w:pStyle w:val="42"/>
                    <w:rPr>
                      <w:color w:val="auto"/>
                      <w:sz w:val="21"/>
                      <w:szCs w:val="21"/>
                    </w:rPr>
                  </w:pPr>
                </w:p>
              </w:tc>
              <w:tc>
                <w:tcPr>
                  <w:tcW w:w="3179" w:type="dxa"/>
                  <w:vAlign w:val="center"/>
                </w:tcPr>
                <w:p w14:paraId="6F3EF049">
                  <w:pPr>
                    <w:pStyle w:val="42"/>
                    <w:rPr>
                      <w:color w:val="auto"/>
                      <w:sz w:val="21"/>
                      <w:szCs w:val="21"/>
                    </w:rPr>
                  </w:pPr>
                  <w:r>
                    <w:rPr>
                      <w:rFonts w:hint="eastAsia"/>
                      <w:color w:val="auto"/>
                      <w:sz w:val="21"/>
                      <w:szCs w:val="21"/>
                    </w:rPr>
                    <w:t>每日交由餐厨垃圾处理单位收运处置，并签订书面收运协议</w:t>
                  </w:r>
                </w:p>
              </w:tc>
            </w:tr>
            <w:tr w14:paraId="357C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71026877">
                  <w:pPr>
                    <w:pStyle w:val="42"/>
                    <w:rPr>
                      <w:rFonts w:hint="eastAsia"/>
                      <w:color w:val="auto"/>
                      <w:sz w:val="21"/>
                      <w:szCs w:val="21"/>
                    </w:rPr>
                  </w:pPr>
                  <w:r>
                    <w:rPr>
                      <w:rFonts w:hint="eastAsia"/>
                      <w:color w:val="auto"/>
                      <w:sz w:val="21"/>
                      <w:szCs w:val="21"/>
                    </w:rPr>
                    <w:t>废RO膜</w:t>
                  </w:r>
                </w:p>
              </w:tc>
              <w:tc>
                <w:tcPr>
                  <w:tcW w:w="918" w:type="dxa"/>
                  <w:vAlign w:val="center"/>
                </w:tcPr>
                <w:p w14:paraId="561B2B02">
                  <w:pPr>
                    <w:pStyle w:val="42"/>
                    <w:rPr>
                      <w:rFonts w:hint="default"/>
                      <w:color w:val="auto"/>
                      <w:sz w:val="21"/>
                      <w:szCs w:val="21"/>
                      <w:lang w:val="en-US" w:eastAsia="zh-CN"/>
                    </w:rPr>
                  </w:pPr>
                  <w:r>
                    <w:rPr>
                      <w:rFonts w:hint="eastAsia"/>
                      <w:color w:val="auto"/>
                      <w:sz w:val="21"/>
                      <w:szCs w:val="21"/>
                      <w:lang w:val="en-US" w:eastAsia="zh-CN"/>
                    </w:rPr>
                    <w:t>0.05</w:t>
                  </w:r>
                </w:p>
              </w:tc>
              <w:tc>
                <w:tcPr>
                  <w:tcW w:w="650" w:type="dxa"/>
                  <w:vMerge w:val="continue"/>
                  <w:vAlign w:val="center"/>
                </w:tcPr>
                <w:p w14:paraId="298746DE">
                  <w:pPr>
                    <w:pStyle w:val="42"/>
                    <w:rPr>
                      <w:color w:val="auto"/>
                      <w:sz w:val="21"/>
                      <w:szCs w:val="21"/>
                    </w:rPr>
                  </w:pPr>
                </w:p>
              </w:tc>
              <w:tc>
                <w:tcPr>
                  <w:tcW w:w="3179" w:type="dxa"/>
                  <w:vAlign w:val="center"/>
                </w:tcPr>
                <w:p w14:paraId="5116F234">
                  <w:pPr>
                    <w:pStyle w:val="42"/>
                    <w:rPr>
                      <w:rFonts w:hint="default" w:eastAsia="宋体"/>
                      <w:color w:val="auto"/>
                      <w:sz w:val="21"/>
                      <w:szCs w:val="21"/>
                      <w:lang w:val="en-US" w:eastAsia="zh-CN"/>
                    </w:rPr>
                  </w:pPr>
                  <w:r>
                    <w:rPr>
                      <w:rFonts w:hint="eastAsia"/>
                      <w:color w:val="auto"/>
                      <w:sz w:val="21"/>
                      <w:szCs w:val="21"/>
                      <w:lang w:val="en-US" w:eastAsia="zh-CN"/>
                    </w:rPr>
                    <w:t>供应商回收</w:t>
                  </w:r>
                </w:p>
              </w:tc>
            </w:tr>
            <w:tr w14:paraId="66C3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4A652B0A">
                  <w:pPr>
                    <w:pStyle w:val="42"/>
                    <w:rPr>
                      <w:rFonts w:hint="eastAsia"/>
                      <w:color w:val="auto"/>
                      <w:sz w:val="21"/>
                      <w:szCs w:val="21"/>
                    </w:rPr>
                  </w:pPr>
                  <w:r>
                    <w:rPr>
                      <w:rFonts w:hint="eastAsia"/>
                      <w:color w:val="auto"/>
                      <w:sz w:val="21"/>
                      <w:szCs w:val="21"/>
                    </w:rPr>
                    <w:t>不合格品</w:t>
                  </w:r>
                </w:p>
              </w:tc>
              <w:tc>
                <w:tcPr>
                  <w:tcW w:w="918" w:type="dxa"/>
                  <w:vAlign w:val="center"/>
                </w:tcPr>
                <w:p w14:paraId="62F118FC">
                  <w:pPr>
                    <w:pStyle w:val="42"/>
                    <w:rPr>
                      <w:rFonts w:hint="default"/>
                      <w:color w:val="auto"/>
                      <w:sz w:val="21"/>
                      <w:szCs w:val="21"/>
                      <w:lang w:val="en-US" w:eastAsia="zh-CN"/>
                    </w:rPr>
                  </w:pPr>
                  <w:r>
                    <w:rPr>
                      <w:rFonts w:hint="eastAsia"/>
                      <w:color w:val="auto"/>
                      <w:sz w:val="21"/>
                      <w:szCs w:val="21"/>
                      <w:lang w:val="en-US" w:eastAsia="zh-CN"/>
                    </w:rPr>
                    <w:t>0.05</w:t>
                  </w:r>
                </w:p>
              </w:tc>
              <w:tc>
                <w:tcPr>
                  <w:tcW w:w="650" w:type="dxa"/>
                  <w:vMerge w:val="continue"/>
                  <w:vAlign w:val="center"/>
                </w:tcPr>
                <w:p w14:paraId="31C65219">
                  <w:pPr>
                    <w:pStyle w:val="42"/>
                    <w:rPr>
                      <w:color w:val="auto"/>
                      <w:sz w:val="21"/>
                      <w:szCs w:val="21"/>
                    </w:rPr>
                  </w:pPr>
                </w:p>
              </w:tc>
              <w:tc>
                <w:tcPr>
                  <w:tcW w:w="3179" w:type="dxa"/>
                  <w:vAlign w:val="center"/>
                </w:tcPr>
                <w:p w14:paraId="5F513198">
                  <w:pPr>
                    <w:pStyle w:val="42"/>
                    <w:rPr>
                      <w:rFonts w:hint="eastAsia"/>
                      <w:color w:val="auto"/>
                      <w:sz w:val="21"/>
                      <w:szCs w:val="21"/>
                      <w:lang w:val="en-US" w:eastAsia="zh-CN"/>
                    </w:rPr>
                  </w:pPr>
                  <w:r>
                    <w:rPr>
                      <w:rFonts w:hint="eastAsia"/>
                      <w:color w:val="auto"/>
                      <w:sz w:val="21"/>
                      <w:szCs w:val="21"/>
                    </w:rPr>
                    <w:t>收集后作为原料回用，不外排</w:t>
                  </w:r>
                </w:p>
              </w:tc>
            </w:tr>
            <w:tr w14:paraId="2921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38964BD1">
                  <w:pPr>
                    <w:pStyle w:val="42"/>
                    <w:rPr>
                      <w:color w:val="auto"/>
                      <w:sz w:val="21"/>
                      <w:szCs w:val="21"/>
                    </w:rPr>
                  </w:pPr>
                  <w:r>
                    <w:rPr>
                      <w:color w:val="auto"/>
                      <w:sz w:val="21"/>
                      <w:szCs w:val="21"/>
                    </w:rPr>
                    <w:t>检修废物（含油废棉纱、抹布及其他含油污劳保产品）</w:t>
                  </w:r>
                </w:p>
              </w:tc>
              <w:tc>
                <w:tcPr>
                  <w:tcW w:w="918" w:type="dxa"/>
                  <w:vAlign w:val="center"/>
                </w:tcPr>
                <w:p w14:paraId="5D201468">
                  <w:pPr>
                    <w:pStyle w:val="42"/>
                    <w:rPr>
                      <w:color w:val="auto"/>
                      <w:sz w:val="21"/>
                      <w:szCs w:val="21"/>
                    </w:rPr>
                  </w:pPr>
                  <w:r>
                    <w:rPr>
                      <w:color w:val="auto"/>
                      <w:sz w:val="21"/>
                      <w:szCs w:val="21"/>
                    </w:rPr>
                    <w:t>0.02</w:t>
                  </w:r>
                </w:p>
              </w:tc>
              <w:tc>
                <w:tcPr>
                  <w:tcW w:w="650" w:type="dxa"/>
                  <w:vMerge w:val="restart"/>
                  <w:vAlign w:val="center"/>
                </w:tcPr>
                <w:p w14:paraId="00DBC8A6">
                  <w:pPr>
                    <w:pStyle w:val="42"/>
                    <w:rPr>
                      <w:color w:val="auto"/>
                      <w:sz w:val="21"/>
                      <w:szCs w:val="21"/>
                    </w:rPr>
                  </w:pPr>
                  <w:r>
                    <w:rPr>
                      <w:color w:val="auto"/>
                      <w:sz w:val="21"/>
                      <w:szCs w:val="21"/>
                    </w:rPr>
                    <w:t>危险废物</w:t>
                  </w:r>
                </w:p>
              </w:tc>
              <w:tc>
                <w:tcPr>
                  <w:tcW w:w="3179" w:type="dxa"/>
                  <w:vMerge w:val="restart"/>
                  <w:vAlign w:val="center"/>
                </w:tcPr>
                <w:p w14:paraId="46854586">
                  <w:pPr>
                    <w:pStyle w:val="42"/>
                    <w:rPr>
                      <w:color w:val="auto"/>
                      <w:sz w:val="21"/>
                      <w:szCs w:val="21"/>
                    </w:rPr>
                  </w:pPr>
                  <w:r>
                    <w:rPr>
                      <w:color w:val="auto"/>
                      <w:sz w:val="21"/>
                      <w:szCs w:val="21"/>
                    </w:rPr>
                    <w:t>分类收集暂存于危废贮存</w:t>
                  </w:r>
                  <w:r>
                    <w:rPr>
                      <w:rFonts w:hint="eastAsia"/>
                      <w:color w:val="auto"/>
                      <w:sz w:val="21"/>
                      <w:szCs w:val="21"/>
                      <w:lang w:val="en-US" w:eastAsia="zh-CN"/>
                    </w:rPr>
                    <w:t>库</w:t>
                  </w:r>
                  <w:r>
                    <w:rPr>
                      <w:color w:val="auto"/>
                      <w:sz w:val="21"/>
                      <w:szCs w:val="21"/>
                    </w:rPr>
                    <w:t>，定期交由有资质单位处置</w:t>
                  </w:r>
                </w:p>
              </w:tc>
            </w:tr>
            <w:tr w14:paraId="34B5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37092C1E">
                  <w:pPr>
                    <w:pStyle w:val="42"/>
                    <w:rPr>
                      <w:color w:val="auto"/>
                      <w:sz w:val="21"/>
                      <w:szCs w:val="21"/>
                    </w:rPr>
                  </w:pPr>
                  <w:r>
                    <w:rPr>
                      <w:rFonts w:hint="eastAsia"/>
                      <w:color w:val="auto"/>
                      <w:sz w:val="21"/>
                      <w:szCs w:val="21"/>
                    </w:rPr>
                    <w:t>废机油</w:t>
                  </w:r>
                </w:p>
              </w:tc>
              <w:tc>
                <w:tcPr>
                  <w:tcW w:w="918" w:type="dxa"/>
                  <w:vAlign w:val="center"/>
                </w:tcPr>
                <w:p w14:paraId="47463882">
                  <w:pPr>
                    <w:pStyle w:val="42"/>
                    <w:rPr>
                      <w:color w:val="auto"/>
                      <w:sz w:val="21"/>
                      <w:szCs w:val="21"/>
                    </w:rPr>
                  </w:pPr>
                  <w:r>
                    <w:rPr>
                      <w:color w:val="auto"/>
                      <w:sz w:val="21"/>
                      <w:szCs w:val="21"/>
                    </w:rPr>
                    <w:t>0.1</w:t>
                  </w:r>
                </w:p>
              </w:tc>
              <w:tc>
                <w:tcPr>
                  <w:tcW w:w="650" w:type="dxa"/>
                  <w:vMerge w:val="continue"/>
                  <w:vAlign w:val="center"/>
                </w:tcPr>
                <w:p w14:paraId="75B21246">
                  <w:pPr>
                    <w:pStyle w:val="42"/>
                    <w:rPr>
                      <w:color w:val="auto"/>
                      <w:sz w:val="21"/>
                      <w:szCs w:val="21"/>
                    </w:rPr>
                  </w:pPr>
                </w:p>
              </w:tc>
              <w:tc>
                <w:tcPr>
                  <w:tcW w:w="3179" w:type="dxa"/>
                  <w:vMerge w:val="continue"/>
                  <w:vAlign w:val="center"/>
                </w:tcPr>
                <w:p w14:paraId="7CEE9A79">
                  <w:pPr>
                    <w:pStyle w:val="42"/>
                    <w:rPr>
                      <w:color w:val="auto"/>
                      <w:sz w:val="21"/>
                      <w:szCs w:val="21"/>
                    </w:rPr>
                  </w:pPr>
                </w:p>
              </w:tc>
            </w:tr>
            <w:tr w14:paraId="75D1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2DCA1307">
                  <w:pPr>
                    <w:pStyle w:val="42"/>
                    <w:rPr>
                      <w:rFonts w:hint="eastAsia"/>
                      <w:color w:val="auto"/>
                      <w:sz w:val="21"/>
                      <w:szCs w:val="21"/>
                    </w:rPr>
                  </w:pPr>
                  <w:r>
                    <w:rPr>
                      <w:rFonts w:hint="eastAsia"/>
                      <w:color w:val="auto"/>
                      <w:sz w:val="21"/>
                      <w:szCs w:val="21"/>
                    </w:rPr>
                    <w:t>废包装</w:t>
                  </w:r>
                </w:p>
              </w:tc>
              <w:tc>
                <w:tcPr>
                  <w:tcW w:w="918" w:type="dxa"/>
                  <w:vAlign w:val="center"/>
                </w:tcPr>
                <w:p w14:paraId="6EE72680">
                  <w:pPr>
                    <w:pStyle w:val="42"/>
                    <w:rPr>
                      <w:rFonts w:hint="default" w:eastAsia="宋体"/>
                      <w:color w:val="auto"/>
                      <w:sz w:val="21"/>
                      <w:szCs w:val="21"/>
                      <w:lang w:val="en-US" w:eastAsia="zh-CN"/>
                    </w:rPr>
                  </w:pPr>
                  <w:r>
                    <w:rPr>
                      <w:rFonts w:hint="eastAsia"/>
                      <w:color w:val="auto"/>
                      <w:sz w:val="21"/>
                      <w:szCs w:val="21"/>
                      <w:lang w:val="en-US" w:eastAsia="zh-CN"/>
                    </w:rPr>
                    <w:t>1.0</w:t>
                  </w:r>
                </w:p>
              </w:tc>
              <w:tc>
                <w:tcPr>
                  <w:tcW w:w="650" w:type="dxa"/>
                  <w:vMerge w:val="continue"/>
                  <w:vAlign w:val="center"/>
                </w:tcPr>
                <w:p w14:paraId="51BDB0F3">
                  <w:pPr>
                    <w:pStyle w:val="42"/>
                    <w:rPr>
                      <w:color w:val="auto"/>
                      <w:sz w:val="21"/>
                      <w:szCs w:val="21"/>
                    </w:rPr>
                  </w:pPr>
                </w:p>
              </w:tc>
              <w:tc>
                <w:tcPr>
                  <w:tcW w:w="3179" w:type="dxa"/>
                  <w:vMerge w:val="continue"/>
                  <w:vAlign w:val="center"/>
                </w:tcPr>
                <w:p w14:paraId="60AD647A">
                  <w:pPr>
                    <w:pStyle w:val="42"/>
                    <w:rPr>
                      <w:color w:val="auto"/>
                      <w:sz w:val="21"/>
                      <w:szCs w:val="21"/>
                    </w:rPr>
                  </w:pPr>
                </w:p>
              </w:tc>
            </w:tr>
            <w:tr w14:paraId="102F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2F63DD24">
                  <w:pPr>
                    <w:pStyle w:val="42"/>
                    <w:rPr>
                      <w:rFonts w:hint="eastAsia"/>
                      <w:color w:val="auto"/>
                      <w:sz w:val="21"/>
                      <w:szCs w:val="21"/>
                    </w:rPr>
                  </w:pPr>
                  <w:r>
                    <w:rPr>
                      <w:rFonts w:hint="eastAsia"/>
                      <w:color w:val="auto"/>
                      <w:sz w:val="21"/>
                      <w:szCs w:val="21"/>
                    </w:rPr>
                    <w:t>废活性炭</w:t>
                  </w:r>
                </w:p>
              </w:tc>
              <w:tc>
                <w:tcPr>
                  <w:tcW w:w="918" w:type="dxa"/>
                  <w:vAlign w:val="center"/>
                </w:tcPr>
                <w:p w14:paraId="215BF52E">
                  <w:pPr>
                    <w:pStyle w:val="42"/>
                    <w:rPr>
                      <w:rFonts w:hint="default" w:eastAsia="宋体"/>
                      <w:color w:val="auto"/>
                      <w:sz w:val="21"/>
                      <w:szCs w:val="21"/>
                      <w:lang w:val="en-US" w:eastAsia="zh-CN"/>
                    </w:rPr>
                  </w:pPr>
                  <w:r>
                    <w:rPr>
                      <w:rFonts w:hint="eastAsia"/>
                      <w:color w:val="auto"/>
                      <w:sz w:val="21"/>
                      <w:szCs w:val="21"/>
                      <w:lang w:val="en-US" w:eastAsia="zh-CN"/>
                    </w:rPr>
                    <w:t>14.35</w:t>
                  </w:r>
                </w:p>
              </w:tc>
              <w:tc>
                <w:tcPr>
                  <w:tcW w:w="650" w:type="dxa"/>
                  <w:vMerge w:val="continue"/>
                  <w:vAlign w:val="center"/>
                </w:tcPr>
                <w:p w14:paraId="2AAA03EB">
                  <w:pPr>
                    <w:pStyle w:val="42"/>
                    <w:rPr>
                      <w:color w:val="auto"/>
                      <w:sz w:val="21"/>
                      <w:szCs w:val="21"/>
                    </w:rPr>
                  </w:pPr>
                </w:p>
              </w:tc>
              <w:tc>
                <w:tcPr>
                  <w:tcW w:w="3179" w:type="dxa"/>
                  <w:vMerge w:val="continue"/>
                  <w:vAlign w:val="center"/>
                </w:tcPr>
                <w:p w14:paraId="0DA0B45D">
                  <w:pPr>
                    <w:pStyle w:val="42"/>
                    <w:rPr>
                      <w:color w:val="auto"/>
                      <w:sz w:val="21"/>
                      <w:szCs w:val="21"/>
                    </w:rPr>
                  </w:pPr>
                </w:p>
              </w:tc>
            </w:tr>
            <w:tr w14:paraId="2890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6D0BCA1A">
                  <w:pPr>
                    <w:pStyle w:val="42"/>
                    <w:rPr>
                      <w:rFonts w:hint="eastAsia"/>
                      <w:color w:val="auto"/>
                      <w:sz w:val="21"/>
                      <w:szCs w:val="21"/>
                    </w:rPr>
                  </w:pPr>
                  <w:r>
                    <w:rPr>
                      <w:rFonts w:hint="eastAsia"/>
                      <w:color w:val="auto"/>
                      <w:sz w:val="21"/>
                      <w:szCs w:val="21"/>
                    </w:rPr>
                    <w:t>检验废物</w:t>
                  </w:r>
                </w:p>
              </w:tc>
              <w:tc>
                <w:tcPr>
                  <w:tcW w:w="918" w:type="dxa"/>
                  <w:vAlign w:val="center"/>
                </w:tcPr>
                <w:p w14:paraId="5538A3D6">
                  <w:pPr>
                    <w:pStyle w:val="42"/>
                    <w:rPr>
                      <w:rFonts w:hint="default"/>
                      <w:color w:val="auto"/>
                      <w:sz w:val="21"/>
                      <w:szCs w:val="21"/>
                      <w:lang w:val="en-US" w:eastAsia="zh-CN"/>
                    </w:rPr>
                  </w:pPr>
                  <w:r>
                    <w:rPr>
                      <w:rFonts w:hint="eastAsia"/>
                      <w:color w:val="auto"/>
                      <w:sz w:val="21"/>
                      <w:szCs w:val="21"/>
                      <w:lang w:val="en-US" w:eastAsia="zh-CN"/>
                    </w:rPr>
                    <w:t>0.2</w:t>
                  </w:r>
                </w:p>
              </w:tc>
              <w:tc>
                <w:tcPr>
                  <w:tcW w:w="650" w:type="dxa"/>
                  <w:vMerge w:val="continue"/>
                  <w:vAlign w:val="center"/>
                </w:tcPr>
                <w:p w14:paraId="222A8314">
                  <w:pPr>
                    <w:pStyle w:val="42"/>
                    <w:rPr>
                      <w:color w:val="auto"/>
                      <w:sz w:val="21"/>
                      <w:szCs w:val="21"/>
                    </w:rPr>
                  </w:pPr>
                </w:p>
              </w:tc>
              <w:tc>
                <w:tcPr>
                  <w:tcW w:w="3179" w:type="dxa"/>
                  <w:vMerge w:val="continue"/>
                  <w:vAlign w:val="center"/>
                </w:tcPr>
                <w:p w14:paraId="407F0058">
                  <w:pPr>
                    <w:pStyle w:val="42"/>
                    <w:rPr>
                      <w:color w:val="auto"/>
                      <w:sz w:val="21"/>
                      <w:szCs w:val="21"/>
                    </w:rPr>
                  </w:pPr>
                </w:p>
              </w:tc>
            </w:tr>
            <w:tr w14:paraId="1D2D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vAlign w:val="center"/>
                </w:tcPr>
                <w:p w14:paraId="691F7B4A">
                  <w:pPr>
                    <w:pStyle w:val="42"/>
                    <w:rPr>
                      <w:rFonts w:hint="eastAsia"/>
                      <w:color w:val="auto"/>
                      <w:sz w:val="21"/>
                      <w:szCs w:val="21"/>
                    </w:rPr>
                  </w:pPr>
                  <w:r>
                    <w:rPr>
                      <w:rFonts w:hint="eastAsia"/>
                      <w:color w:val="auto"/>
                      <w:sz w:val="21"/>
                      <w:szCs w:val="21"/>
                    </w:rPr>
                    <w:t>生活垃圾</w:t>
                  </w:r>
                </w:p>
              </w:tc>
              <w:tc>
                <w:tcPr>
                  <w:tcW w:w="918" w:type="dxa"/>
                  <w:vAlign w:val="center"/>
                </w:tcPr>
                <w:p w14:paraId="7F842AC7">
                  <w:pPr>
                    <w:pStyle w:val="42"/>
                    <w:rPr>
                      <w:rFonts w:hint="default" w:eastAsia="宋体"/>
                      <w:color w:val="auto"/>
                      <w:sz w:val="21"/>
                      <w:szCs w:val="21"/>
                      <w:lang w:val="en-US" w:eastAsia="zh-CN"/>
                    </w:rPr>
                  </w:pPr>
                  <w:r>
                    <w:rPr>
                      <w:rFonts w:hint="eastAsia"/>
                      <w:color w:val="auto"/>
                      <w:sz w:val="21"/>
                      <w:szCs w:val="21"/>
                      <w:lang w:val="en-US" w:eastAsia="zh-CN"/>
                    </w:rPr>
                    <w:t>7.5</w:t>
                  </w:r>
                </w:p>
              </w:tc>
              <w:tc>
                <w:tcPr>
                  <w:tcW w:w="650" w:type="dxa"/>
                  <w:vMerge w:val="continue"/>
                  <w:vAlign w:val="center"/>
                </w:tcPr>
                <w:p w14:paraId="4C4C08FD">
                  <w:pPr>
                    <w:pStyle w:val="42"/>
                    <w:rPr>
                      <w:color w:val="auto"/>
                      <w:sz w:val="21"/>
                      <w:szCs w:val="21"/>
                    </w:rPr>
                  </w:pPr>
                </w:p>
              </w:tc>
              <w:tc>
                <w:tcPr>
                  <w:tcW w:w="3179" w:type="dxa"/>
                  <w:vAlign w:val="center"/>
                </w:tcPr>
                <w:p w14:paraId="449399C0">
                  <w:pPr>
                    <w:pStyle w:val="42"/>
                    <w:rPr>
                      <w:rFonts w:hint="default" w:eastAsia="宋体"/>
                      <w:color w:val="auto"/>
                      <w:sz w:val="21"/>
                      <w:szCs w:val="21"/>
                      <w:lang w:val="en-US" w:eastAsia="zh-CN"/>
                    </w:rPr>
                  </w:pPr>
                  <w:r>
                    <w:rPr>
                      <w:rFonts w:hint="eastAsia"/>
                      <w:color w:val="auto"/>
                      <w:sz w:val="21"/>
                      <w:szCs w:val="21"/>
                      <w:lang w:val="en-US" w:eastAsia="zh-CN"/>
                    </w:rPr>
                    <w:t>环卫清运</w:t>
                  </w:r>
                </w:p>
              </w:tc>
            </w:tr>
            <w:bookmarkEnd w:id="42"/>
          </w:tbl>
          <w:p w14:paraId="4414D1F6">
            <w:pPr>
              <w:spacing w:line="360" w:lineRule="auto"/>
              <w:ind w:firstLine="420" w:firstLineChars="200"/>
              <w:rPr>
                <w:color w:val="auto"/>
                <w:kern w:val="0"/>
                <w:szCs w:val="21"/>
              </w:rPr>
            </w:pPr>
            <w:r>
              <w:rPr>
                <w:color w:val="auto"/>
                <w:kern w:val="0"/>
                <w:szCs w:val="21"/>
              </w:rPr>
              <w:t>根据《建设项目危险废物环境影响评价指南》相关要求，本项目危险废物汇总情况、危险废物贮存场所情况如下：</w:t>
            </w:r>
          </w:p>
          <w:bookmarkEnd w:id="36"/>
          <w:p w14:paraId="5A5E7541">
            <w:pPr>
              <w:spacing w:line="360" w:lineRule="auto"/>
              <w:ind w:firstLine="420" w:firstLineChars="200"/>
              <w:rPr>
                <w:color w:val="auto"/>
                <w:kern w:val="0"/>
                <w:szCs w:val="21"/>
              </w:rPr>
            </w:pPr>
            <w:r>
              <w:rPr>
                <w:color w:val="auto"/>
                <w:kern w:val="0"/>
                <w:szCs w:val="21"/>
              </w:rPr>
              <w:t>根据《建设项目危险废物环境影响评价指南》相关要求，本项目危险废物汇总情况、危险废物贮存场所情况如下：</w:t>
            </w:r>
          </w:p>
          <w:p w14:paraId="0E1B5697">
            <w:pPr>
              <w:autoSpaceDE w:val="0"/>
              <w:autoSpaceDN w:val="0"/>
              <w:adjustRightInd w:val="0"/>
              <w:snapToGrid w:val="0"/>
              <w:jc w:val="center"/>
              <w:rPr>
                <w:b/>
                <w:bCs/>
                <w:color w:val="auto"/>
                <w:kern w:val="0"/>
                <w:szCs w:val="21"/>
              </w:rPr>
            </w:pPr>
            <w:r>
              <w:rPr>
                <w:b/>
                <w:bCs/>
                <w:color w:val="auto"/>
                <w:kern w:val="0"/>
                <w:szCs w:val="21"/>
              </w:rPr>
              <w:t>表4-</w:t>
            </w:r>
            <w:r>
              <w:rPr>
                <w:rFonts w:hint="eastAsia"/>
                <w:b/>
                <w:bCs/>
                <w:color w:val="auto"/>
                <w:kern w:val="0"/>
                <w:szCs w:val="21"/>
                <w:lang w:val="en-US" w:eastAsia="zh-CN"/>
              </w:rPr>
              <w:t xml:space="preserve">18 </w:t>
            </w:r>
            <w:r>
              <w:rPr>
                <w:b/>
                <w:bCs/>
                <w:color w:val="auto"/>
                <w:kern w:val="0"/>
                <w:szCs w:val="21"/>
              </w:rPr>
              <w:t>本项目危险废物汇总表</w:t>
            </w:r>
          </w:p>
          <w:tbl>
            <w:tblPr>
              <w:tblStyle w:val="19"/>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85"/>
              <w:gridCol w:w="910"/>
              <w:gridCol w:w="714"/>
              <w:gridCol w:w="832"/>
              <w:gridCol w:w="704"/>
              <w:gridCol w:w="885"/>
              <w:gridCol w:w="855"/>
              <w:gridCol w:w="1026"/>
            </w:tblGrid>
            <w:tr w14:paraId="362F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65" w:type="dxa"/>
                  <w:vAlign w:val="center"/>
                </w:tcPr>
                <w:p w14:paraId="7512A62D">
                  <w:pPr>
                    <w:pStyle w:val="42"/>
                    <w:rPr>
                      <w:b/>
                      <w:bCs/>
                      <w:color w:val="auto"/>
                      <w:sz w:val="21"/>
                      <w:szCs w:val="21"/>
                    </w:rPr>
                  </w:pPr>
                  <w:r>
                    <w:rPr>
                      <w:b/>
                      <w:bCs/>
                      <w:color w:val="auto"/>
                      <w:sz w:val="21"/>
                      <w:szCs w:val="21"/>
                    </w:rPr>
                    <w:t>危废名称</w:t>
                  </w:r>
                </w:p>
              </w:tc>
              <w:tc>
                <w:tcPr>
                  <w:tcW w:w="785" w:type="dxa"/>
                  <w:vAlign w:val="center"/>
                </w:tcPr>
                <w:p w14:paraId="15EF21F1">
                  <w:pPr>
                    <w:pStyle w:val="42"/>
                    <w:rPr>
                      <w:b/>
                      <w:bCs/>
                      <w:color w:val="auto"/>
                      <w:sz w:val="21"/>
                      <w:szCs w:val="21"/>
                    </w:rPr>
                  </w:pPr>
                  <w:r>
                    <w:rPr>
                      <w:b/>
                      <w:bCs/>
                      <w:color w:val="auto"/>
                      <w:sz w:val="21"/>
                      <w:szCs w:val="21"/>
                    </w:rPr>
                    <w:t>危废类别</w:t>
                  </w:r>
                </w:p>
              </w:tc>
              <w:tc>
                <w:tcPr>
                  <w:tcW w:w="910" w:type="dxa"/>
                  <w:vAlign w:val="center"/>
                </w:tcPr>
                <w:p w14:paraId="5119239A">
                  <w:pPr>
                    <w:pStyle w:val="42"/>
                    <w:rPr>
                      <w:b/>
                      <w:bCs/>
                      <w:color w:val="auto"/>
                      <w:sz w:val="21"/>
                      <w:szCs w:val="21"/>
                    </w:rPr>
                  </w:pPr>
                  <w:r>
                    <w:rPr>
                      <w:b/>
                      <w:bCs/>
                      <w:color w:val="auto"/>
                      <w:sz w:val="21"/>
                      <w:szCs w:val="21"/>
                    </w:rPr>
                    <w:t>危废代码</w:t>
                  </w:r>
                </w:p>
              </w:tc>
              <w:tc>
                <w:tcPr>
                  <w:tcW w:w="714" w:type="dxa"/>
                  <w:vAlign w:val="center"/>
                </w:tcPr>
                <w:p w14:paraId="0BD09EFB">
                  <w:pPr>
                    <w:pStyle w:val="42"/>
                    <w:rPr>
                      <w:b/>
                      <w:bCs/>
                      <w:color w:val="auto"/>
                      <w:sz w:val="21"/>
                      <w:szCs w:val="21"/>
                    </w:rPr>
                  </w:pPr>
                  <w:r>
                    <w:rPr>
                      <w:b/>
                      <w:bCs/>
                      <w:color w:val="auto"/>
                      <w:sz w:val="21"/>
                      <w:szCs w:val="21"/>
                    </w:rPr>
                    <w:t>产生量t/a</w:t>
                  </w:r>
                </w:p>
              </w:tc>
              <w:tc>
                <w:tcPr>
                  <w:tcW w:w="832" w:type="dxa"/>
                  <w:vAlign w:val="center"/>
                </w:tcPr>
                <w:p w14:paraId="58798C55">
                  <w:pPr>
                    <w:pStyle w:val="42"/>
                    <w:rPr>
                      <w:b/>
                      <w:bCs/>
                      <w:color w:val="auto"/>
                      <w:sz w:val="21"/>
                      <w:szCs w:val="21"/>
                    </w:rPr>
                  </w:pPr>
                  <w:r>
                    <w:rPr>
                      <w:b/>
                      <w:bCs/>
                      <w:color w:val="auto"/>
                      <w:sz w:val="21"/>
                      <w:szCs w:val="21"/>
                    </w:rPr>
                    <w:t>产生工序</w:t>
                  </w:r>
                </w:p>
              </w:tc>
              <w:tc>
                <w:tcPr>
                  <w:tcW w:w="704" w:type="dxa"/>
                  <w:vAlign w:val="center"/>
                </w:tcPr>
                <w:p w14:paraId="729F77FE">
                  <w:pPr>
                    <w:pStyle w:val="42"/>
                    <w:rPr>
                      <w:b/>
                      <w:bCs/>
                      <w:color w:val="auto"/>
                      <w:sz w:val="21"/>
                      <w:szCs w:val="21"/>
                    </w:rPr>
                  </w:pPr>
                  <w:r>
                    <w:rPr>
                      <w:b/>
                      <w:bCs/>
                      <w:color w:val="auto"/>
                      <w:sz w:val="21"/>
                      <w:szCs w:val="21"/>
                    </w:rPr>
                    <w:t>形态</w:t>
                  </w:r>
                </w:p>
              </w:tc>
              <w:tc>
                <w:tcPr>
                  <w:tcW w:w="885" w:type="dxa"/>
                  <w:vAlign w:val="center"/>
                </w:tcPr>
                <w:p w14:paraId="27E15384">
                  <w:pPr>
                    <w:pStyle w:val="42"/>
                    <w:rPr>
                      <w:b/>
                      <w:bCs/>
                      <w:color w:val="auto"/>
                      <w:sz w:val="21"/>
                      <w:szCs w:val="21"/>
                    </w:rPr>
                  </w:pPr>
                  <w:r>
                    <w:rPr>
                      <w:b/>
                      <w:bCs/>
                      <w:color w:val="auto"/>
                      <w:sz w:val="21"/>
                      <w:szCs w:val="21"/>
                    </w:rPr>
                    <w:t>有害成分</w:t>
                  </w:r>
                </w:p>
              </w:tc>
              <w:tc>
                <w:tcPr>
                  <w:tcW w:w="855" w:type="dxa"/>
                  <w:vAlign w:val="center"/>
                </w:tcPr>
                <w:p w14:paraId="341939C2">
                  <w:pPr>
                    <w:pStyle w:val="42"/>
                    <w:rPr>
                      <w:b/>
                      <w:bCs/>
                      <w:color w:val="auto"/>
                      <w:sz w:val="21"/>
                      <w:szCs w:val="21"/>
                    </w:rPr>
                  </w:pPr>
                  <w:r>
                    <w:rPr>
                      <w:b/>
                      <w:bCs/>
                      <w:color w:val="auto"/>
                      <w:sz w:val="21"/>
                      <w:szCs w:val="21"/>
                    </w:rPr>
                    <w:t>危险特性</w:t>
                  </w:r>
                </w:p>
              </w:tc>
              <w:tc>
                <w:tcPr>
                  <w:tcW w:w="1026" w:type="dxa"/>
                  <w:vAlign w:val="center"/>
                </w:tcPr>
                <w:p w14:paraId="5BB5AC34">
                  <w:pPr>
                    <w:pStyle w:val="42"/>
                    <w:rPr>
                      <w:b/>
                      <w:bCs/>
                      <w:color w:val="auto"/>
                      <w:sz w:val="21"/>
                      <w:szCs w:val="21"/>
                    </w:rPr>
                  </w:pPr>
                  <w:r>
                    <w:rPr>
                      <w:b/>
                      <w:bCs/>
                      <w:color w:val="auto"/>
                      <w:sz w:val="21"/>
                      <w:szCs w:val="21"/>
                    </w:rPr>
                    <w:t>污染防治措施</w:t>
                  </w:r>
                </w:p>
              </w:tc>
            </w:tr>
            <w:tr w14:paraId="49CC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365" w:type="dxa"/>
                  <w:vAlign w:val="center"/>
                </w:tcPr>
                <w:p w14:paraId="4D156817">
                  <w:pPr>
                    <w:pStyle w:val="42"/>
                    <w:rPr>
                      <w:color w:val="auto"/>
                      <w:szCs w:val="21"/>
                    </w:rPr>
                  </w:pPr>
                  <w:r>
                    <w:rPr>
                      <w:color w:val="auto"/>
                      <w:sz w:val="21"/>
                      <w:szCs w:val="21"/>
                    </w:rPr>
                    <w:t>检修废物（含油废棉纱、抹布及其他含油污劳保产品）</w:t>
                  </w:r>
                </w:p>
              </w:tc>
              <w:tc>
                <w:tcPr>
                  <w:tcW w:w="785" w:type="dxa"/>
                  <w:vAlign w:val="center"/>
                </w:tcPr>
                <w:p w14:paraId="53CE2C56">
                  <w:pPr>
                    <w:pStyle w:val="42"/>
                    <w:rPr>
                      <w:color w:val="auto"/>
                      <w:sz w:val="21"/>
                      <w:szCs w:val="21"/>
                    </w:rPr>
                  </w:pPr>
                  <w:r>
                    <w:rPr>
                      <w:color w:val="auto"/>
                      <w:sz w:val="21"/>
                      <w:szCs w:val="21"/>
                    </w:rPr>
                    <w:t>HW49</w:t>
                  </w:r>
                </w:p>
              </w:tc>
              <w:tc>
                <w:tcPr>
                  <w:tcW w:w="910" w:type="dxa"/>
                  <w:vAlign w:val="center"/>
                </w:tcPr>
                <w:p w14:paraId="7556CD26">
                  <w:pPr>
                    <w:pStyle w:val="42"/>
                    <w:rPr>
                      <w:color w:val="auto"/>
                      <w:sz w:val="21"/>
                      <w:szCs w:val="21"/>
                    </w:rPr>
                  </w:pPr>
                  <w:r>
                    <w:rPr>
                      <w:color w:val="auto"/>
                      <w:sz w:val="21"/>
                      <w:szCs w:val="21"/>
                    </w:rPr>
                    <w:t>900-041-49</w:t>
                  </w:r>
                </w:p>
              </w:tc>
              <w:tc>
                <w:tcPr>
                  <w:tcW w:w="714" w:type="dxa"/>
                  <w:vAlign w:val="center"/>
                </w:tcPr>
                <w:p w14:paraId="678BC792">
                  <w:pPr>
                    <w:pStyle w:val="42"/>
                    <w:rPr>
                      <w:color w:val="auto"/>
                      <w:sz w:val="21"/>
                      <w:szCs w:val="21"/>
                    </w:rPr>
                  </w:pPr>
                  <w:r>
                    <w:rPr>
                      <w:color w:val="auto"/>
                      <w:sz w:val="21"/>
                      <w:szCs w:val="21"/>
                    </w:rPr>
                    <w:t>0.02</w:t>
                  </w:r>
                </w:p>
              </w:tc>
              <w:tc>
                <w:tcPr>
                  <w:tcW w:w="832" w:type="dxa"/>
                  <w:vAlign w:val="center"/>
                </w:tcPr>
                <w:p w14:paraId="22E81E28">
                  <w:pPr>
                    <w:pStyle w:val="42"/>
                    <w:rPr>
                      <w:color w:val="auto"/>
                      <w:sz w:val="21"/>
                      <w:szCs w:val="21"/>
                    </w:rPr>
                  </w:pPr>
                  <w:r>
                    <w:rPr>
                      <w:color w:val="auto"/>
                      <w:sz w:val="21"/>
                      <w:szCs w:val="21"/>
                    </w:rPr>
                    <w:t>设备维修、保养</w:t>
                  </w:r>
                </w:p>
              </w:tc>
              <w:tc>
                <w:tcPr>
                  <w:tcW w:w="704" w:type="dxa"/>
                  <w:vAlign w:val="center"/>
                </w:tcPr>
                <w:p w14:paraId="3EE09B27">
                  <w:pPr>
                    <w:pStyle w:val="42"/>
                    <w:rPr>
                      <w:color w:val="auto"/>
                      <w:sz w:val="21"/>
                      <w:szCs w:val="21"/>
                    </w:rPr>
                  </w:pPr>
                  <w:r>
                    <w:rPr>
                      <w:color w:val="auto"/>
                      <w:sz w:val="21"/>
                      <w:szCs w:val="21"/>
                    </w:rPr>
                    <w:t>固态</w:t>
                  </w:r>
                </w:p>
              </w:tc>
              <w:tc>
                <w:tcPr>
                  <w:tcW w:w="885" w:type="dxa"/>
                  <w:vAlign w:val="center"/>
                </w:tcPr>
                <w:p w14:paraId="79F9C2CD">
                  <w:pPr>
                    <w:pStyle w:val="42"/>
                    <w:rPr>
                      <w:color w:val="auto"/>
                      <w:sz w:val="21"/>
                      <w:szCs w:val="21"/>
                    </w:rPr>
                  </w:pPr>
                  <w:r>
                    <w:rPr>
                      <w:color w:val="auto"/>
                      <w:sz w:val="21"/>
                      <w:szCs w:val="21"/>
                    </w:rPr>
                    <w:t>废矿物油</w:t>
                  </w:r>
                </w:p>
              </w:tc>
              <w:tc>
                <w:tcPr>
                  <w:tcW w:w="855" w:type="dxa"/>
                  <w:vAlign w:val="center"/>
                </w:tcPr>
                <w:p w14:paraId="512438C0">
                  <w:pPr>
                    <w:pStyle w:val="42"/>
                    <w:rPr>
                      <w:color w:val="auto"/>
                      <w:sz w:val="21"/>
                      <w:szCs w:val="21"/>
                    </w:rPr>
                  </w:pPr>
                  <w:r>
                    <w:rPr>
                      <w:color w:val="auto"/>
                      <w:sz w:val="21"/>
                      <w:szCs w:val="21"/>
                    </w:rPr>
                    <w:t>T</w:t>
                  </w:r>
                </w:p>
              </w:tc>
              <w:tc>
                <w:tcPr>
                  <w:tcW w:w="1026" w:type="dxa"/>
                  <w:vMerge w:val="restart"/>
                  <w:vAlign w:val="center"/>
                </w:tcPr>
                <w:p w14:paraId="015625C6">
                  <w:pPr>
                    <w:pStyle w:val="42"/>
                    <w:rPr>
                      <w:color w:val="auto"/>
                      <w:sz w:val="21"/>
                      <w:szCs w:val="21"/>
                    </w:rPr>
                  </w:pPr>
                  <w:r>
                    <w:rPr>
                      <w:color w:val="auto"/>
                      <w:sz w:val="21"/>
                      <w:szCs w:val="21"/>
                    </w:rPr>
                    <w:t>分类收集暂存于危废贮存</w:t>
                  </w:r>
                  <w:r>
                    <w:rPr>
                      <w:rFonts w:hint="eastAsia"/>
                      <w:color w:val="auto"/>
                      <w:sz w:val="21"/>
                      <w:szCs w:val="21"/>
                      <w:lang w:val="en-US" w:eastAsia="zh-CN"/>
                    </w:rPr>
                    <w:t>库</w:t>
                  </w:r>
                  <w:r>
                    <w:rPr>
                      <w:color w:val="auto"/>
                      <w:sz w:val="21"/>
                      <w:szCs w:val="21"/>
                    </w:rPr>
                    <w:t>，定期交由有资质单位处置。</w:t>
                  </w:r>
                </w:p>
              </w:tc>
            </w:tr>
            <w:tr w14:paraId="6BFB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65" w:type="dxa"/>
                  <w:vAlign w:val="center"/>
                </w:tcPr>
                <w:p w14:paraId="2B6C56F5">
                  <w:pPr>
                    <w:pStyle w:val="42"/>
                    <w:rPr>
                      <w:color w:val="auto"/>
                      <w:szCs w:val="21"/>
                    </w:rPr>
                  </w:pPr>
                  <w:r>
                    <w:rPr>
                      <w:rFonts w:hint="eastAsia"/>
                      <w:color w:val="auto"/>
                      <w:sz w:val="21"/>
                      <w:szCs w:val="21"/>
                    </w:rPr>
                    <w:t>废机油</w:t>
                  </w:r>
                </w:p>
              </w:tc>
              <w:tc>
                <w:tcPr>
                  <w:tcW w:w="785" w:type="dxa"/>
                  <w:vAlign w:val="center"/>
                </w:tcPr>
                <w:p w14:paraId="68A11D50">
                  <w:pPr>
                    <w:pStyle w:val="42"/>
                    <w:rPr>
                      <w:color w:val="auto"/>
                      <w:sz w:val="21"/>
                      <w:szCs w:val="21"/>
                    </w:rPr>
                  </w:pPr>
                  <w:r>
                    <w:rPr>
                      <w:color w:val="auto"/>
                      <w:sz w:val="21"/>
                      <w:szCs w:val="21"/>
                    </w:rPr>
                    <w:t>HW08</w:t>
                  </w:r>
                </w:p>
              </w:tc>
              <w:tc>
                <w:tcPr>
                  <w:tcW w:w="910" w:type="dxa"/>
                  <w:vAlign w:val="center"/>
                </w:tcPr>
                <w:p w14:paraId="63467F47">
                  <w:pPr>
                    <w:pStyle w:val="42"/>
                    <w:rPr>
                      <w:color w:val="auto"/>
                      <w:sz w:val="21"/>
                      <w:szCs w:val="21"/>
                    </w:rPr>
                  </w:pPr>
                  <w:r>
                    <w:rPr>
                      <w:color w:val="auto"/>
                      <w:sz w:val="21"/>
                      <w:szCs w:val="21"/>
                    </w:rPr>
                    <w:t>900-249-08</w:t>
                  </w:r>
                </w:p>
              </w:tc>
              <w:tc>
                <w:tcPr>
                  <w:tcW w:w="714" w:type="dxa"/>
                  <w:vAlign w:val="center"/>
                </w:tcPr>
                <w:p w14:paraId="63F5E9BF">
                  <w:pPr>
                    <w:pStyle w:val="42"/>
                    <w:rPr>
                      <w:color w:val="auto"/>
                      <w:sz w:val="21"/>
                      <w:szCs w:val="21"/>
                    </w:rPr>
                  </w:pPr>
                  <w:r>
                    <w:rPr>
                      <w:color w:val="auto"/>
                      <w:sz w:val="21"/>
                      <w:szCs w:val="21"/>
                    </w:rPr>
                    <w:t>0.1</w:t>
                  </w:r>
                </w:p>
              </w:tc>
              <w:tc>
                <w:tcPr>
                  <w:tcW w:w="832" w:type="dxa"/>
                  <w:vAlign w:val="center"/>
                </w:tcPr>
                <w:p w14:paraId="1A52B8E1">
                  <w:pPr>
                    <w:pStyle w:val="42"/>
                    <w:rPr>
                      <w:color w:val="auto"/>
                      <w:sz w:val="21"/>
                      <w:szCs w:val="21"/>
                    </w:rPr>
                  </w:pPr>
                  <w:r>
                    <w:rPr>
                      <w:color w:val="auto"/>
                      <w:sz w:val="21"/>
                      <w:szCs w:val="21"/>
                    </w:rPr>
                    <w:t>设备维修、保养</w:t>
                  </w:r>
                </w:p>
              </w:tc>
              <w:tc>
                <w:tcPr>
                  <w:tcW w:w="704" w:type="dxa"/>
                  <w:vAlign w:val="center"/>
                </w:tcPr>
                <w:p w14:paraId="04D3D3B9">
                  <w:pPr>
                    <w:pStyle w:val="42"/>
                    <w:rPr>
                      <w:color w:val="auto"/>
                      <w:sz w:val="21"/>
                      <w:szCs w:val="21"/>
                    </w:rPr>
                  </w:pPr>
                  <w:r>
                    <w:rPr>
                      <w:rFonts w:hint="eastAsia"/>
                      <w:color w:val="auto"/>
                      <w:sz w:val="21"/>
                      <w:szCs w:val="21"/>
                      <w:lang w:val="en-US" w:eastAsia="zh-CN"/>
                    </w:rPr>
                    <w:t>液</w:t>
                  </w:r>
                  <w:r>
                    <w:rPr>
                      <w:color w:val="auto"/>
                      <w:sz w:val="21"/>
                      <w:szCs w:val="21"/>
                    </w:rPr>
                    <w:t>态</w:t>
                  </w:r>
                </w:p>
              </w:tc>
              <w:tc>
                <w:tcPr>
                  <w:tcW w:w="885" w:type="dxa"/>
                  <w:vAlign w:val="center"/>
                </w:tcPr>
                <w:p w14:paraId="10C8CA07">
                  <w:pPr>
                    <w:pStyle w:val="42"/>
                    <w:rPr>
                      <w:color w:val="auto"/>
                      <w:sz w:val="21"/>
                      <w:szCs w:val="21"/>
                    </w:rPr>
                  </w:pPr>
                  <w:r>
                    <w:rPr>
                      <w:color w:val="auto"/>
                      <w:sz w:val="21"/>
                      <w:szCs w:val="21"/>
                    </w:rPr>
                    <w:t>废矿物油</w:t>
                  </w:r>
                </w:p>
              </w:tc>
              <w:tc>
                <w:tcPr>
                  <w:tcW w:w="855" w:type="dxa"/>
                  <w:vAlign w:val="center"/>
                </w:tcPr>
                <w:p w14:paraId="0644F991">
                  <w:pPr>
                    <w:pStyle w:val="42"/>
                    <w:rPr>
                      <w:color w:val="auto"/>
                      <w:sz w:val="21"/>
                      <w:szCs w:val="21"/>
                    </w:rPr>
                  </w:pPr>
                  <w:r>
                    <w:rPr>
                      <w:color w:val="auto"/>
                      <w:sz w:val="21"/>
                      <w:szCs w:val="21"/>
                    </w:rPr>
                    <w:t>T</w:t>
                  </w:r>
                </w:p>
              </w:tc>
              <w:tc>
                <w:tcPr>
                  <w:tcW w:w="1026" w:type="dxa"/>
                  <w:vMerge w:val="continue"/>
                  <w:vAlign w:val="center"/>
                </w:tcPr>
                <w:p w14:paraId="2C5BC04F">
                  <w:pPr>
                    <w:pStyle w:val="42"/>
                    <w:rPr>
                      <w:color w:val="auto"/>
                      <w:sz w:val="21"/>
                      <w:szCs w:val="21"/>
                    </w:rPr>
                  </w:pPr>
                </w:p>
              </w:tc>
            </w:tr>
            <w:tr w14:paraId="29E4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65" w:type="dxa"/>
                  <w:vAlign w:val="center"/>
                </w:tcPr>
                <w:p w14:paraId="1DF27E89">
                  <w:pPr>
                    <w:pStyle w:val="42"/>
                    <w:rPr>
                      <w:rFonts w:hint="eastAsia"/>
                      <w:color w:val="auto"/>
                      <w:szCs w:val="21"/>
                    </w:rPr>
                  </w:pPr>
                  <w:r>
                    <w:rPr>
                      <w:rFonts w:hint="eastAsia"/>
                      <w:color w:val="auto"/>
                      <w:sz w:val="21"/>
                      <w:szCs w:val="21"/>
                    </w:rPr>
                    <w:t>废包装</w:t>
                  </w:r>
                </w:p>
              </w:tc>
              <w:tc>
                <w:tcPr>
                  <w:tcW w:w="785" w:type="dxa"/>
                  <w:vAlign w:val="center"/>
                </w:tcPr>
                <w:p w14:paraId="2B4FA281">
                  <w:pPr>
                    <w:pStyle w:val="42"/>
                    <w:rPr>
                      <w:color w:val="auto"/>
                      <w:sz w:val="21"/>
                      <w:szCs w:val="21"/>
                    </w:rPr>
                  </w:pPr>
                  <w:r>
                    <w:rPr>
                      <w:rFonts w:hint="eastAsia"/>
                      <w:color w:val="auto"/>
                      <w:sz w:val="21"/>
                      <w:szCs w:val="21"/>
                      <w:lang w:val="en-US" w:eastAsia="zh-CN"/>
                    </w:rPr>
                    <w:t>HW04</w:t>
                  </w:r>
                </w:p>
              </w:tc>
              <w:tc>
                <w:tcPr>
                  <w:tcW w:w="910" w:type="dxa"/>
                  <w:vAlign w:val="center"/>
                </w:tcPr>
                <w:p w14:paraId="6764AEA2">
                  <w:pPr>
                    <w:pStyle w:val="42"/>
                    <w:rPr>
                      <w:color w:val="auto"/>
                      <w:sz w:val="21"/>
                      <w:szCs w:val="21"/>
                    </w:rPr>
                  </w:pPr>
                  <w:r>
                    <w:rPr>
                      <w:rFonts w:hint="eastAsia"/>
                      <w:color w:val="auto"/>
                      <w:sz w:val="21"/>
                      <w:szCs w:val="21"/>
                      <w:lang w:val="en-US" w:eastAsia="zh-CN"/>
                    </w:rPr>
                    <w:t>900-003-04</w:t>
                  </w:r>
                </w:p>
              </w:tc>
              <w:tc>
                <w:tcPr>
                  <w:tcW w:w="714" w:type="dxa"/>
                  <w:vAlign w:val="center"/>
                </w:tcPr>
                <w:p w14:paraId="322F9905">
                  <w:pPr>
                    <w:pStyle w:val="42"/>
                    <w:rPr>
                      <w:rFonts w:hint="default"/>
                      <w:color w:val="auto"/>
                      <w:sz w:val="21"/>
                      <w:szCs w:val="21"/>
                      <w:lang w:val="en-US" w:eastAsia="zh-CN"/>
                    </w:rPr>
                  </w:pPr>
                  <w:r>
                    <w:rPr>
                      <w:rFonts w:hint="eastAsia"/>
                      <w:color w:val="auto"/>
                      <w:sz w:val="21"/>
                      <w:szCs w:val="21"/>
                      <w:lang w:val="en-US" w:eastAsia="zh-CN"/>
                    </w:rPr>
                    <w:t>1.0</w:t>
                  </w:r>
                </w:p>
              </w:tc>
              <w:tc>
                <w:tcPr>
                  <w:tcW w:w="832" w:type="dxa"/>
                  <w:vAlign w:val="center"/>
                </w:tcPr>
                <w:p w14:paraId="30C6BF81">
                  <w:pPr>
                    <w:pStyle w:val="42"/>
                    <w:rPr>
                      <w:rFonts w:hint="eastAsia"/>
                      <w:color w:val="auto"/>
                      <w:sz w:val="21"/>
                      <w:szCs w:val="21"/>
                      <w:lang w:val="en-US" w:eastAsia="zh-CN"/>
                    </w:rPr>
                  </w:pPr>
                  <w:r>
                    <w:rPr>
                      <w:rFonts w:hint="eastAsia"/>
                      <w:color w:val="auto"/>
                      <w:sz w:val="21"/>
                      <w:szCs w:val="21"/>
                      <w:lang w:val="en-US" w:eastAsia="zh-CN"/>
                    </w:rPr>
                    <w:t>生产</w:t>
                  </w:r>
                </w:p>
              </w:tc>
              <w:tc>
                <w:tcPr>
                  <w:tcW w:w="704" w:type="dxa"/>
                  <w:vAlign w:val="center"/>
                </w:tcPr>
                <w:p w14:paraId="6DAF565D">
                  <w:pPr>
                    <w:pStyle w:val="42"/>
                    <w:rPr>
                      <w:color w:val="auto"/>
                      <w:sz w:val="21"/>
                      <w:szCs w:val="21"/>
                    </w:rPr>
                  </w:pPr>
                  <w:r>
                    <w:rPr>
                      <w:color w:val="auto"/>
                      <w:sz w:val="21"/>
                      <w:szCs w:val="21"/>
                    </w:rPr>
                    <w:t>固态</w:t>
                  </w:r>
                </w:p>
              </w:tc>
              <w:tc>
                <w:tcPr>
                  <w:tcW w:w="885" w:type="dxa"/>
                  <w:vAlign w:val="center"/>
                </w:tcPr>
                <w:p w14:paraId="238A681A">
                  <w:pPr>
                    <w:pStyle w:val="42"/>
                    <w:rPr>
                      <w:rFonts w:hint="default"/>
                      <w:color w:val="auto"/>
                      <w:sz w:val="21"/>
                      <w:szCs w:val="21"/>
                      <w:lang w:val="en-US" w:eastAsia="zh-CN"/>
                    </w:rPr>
                  </w:pPr>
                  <w:r>
                    <w:rPr>
                      <w:rFonts w:hint="eastAsia"/>
                      <w:color w:val="auto"/>
                      <w:sz w:val="21"/>
                      <w:szCs w:val="21"/>
                      <w:lang w:val="en-US" w:eastAsia="zh-CN"/>
                    </w:rPr>
                    <w:t>原药</w:t>
                  </w:r>
                </w:p>
              </w:tc>
              <w:tc>
                <w:tcPr>
                  <w:tcW w:w="855" w:type="dxa"/>
                  <w:vAlign w:val="center"/>
                </w:tcPr>
                <w:p w14:paraId="4C63DEAF">
                  <w:pPr>
                    <w:pStyle w:val="42"/>
                    <w:rPr>
                      <w:rFonts w:hint="default"/>
                      <w:color w:val="auto"/>
                      <w:sz w:val="21"/>
                      <w:szCs w:val="21"/>
                      <w:lang w:val="en-US" w:eastAsia="zh-CN"/>
                    </w:rPr>
                  </w:pPr>
                  <w:r>
                    <w:rPr>
                      <w:color w:val="auto"/>
                      <w:sz w:val="21"/>
                      <w:szCs w:val="21"/>
                    </w:rPr>
                    <w:t>T</w:t>
                  </w:r>
                  <w:r>
                    <w:rPr>
                      <w:rFonts w:hint="eastAsia"/>
                      <w:color w:val="auto"/>
                      <w:sz w:val="21"/>
                      <w:szCs w:val="21"/>
                      <w:lang w:eastAsia="zh-CN"/>
                    </w:rPr>
                    <w:t>,</w:t>
                  </w:r>
                  <w:r>
                    <w:rPr>
                      <w:rFonts w:hint="eastAsia"/>
                      <w:color w:val="auto"/>
                      <w:sz w:val="21"/>
                      <w:szCs w:val="21"/>
                      <w:lang w:val="en-US" w:eastAsia="zh-CN"/>
                    </w:rPr>
                    <w:t>I</w:t>
                  </w:r>
                </w:p>
              </w:tc>
              <w:tc>
                <w:tcPr>
                  <w:tcW w:w="1026" w:type="dxa"/>
                  <w:vMerge w:val="continue"/>
                  <w:vAlign w:val="center"/>
                </w:tcPr>
                <w:p w14:paraId="7D476581">
                  <w:pPr>
                    <w:pStyle w:val="42"/>
                    <w:rPr>
                      <w:color w:val="auto"/>
                      <w:sz w:val="21"/>
                      <w:szCs w:val="21"/>
                    </w:rPr>
                  </w:pPr>
                </w:p>
              </w:tc>
            </w:tr>
            <w:tr w14:paraId="7189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65" w:type="dxa"/>
                  <w:vAlign w:val="center"/>
                </w:tcPr>
                <w:p w14:paraId="28C725F8">
                  <w:pPr>
                    <w:pStyle w:val="42"/>
                    <w:rPr>
                      <w:rFonts w:hint="eastAsia"/>
                      <w:color w:val="auto"/>
                      <w:szCs w:val="21"/>
                    </w:rPr>
                  </w:pPr>
                  <w:r>
                    <w:rPr>
                      <w:rFonts w:hint="eastAsia"/>
                      <w:color w:val="auto"/>
                      <w:sz w:val="21"/>
                      <w:szCs w:val="21"/>
                    </w:rPr>
                    <w:t>废活性炭</w:t>
                  </w:r>
                </w:p>
              </w:tc>
              <w:tc>
                <w:tcPr>
                  <w:tcW w:w="785" w:type="dxa"/>
                  <w:vAlign w:val="center"/>
                </w:tcPr>
                <w:p w14:paraId="7F9CABA8">
                  <w:pPr>
                    <w:pStyle w:val="42"/>
                    <w:rPr>
                      <w:color w:val="auto"/>
                      <w:sz w:val="21"/>
                      <w:szCs w:val="21"/>
                    </w:rPr>
                  </w:pPr>
                  <w:r>
                    <w:rPr>
                      <w:rFonts w:hint="default"/>
                      <w:color w:val="auto"/>
                      <w:sz w:val="21"/>
                      <w:szCs w:val="21"/>
                      <w:lang w:val="en-US" w:eastAsia="zh-CN"/>
                    </w:rPr>
                    <w:t>HW49</w:t>
                  </w:r>
                </w:p>
              </w:tc>
              <w:tc>
                <w:tcPr>
                  <w:tcW w:w="910" w:type="dxa"/>
                  <w:vAlign w:val="center"/>
                </w:tcPr>
                <w:p w14:paraId="065E5C05">
                  <w:pPr>
                    <w:pStyle w:val="42"/>
                    <w:rPr>
                      <w:color w:val="auto"/>
                      <w:sz w:val="21"/>
                      <w:szCs w:val="21"/>
                    </w:rPr>
                  </w:pPr>
                  <w:r>
                    <w:rPr>
                      <w:rFonts w:hint="default"/>
                      <w:color w:val="auto"/>
                      <w:sz w:val="21"/>
                      <w:szCs w:val="21"/>
                      <w:lang w:val="en-US" w:eastAsia="zh-CN"/>
                    </w:rPr>
                    <w:t>900-039-49</w:t>
                  </w:r>
                </w:p>
              </w:tc>
              <w:tc>
                <w:tcPr>
                  <w:tcW w:w="714" w:type="dxa"/>
                  <w:vAlign w:val="center"/>
                </w:tcPr>
                <w:p w14:paraId="6BA3301F">
                  <w:pPr>
                    <w:pStyle w:val="42"/>
                    <w:rPr>
                      <w:rFonts w:hint="default"/>
                      <w:color w:val="auto"/>
                      <w:sz w:val="21"/>
                      <w:szCs w:val="21"/>
                      <w:lang w:val="en-US" w:eastAsia="zh-CN"/>
                    </w:rPr>
                  </w:pPr>
                  <w:r>
                    <w:rPr>
                      <w:rFonts w:hint="eastAsia"/>
                      <w:color w:val="auto"/>
                      <w:sz w:val="21"/>
                      <w:szCs w:val="21"/>
                      <w:lang w:val="en-US" w:eastAsia="zh-CN"/>
                    </w:rPr>
                    <w:t>14.35</w:t>
                  </w:r>
                </w:p>
              </w:tc>
              <w:tc>
                <w:tcPr>
                  <w:tcW w:w="832" w:type="dxa"/>
                  <w:vAlign w:val="center"/>
                </w:tcPr>
                <w:p w14:paraId="659C9655">
                  <w:pPr>
                    <w:pStyle w:val="42"/>
                    <w:rPr>
                      <w:rFonts w:hint="default"/>
                      <w:color w:val="auto"/>
                      <w:sz w:val="21"/>
                      <w:szCs w:val="21"/>
                      <w:lang w:val="en-US" w:eastAsia="zh-CN"/>
                    </w:rPr>
                  </w:pPr>
                  <w:r>
                    <w:rPr>
                      <w:rFonts w:hint="eastAsia"/>
                      <w:color w:val="auto"/>
                      <w:sz w:val="21"/>
                      <w:szCs w:val="21"/>
                      <w:lang w:val="en-US" w:eastAsia="zh-CN"/>
                    </w:rPr>
                    <w:t>废气处置</w:t>
                  </w:r>
                </w:p>
              </w:tc>
              <w:tc>
                <w:tcPr>
                  <w:tcW w:w="704" w:type="dxa"/>
                  <w:vAlign w:val="center"/>
                </w:tcPr>
                <w:p w14:paraId="2F2F417D">
                  <w:pPr>
                    <w:pStyle w:val="42"/>
                    <w:rPr>
                      <w:color w:val="auto"/>
                      <w:sz w:val="21"/>
                      <w:szCs w:val="21"/>
                    </w:rPr>
                  </w:pPr>
                  <w:r>
                    <w:rPr>
                      <w:color w:val="auto"/>
                      <w:sz w:val="21"/>
                      <w:szCs w:val="21"/>
                    </w:rPr>
                    <w:t>固态</w:t>
                  </w:r>
                </w:p>
              </w:tc>
              <w:tc>
                <w:tcPr>
                  <w:tcW w:w="885" w:type="dxa"/>
                  <w:vAlign w:val="center"/>
                </w:tcPr>
                <w:p w14:paraId="7DD5D03E">
                  <w:pPr>
                    <w:pStyle w:val="42"/>
                    <w:rPr>
                      <w:rFonts w:hint="eastAsia"/>
                      <w:color w:val="auto"/>
                      <w:sz w:val="21"/>
                      <w:szCs w:val="21"/>
                      <w:lang w:val="en-US" w:eastAsia="zh-CN"/>
                    </w:rPr>
                  </w:pPr>
                  <w:r>
                    <w:rPr>
                      <w:rFonts w:hint="eastAsia"/>
                      <w:color w:val="auto"/>
                      <w:sz w:val="21"/>
                      <w:szCs w:val="21"/>
                      <w:lang w:val="en-US" w:eastAsia="zh-CN"/>
                    </w:rPr>
                    <w:t>有机物</w:t>
                  </w:r>
                </w:p>
              </w:tc>
              <w:tc>
                <w:tcPr>
                  <w:tcW w:w="855" w:type="dxa"/>
                  <w:vAlign w:val="center"/>
                </w:tcPr>
                <w:p w14:paraId="0884F4F9">
                  <w:pPr>
                    <w:pStyle w:val="42"/>
                    <w:rPr>
                      <w:color w:val="auto"/>
                      <w:sz w:val="21"/>
                      <w:szCs w:val="21"/>
                    </w:rPr>
                  </w:pPr>
                  <w:r>
                    <w:rPr>
                      <w:color w:val="auto"/>
                      <w:sz w:val="21"/>
                      <w:szCs w:val="21"/>
                    </w:rPr>
                    <w:t>T</w:t>
                  </w:r>
                  <w:r>
                    <w:rPr>
                      <w:rFonts w:hint="eastAsia"/>
                      <w:color w:val="auto"/>
                      <w:sz w:val="21"/>
                      <w:szCs w:val="21"/>
                      <w:lang w:eastAsia="zh-CN"/>
                    </w:rPr>
                    <w:t>,</w:t>
                  </w:r>
                  <w:r>
                    <w:rPr>
                      <w:rFonts w:hint="eastAsia"/>
                      <w:color w:val="auto"/>
                      <w:sz w:val="21"/>
                      <w:szCs w:val="21"/>
                      <w:lang w:val="en-US" w:eastAsia="zh-CN"/>
                    </w:rPr>
                    <w:t>I</w:t>
                  </w:r>
                </w:p>
              </w:tc>
              <w:tc>
                <w:tcPr>
                  <w:tcW w:w="1026" w:type="dxa"/>
                  <w:vMerge w:val="continue"/>
                  <w:vAlign w:val="center"/>
                </w:tcPr>
                <w:p w14:paraId="2555A944">
                  <w:pPr>
                    <w:pStyle w:val="42"/>
                    <w:rPr>
                      <w:color w:val="auto"/>
                      <w:sz w:val="21"/>
                      <w:szCs w:val="21"/>
                    </w:rPr>
                  </w:pPr>
                </w:p>
              </w:tc>
            </w:tr>
            <w:tr w14:paraId="5C92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65" w:type="dxa"/>
                  <w:vAlign w:val="center"/>
                </w:tcPr>
                <w:p w14:paraId="385E5C7B">
                  <w:pPr>
                    <w:pStyle w:val="42"/>
                    <w:rPr>
                      <w:rFonts w:hint="eastAsia"/>
                      <w:color w:val="auto"/>
                      <w:sz w:val="21"/>
                      <w:szCs w:val="21"/>
                    </w:rPr>
                  </w:pPr>
                  <w:r>
                    <w:rPr>
                      <w:rFonts w:hint="eastAsia"/>
                      <w:color w:val="auto"/>
                      <w:sz w:val="21"/>
                      <w:szCs w:val="21"/>
                    </w:rPr>
                    <w:t>检验废物</w:t>
                  </w:r>
                </w:p>
              </w:tc>
              <w:tc>
                <w:tcPr>
                  <w:tcW w:w="785" w:type="dxa"/>
                  <w:vAlign w:val="center"/>
                </w:tcPr>
                <w:p w14:paraId="481D322A">
                  <w:pPr>
                    <w:pStyle w:val="42"/>
                    <w:rPr>
                      <w:rFonts w:hint="default"/>
                      <w:color w:val="auto"/>
                      <w:sz w:val="21"/>
                      <w:szCs w:val="21"/>
                      <w:lang w:val="en-US" w:eastAsia="zh-CN"/>
                    </w:rPr>
                  </w:pPr>
                  <w:r>
                    <w:rPr>
                      <w:rFonts w:hint="default"/>
                      <w:color w:val="auto"/>
                      <w:kern w:val="0"/>
                      <w:szCs w:val="21"/>
                      <w:lang w:val="en-US" w:eastAsia="zh-CN"/>
                    </w:rPr>
                    <w:t>HW49</w:t>
                  </w:r>
                </w:p>
              </w:tc>
              <w:tc>
                <w:tcPr>
                  <w:tcW w:w="910" w:type="dxa"/>
                  <w:vAlign w:val="center"/>
                </w:tcPr>
                <w:p w14:paraId="48C9EE0C">
                  <w:pPr>
                    <w:pStyle w:val="42"/>
                    <w:rPr>
                      <w:rFonts w:hint="default"/>
                      <w:color w:val="auto"/>
                      <w:sz w:val="21"/>
                      <w:szCs w:val="21"/>
                      <w:lang w:val="en-US" w:eastAsia="zh-CN"/>
                    </w:rPr>
                  </w:pPr>
                  <w:r>
                    <w:rPr>
                      <w:rFonts w:hint="default"/>
                      <w:color w:val="auto"/>
                      <w:kern w:val="0"/>
                      <w:szCs w:val="21"/>
                      <w:lang w:val="en-US" w:eastAsia="zh-CN"/>
                    </w:rPr>
                    <w:t>900-047-49</w:t>
                  </w:r>
                </w:p>
              </w:tc>
              <w:tc>
                <w:tcPr>
                  <w:tcW w:w="714" w:type="dxa"/>
                  <w:vAlign w:val="center"/>
                </w:tcPr>
                <w:p w14:paraId="41818BC2">
                  <w:pPr>
                    <w:pStyle w:val="42"/>
                    <w:rPr>
                      <w:rFonts w:hint="default"/>
                      <w:color w:val="auto"/>
                      <w:sz w:val="21"/>
                      <w:szCs w:val="21"/>
                      <w:lang w:val="en-US" w:eastAsia="zh-CN"/>
                    </w:rPr>
                  </w:pPr>
                  <w:r>
                    <w:rPr>
                      <w:rFonts w:hint="eastAsia"/>
                      <w:color w:val="auto"/>
                      <w:sz w:val="21"/>
                      <w:szCs w:val="21"/>
                      <w:lang w:val="en-US" w:eastAsia="zh-CN"/>
                    </w:rPr>
                    <w:t>0.2</w:t>
                  </w:r>
                </w:p>
              </w:tc>
              <w:tc>
                <w:tcPr>
                  <w:tcW w:w="832" w:type="dxa"/>
                  <w:vAlign w:val="center"/>
                </w:tcPr>
                <w:p w14:paraId="1711618C">
                  <w:pPr>
                    <w:pStyle w:val="42"/>
                    <w:rPr>
                      <w:rFonts w:hint="default"/>
                      <w:color w:val="auto"/>
                      <w:sz w:val="21"/>
                      <w:szCs w:val="21"/>
                      <w:lang w:val="en-US" w:eastAsia="zh-CN"/>
                    </w:rPr>
                  </w:pPr>
                  <w:r>
                    <w:rPr>
                      <w:rFonts w:hint="eastAsia"/>
                      <w:color w:val="auto"/>
                      <w:sz w:val="21"/>
                      <w:szCs w:val="21"/>
                      <w:lang w:val="en-US" w:eastAsia="zh-CN"/>
                    </w:rPr>
                    <w:t>检验</w:t>
                  </w:r>
                </w:p>
              </w:tc>
              <w:tc>
                <w:tcPr>
                  <w:tcW w:w="704" w:type="dxa"/>
                  <w:vAlign w:val="center"/>
                </w:tcPr>
                <w:p w14:paraId="5BA2B860">
                  <w:pPr>
                    <w:pStyle w:val="42"/>
                    <w:rPr>
                      <w:rFonts w:hint="eastAsia" w:eastAsia="宋体"/>
                      <w:color w:val="auto"/>
                      <w:sz w:val="21"/>
                      <w:szCs w:val="21"/>
                      <w:lang w:val="en-US" w:eastAsia="zh-CN"/>
                    </w:rPr>
                  </w:pPr>
                  <w:r>
                    <w:rPr>
                      <w:rFonts w:hint="eastAsia"/>
                      <w:color w:val="auto"/>
                      <w:sz w:val="21"/>
                      <w:szCs w:val="21"/>
                      <w:lang w:val="en-US" w:eastAsia="zh-CN"/>
                    </w:rPr>
                    <w:t>业态</w:t>
                  </w:r>
                </w:p>
              </w:tc>
              <w:tc>
                <w:tcPr>
                  <w:tcW w:w="885" w:type="dxa"/>
                  <w:vAlign w:val="center"/>
                </w:tcPr>
                <w:p w14:paraId="43D5D485">
                  <w:pPr>
                    <w:pStyle w:val="42"/>
                    <w:rPr>
                      <w:rFonts w:hint="eastAsia"/>
                      <w:color w:val="auto"/>
                      <w:sz w:val="21"/>
                      <w:szCs w:val="21"/>
                      <w:lang w:val="en-US" w:eastAsia="zh-CN"/>
                    </w:rPr>
                  </w:pPr>
                  <w:r>
                    <w:rPr>
                      <w:rFonts w:hint="eastAsia"/>
                      <w:color w:val="auto"/>
                      <w:sz w:val="21"/>
                      <w:szCs w:val="21"/>
                      <w:lang w:val="en-US" w:eastAsia="zh-CN"/>
                    </w:rPr>
                    <w:t>有机物</w:t>
                  </w:r>
                </w:p>
              </w:tc>
              <w:tc>
                <w:tcPr>
                  <w:tcW w:w="855" w:type="dxa"/>
                  <w:vAlign w:val="center"/>
                </w:tcPr>
                <w:p w14:paraId="4CC9D04A">
                  <w:pPr>
                    <w:pStyle w:val="42"/>
                    <w:rPr>
                      <w:color w:val="auto"/>
                      <w:sz w:val="21"/>
                      <w:szCs w:val="21"/>
                    </w:rPr>
                  </w:pPr>
                  <w:r>
                    <w:rPr>
                      <w:color w:val="auto"/>
                      <w:sz w:val="21"/>
                      <w:szCs w:val="21"/>
                    </w:rPr>
                    <w:t>T</w:t>
                  </w:r>
                  <w:r>
                    <w:rPr>
                      <w:rFonts w:hint="eastAsia"/>
                      <w:color w:val="auto"/>
                      <w:sz w:val="21"/>
                      <w:szCs w:val="21"/>
                      <w:lang w:eastAsia="zh-CN"/>
                    </w:rPr>
                    <w:t>,</w:t>
                  </w:r>
                  <w:r>
                    <w:rPr>
                      <w:rFonts w:hint="eastAsia"/>
                      <w:color w:val="auto"/>
                      <w:sz w:val="21"/>
                      <w:szCs w:val="21"/>
                      <w:lang w:val="en-US" w:eastAsia="zh-CN"/>
                    </w:rPr>
                    <w:t>I</w:t>
                  </w:r>
                </w:p>
              </w:tc>
              <w:tc>
                <w:tcPr>
                  <w:tcW w:w="1026" w:type="dxa"/>
                  <w:vMerge w:val="continue"/>
                  <w:vAlign w:val="center"/>
                </w:tcPr>
                <w:p w14:paraId="0712A19F">
                  <w:pPr>
                    <w:pStyle w:val="42"/>
                    <w:rPr>
                      <w:color w:val="auto"/>
                      <w:sz w:val="21"/>
                      <w:szCs w:val="21"/>
                    </w:rPr>
                  </w:pPr>
                </w:p>
              </w:tc>
            </w:tr>
          </w:tbl>
          <w:p w14:paraId="7FD56D0D">
            <w:pPr>
              <w:autoSpaceDE w:val="0"/>
              <w:autoSpaceDN w:val="0"/>
              <w:adjustRightInd w:val="0"/>
              <w:snapToGrid w:val="0"/>
              <w:jc w:val="center"/>
              <w:rPr>
                <w:b/>
                <w:bCs/>
                <w:color w:val="auto"/>
                <w:kern w:val="0"/>
                <w:szCs w:val="21"/>
              </w:rPr>
            </w:pPr>
            <w:r>
              <w:rPr>
                <w:b/>
                <w:bCs/>
                <w:color w:val="auto"/>
                <w:kern w:val="0"/>
                <w:szCs w:val="21"/>
              </w:rPr>
              <w:t>表4-</w:t>
            </w:r>
            <w:r>
              <w:rPr>
                <w:rFonts w:hint="eastAsia"/>
                <w:b/>
                <w:bCs/>
                <w:color w:val="auto"/>
                <w:kern w:val="0"/>
                <w:szCs w:val="21"/>
                <w:lang w:val="en-US" w:eastAsia="zh-CN"/>
              </w:rPr>
              <w:t xml:space="preserve">19 </w:t>
            </w:r>
            <w:r>
              <w:rPr>
                <w:b/>
                <w:bCs/>
                <w:color w:val="auto"/>
                <w:kern w:val="0"/>
                <w:szCs w:val="21"/>
              </w:rPr>
              <w:t>项目危险废物贮存场所情况表</w:t>
            </w:r>
          </w:p>
          <w:tbl>
            <w:tblPr>
              <w:tblStyle w:val="19"/>
              <w:tblW w:w="803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80"/>
              <w:gridCol w:w="1595"/>
              <w:gridCol w:w="819"/>
              <w:gridCol w:w="1055"/>
              <w:gridCol w:w="642"/>
              <w:gridCol w:w="744"/>
              <w:gridCol w:w="675"/>
              <w:gridCol w:w="675"/>
              <w:gridCol w:w="722"/>
            </w:tblGrid>
            <w:tr w14:paraId="0A81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 w:type="dxa"/>
                  <w:vAlign w:val="center"/>
                </w:tcPr>
                <w:p w14:paraId="139F3ACE">
                  <w:pPr>
                    <w:pStyle w:val="42"/>
                    <w:rPr>
                      <w:b/>
                      <w:bCs/>
                      <w:color w:val="auto"/>
                      <w:sz w:val="21"/>
                      <w:szCs w:val="21"/>
                    </w:rPr>
                  </w:pPr>
                  <w:r>
                    <w:rPr>
                      <w:b/>
                      <w:bCs/>
                      <w:color w:val="auto"/>
                      <w:sz w:val="21"/>
                      <w:szCs w:val="21"/>
                    </w:rPr>
                    <w:t>序号</w:t>
                  </w:r>
                </w:p>
              </w:tc>
              <w:tc>
                <w:tcPr>
                  <w:tcW w:w="680" w:type="dxa"/>
                  <w:vAlign w:val="center"/>
                </w:tcPr>
                <w:p w14:paraId="5D99A942">
                  <w:pPr>
                    <w:pStyle w:val="42"/>
                    <w:rPr>
                      <w:b/>
                      <w:bCs/>
                      <w:color w:val="auto"/>
                      <w:sz w:val="21"/>
                      <w:szCs w:val="21"/>
                    </w:rPr>
                  </w:pPr>
                  <w:r>
                    <w:rPr>
                      <w:b/>
                      <w:bCs/>
                      <w:color w:val="auto"/>
                      <w:sz w:val="21"/>
                      <w:szCs w:val="21"/>
                    </w:rPr>
                    <w:t>贮存场所名称</w:t>
                  </w:r>
                </w:p>
              </w:tc>
              <w:tc>
                <w:tcPr>
                  <w:tcW w:w="1595" w:type="dxa"/>
                  <w:vAlign w:val="center"/>
                </w:tcPr>
                <w:p w14:paraId="0B884DA9">
                  <w:pPr>
                    <w:pStyle w:val="42"/>
                    <w:rPr>
                      <w:b/>
                      <w:bCs/>
                      <w:color w:val="auto"/>
                      <w:sz w:val="21"/>
                      <w:szCs w:val="21"/>
                    </w:rPr>
                  </w:pPr>
                  <w:r>
                    <w:rPr>
                      <w:b/>
                      <w:bCs/>
                      <w:color w:val="auto"/>
                      <w:sz w:val="21"/>
                      <w:szCs w:val="21"/>
                    </w:rPr>
                    <w:t>危废名称</w:t>
                  </w:r>
                </w:p>
              </w:tc>
              <w:tc>
                <w:tcPr>
                  <w:tcW w:w="819" w:type="dxa"/>
                  <w:vAlign w:val="center"/>
                </w:tcPr>
                <w:p w14:paraId="2003B0F5">
                  <w:pPr>
                    <w:pStyle w:val="42"/>
                    <w:rPr>
                      <w:b/>
                      <w:bCs/>
                      <w:color w:val="auto"/>
                      <w:sz w:val="21"/>
                      <w:szCs w:val="21"/>
                    </w:rPr>
                  </w:pPr>
                  <w:r>
                    <w:rPr>
                      <w:b/>
                      <w:bCs/>
                      <w:color w:val="auto"/>
                      <w:sz w:val="21"/>
                      <w:szCs w:val="21"/>
                    </w:rPr>
                    <w:t>危废类别</w:t>
                  </w:r>
                </w:p>
              </w:tc>
              <w:tc>
                <w:tcPr>
                  <w:tcW w:w="1055" w:type="dxa"/>
                  <w:vAlign w:val="center"/>
                </w:tcPr>
                <w:p w14:paraId="60FD8E11">
                  <w:pPr>
                    <w:pStyle w:val="42"/>
                    <w:rPr>
                      <w:b/>
                      <w:bCs/>
                      <w:color w:val="auto"/>
                      <w:sz w:val="21"/>
                      <w:szCs w:val="21"/>
                    </w:rPr>
                  </w:pPr>
                  <w:r>
                    <w:rPr>
                      <w:b/>
                      <w:bCs/>
                      <w:color w:val="auto"/>
                      <w:sz w:val="21"/>
                      <w:szCs w:val="21"/>
                    </w:rPr>
                    <w:t>危废代码</w:t>
                  </w:r>
                </w:p>
              </w:tc>
              <w:tc>
                <w:tcPr>
                  <w:tcW w:w="642" w:type="dxa"/>
                  <w:vAlign w:val="center"/>
                </w:tcPr>
                <w:p w14:paraId="3AEF8A07">
                  <w:pPr>
                    <w:pStyle w:val="42"/>
                    <w:rPr>
                      <w:b/>
                      <w:bCs/>
                      <w:color w:val="auto"/>
                      <w:sz w:val="21"/>
                      <w:szCs w:val="21"/>
                    </w:rPr>
                  </w:pPr>
                  <w:r>
                    <w:rPr>
                      <w:b/>
                      <w:bCs/>
                      <w:color w:val="auto"/>
                      <w:sz w:val="21"/>
                      <w:szCs w:val="21"/>
                    </w:rPr>
                    <w:t>位置</w:t>
                  </w:r>
                </w:p>
              </w:tc>
              <w:tc>
                <w:tcPr>
                  <w:tcW w:w="744" w:type="dxa"/>
                  <w:vAlign w:val="center"/>
                </w:tcPr>
                <w:p w14:paraId="1776853F">
                  <w:pPr>
                    <w:pStyle w:val="42"/>
                    <w:rPr>
                      <w:b/>
                      <w:bCs/>
                      <w:color w:val="auto"/>
                      <w:sz w:val="21"/>
                      <w:szCs w:val="21"/>
                    </w:rPr>
                  </w:pPr>
                  <w:r>
                    <w:rPr>
                      <w:b/>
                      <w:bCs/>
                      <w:color w:val="auto"/>
                      <w:sz w:val="21"/>
                      <w:szCs w:val="21"/>
                    </w:rPr>
                    <w:t>占地面积</w:t>
                  </w:r>
                </w:p>
              </w:tc>
              <w:tc>
                <w:tcPr>
                  <w:tcW w:w="675" w:type="dxa"/>
                  <w:vAlign w:val="center"/>
                </w:tcPr>
                <w:p w14:paraId="1786CA66">
                  <w:pPr>
                    <w:pStyle w:val="42"/>
                    <w:rPr>
                      <w:b/>
                      <w:bCs/>
                      <w:color w:val="auto"/>
                      <w:sz w:val="21"/>
                      <w:szCs w:val="21"/>
                    </w:rPr>
                  </w:pPr>
                  <w:r>
                    <w:rPr>
                      <w:b/>
                      <w:bCs/>
                      <w:color w:val="auto"/>
                      <w:sz w:val="21"/>
                      <w:szCs w:val="21"/>
                    </w:rPr>
                    <w:t>储存方式</w:t>
                  </w:r>
                </w:p>
              </w:tc>
              <w:tc>
                <w:tcPr>
                  <w:tcW w:w="675" w:type="dxa"/>
                  <w:vAlign w:val="center"/>
                </w:tcPr>
                <w:p w14:paraId="7FD37A00">
                  <w:pPr>
                    <w:pStyle w:val="42"/>
                    <w:rPr>
                      <w:b/>
                      <w:bCs/>
                      <w:color w:val="auto"/>
                      <w:sz w:val="21"/>
                      <w:szCs w:val="21"/>
                    </w:rPr>
                  </w:pPr>
                  <w:r>
                    <w:rPr>
                      <w:b/>
                      <w:bCs/>
                      <w:color w:val="auto"/>
                      <w:sz w:val="21"/>
                      <w:szCs w:val="21"/>
                    </w:rPr>
                    <w:t>贮存能力</w:t>
                  </w:r>
                </w:p>
              </w:tc>
              <w:tc>
                <w:tcPr>
                  <w:tcW w:w="722" w:type="dxa"/>
                  <w:vAlign w:val="center"/>
                </w:tcPr>
                <w:p w14:paraId="0AFF1C7C">
                  <w:pPr>
                    <w:pStyle w:val="42"/>
                    <w:rPr>
                      <w:b/>
                      <w:bCs/>
                      <w:color w:val="auto"/>
                      <w:sz w:val="21"/>
                      <w:szCs w:val="21"/>
                    </w:rPr>
                  </w:pPr>
                  <w:r>
                    <w:rPr>
                      <w:b/>
                      <w:bCs/>
                      <w:color w:val="auto"/>
                      <w:sz w:val="21"/>
                      <w:szCs w:val="21"/>
                    </w:rPr>
                    <w:t>贮存周期</w:t>
                  </w:r>
                </w:p>
              </w:tc>
            </w:tr>
            <w:tr w14:paraId="53B5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72964736">
                  <w:pPr>
                    <w:pStyle w:val="42"/>
                    <w:rPr>
                      <w:color w:val="auto"/>
                      <w:sz w:val="21"/>
                      <w:szCs w:val="21"/>
                    </w:rPr>
                  </w:pPr>
                  <w:r>
                    <w:rPr>
                      <w:color w:val="auto"/>
                      <w:sz w:val="21"/>
                      <w:szCs w:val="21"/>
                    </w:rPr>
                    <w:t>1</w:t>
                  </w:r>
                </w:p>
              </w:tc>
              <w:tc>
                <w:tcPr>
                  <w:tcW w:w="680" w:type="dxa"/>
                  <w:vMerge w:val="restart"/>
                  <w:vAlign w:val="center"/>
                </w:tcPr>
                <w:p w14:paraId="6DF5116C">
                  <w:pPr>
                    <w:jc w:val="center"/>
                    <w:rPr>
                      <w:color w:val="auto"/>
                      <w:szCs w:val="21"/>
                    </w:rPr>
                  </w:pPr>
                  <w:r>
                    <w:rPr>
                      <w:color w:val="auto"/>
                      <w:sz w:val="21"/>
                      <w:szCs w:val="21"/>
                    </w:rPr>
                    <w:t>危废贮存</w:t>
                  </w:r>
                  <w:r>
                    <w:rPr>
                      <w:rFonts w:hint="eastAsia"/>
                      <w:color w:val="auto"/>
                      <w:sz w:val="21"/>
                      <w:szCs w:val="21"/>
                      <w:lang w:val="en-US" w:eastAsia="zh-CN"/>
                    </w:rPr>
                    <w:t>库</w:t>
                  </w:r>
                </w:p>
              </w:tc>
              <w:tc>
                <w:tcPr>
                  <w:tcW w:w="1595" w:type="dxa"/>
                  <w:vAlign w:val="center"/>
                </w:tcPr>
                <w:p w14:paraId="4ED4AC91">
                  <w:pPr>
                    <w:pStyle w:val="42"/>
                    <w:rPr>
                      <w:color w:val="auto"/>
                      <w:szCs w:val="21"/>
                    </w:rPr>
                  </w:pPr>
                  <w:r>
                    <w:rPr>
                      <w:color w:val="auto"/>
                      <w:sz w:val="21"/>
                      <w:szCs w:val="21"/>
                    </w:rPr>
                    <w:t>检修废物（含油废棉纱、抹布及其他含油污劳保产品）</w:t>
                  </w:r>
                </w:p>
              </w:tc>
              <w:tc>
                <w:tcPr>
                  <w:tcW w:w="819" w:type="dxa"/>
                  <w:vAlign w:val="center"/>
                </w:tcPr>
                <w:p w14:paraId="3BEC5864">
                  <w:pPr>
                    <w:pStyle w:val="42"/>
                    <w:rPr>
                      <w:color w:val="auto"/>
                      <w:sz w:val="21"/>
                      <w:szCs w:val="21"/>
                    </w:rPr>
                  </w:pPr>
                  <w:r>
                    <w:rPr>
                      <w:color w:val="auto"/>
                      <w:sz w:val="21"/>
                      <w:szCs w:val="21"/>
                    </w:rPr>
                    <w:t>HW49</w:t>
                  </w:r>
                </w:p>
              </w:tc>
              <w:tc>
                <w:tcPr>
                  <w:tcW w:w="1055" w:type="dxa"/>
                  <w:vAlign w:val="center"/>
                </w:tcPr>
                <w:p w14:paraId="232E19BF">
                  <w:pPr>
                    <w:pStyle w:val="42"/>
                    <w:rPr>
                      <w:color w:val="auto"/>
                      <w:sz w:val="21"/>
                      <w:szCs w:val="21"/>
                    </w:rPr>
                  </w:pPr>
                  <w:r>
                    <w:rPr>
                      <w:color w:val="auto"/>
                      <w:sz w:val="21"/>
                      <w:szCs w:val="21"/>
                    </w:rPr>
                    <w:t>900-041-49</w:t>
                  </w:r>
                </w:p>
              </w:tc>
              <w:tc>
                <w:tcPr>
                  <w:tcW w:w="642" w:type="dxa"/>
                  <w:vMerge w:val="restart"/>
                  <w:vAlign w:val="center"/>
                </w:tcPr>
                <w:p w14:paraId="3AAEE383">
                  <w:pPr>
                    <w:pStyle w:val="42"/>
                    <w:rPr>
                      <w:rFonts w:hint="default" w:eastAsia="宋体"/>
                      <w:color w:val="auto"/>
                      <w:sz w:val="21"/>
                      <w:szCs w:val="21"/>
                      <w:lang w:val="en-US" w:eastAsia="zh-CN"/>
                    </w:rPr>
                  </w:pPr>
                  <w:r>
                    <w:rPr>
                      <w:rFonts w:hint="eastAsia"/>
                      <w:color w:val="auto"/>
                      <w:sz w:val="21"/>
                      <w:szCs w:val="21"/>
                      <w:lang w:val="en-US" w:eastAsia="zh-CN"/>
                    </w:rPr>
                    <w:t>厂区西侧</w:t>
                  </w:r>
                </w:p>
              </w:tc>
              <w:tc>
                <w:tcPr>
                  <w:tcW w:w="744" w:type="dxa"/>
                  <w:vMerge w:val="restart"/>
                  <w:vAlign w:val="center"/>
                </w:tcPr>
                <w:p w14:paraId="3A59CD81">
                  <w:pPr>
                    <w:pStyle w:val="42"/>
                    <w:rPr>
                      <w:color w:val="auto"/>
                      <w:sz w:val="21"/>
                      <w:szCs w:val="21"/>
                    </w:rPr>
                  </w:pPr>
                  <w:r>
                    <w:rPr>
                      <w:rFonts w:hint="eastAsia"/>
                      <w:color w:val="auto"/>
                      <w:sz w:val="21"/>
                      <w:szCs w:val="21"/>
                      <w:lang w:val="en-US" w:eastAsia="zh-CN"/>
                    </w:rPr>
                    <w:t>60</w:t>
                  </w:r>
                  <w:r>
                    <w:rPr>
                      <w:color w:val="auto"/>
                      <w:sz w:val="21"/>
                      <w:szCs w:val="21"/>
                    </w:rPr>
                    <w:t>m</w:t>
                  </w:r>
                  <w:r>
                    <w:rPr>
                      <w:color w:val="auto"/>
                      <w:sz w:val="21"/>
                      <w:szCs w:val="21"/>
                      <w:vertAlign w:val="superscript"/>
                    </w:rPr>
                    <w:t>2</w:t>
                  </w:r>
                </w:p>
              </w:tc>
              <w:tc>
                <w:tcPr>
                  <w:tcW w:w="675" w:type="dxa"/>
                  <w:vMerge w:val="restart"/>
                  <w:vAlign w:val="center"/>
                </w:tcPr>
                <w:p w14:paraId="37C624E3">
                  <w:pPr>
                    <w:pStyle w:val="42"/>
                    <w:rPr>
                      <w:color w:val="auto"/>
                      <w:sz w:val="21"/>
                      <w:szCs w:val="21"/>
                    </w:rPr>
                  </w:pPr>
                  <w:r>
                    <w:rPr>
                      <w:color w:val="auto"/>
                      <w:sz w:val="21"/>
                      <w:szCs w:val="21"/>
                    </w:rPr>
                    <w:t>分类储存</w:t>
                  </w:r>
                </w:p>
              </w:tc>
              <w:tc>
                <w:tcPr>
                  <w:tcW w:w="675" w:type="dxa"/>
                  <w:vMerge w:val="restart"/>
                  <w:vAlign w:val="center"/>
                </w:tcPr>
                <w:p w14:paraId="4699D06C">
                  <w:pPr>
                    <w:pStyle w:val="42"/>
                    <w:rPr>
                      <w:rFonts w:hint="default" w:eastAsia="宋体"/>
                      <w:color w:val="auto"/>
                      <w:sz w:val="21"/>
                      <w:szCs w:val="21"/>
                      <w:lang w:val="en-US" w:eastAsia="zh-CN"/>
                    </w:rPr>
                  </w:pPr>
                  <w:r>
                    <w:rPr>
                      <w:rFonts w:hint="eastAsia"/>
                      <w:color w:val="auto"/>
                      <w:sz w:val="21"/>
                      <w:szCs w:val="21"/>
                      <w:lang w:val="en-US" w:eastAsia="zh-CN"/>
                    </w:rPr>
                    <w:t>60t</w:t>
                  </w:r>
                </w:p>
              </w:tc>
              <w:tc>
                <w:tcPr>
                  <w:tcW w:w="722" w:type="dxa"/>
                  <w:vMerge w:val="restart"/>
                  <w:vAlign w:val="center"/>
                </w:tcPr>
                <w:p w14:paraId="3B503E1C">
                  <w:pPr>
                    <w:pStyle w:val="42"/>
                    <w:rPr>
                      <w:color w:val="auto"/>
                      <w:sz w:val="21"/>
                      <w:szCs w:val="21"/>
                    </w:rPr>
                  </w:pPr>
                  <w:r>
                    <w:rPr>
                      <w:color w:val="auto"/>
                      <w:sz w:val="21"/>
                      <w:szCs w:val="21"/>
                    </w:rPr>
                    <w:t>半年</w:t>
                  </w:r>
                </w:p>
              </w:tc>
            </w:tr>
            <w:tr w14:paraId="64DD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6554144B">
                  <w:pPr>
                    <w:pStyle w:val="42"/>
                    <w:rPr>
                      <w:color w:val="auto"/>
                      <w:sz w:val="21"/>
                      <w:szCs w:val="21"/>
                    </w:rPr>
                  </w:pPr>
                  <w:r>
                    <w:rPr>
                      <w:color w:val="auto"/>
                      <w:sz w:val="21"/>
                      <w:szCs w:val="21"/>
                    </w:rPr>
                    <w:t>2</w:t>
                  </w:r>
                </w:p>
              </w:tc>
              <w:tc>
                <w:tcPr>
                  <w:tcW w:w="680" w:type="dxa"/>
                  <w:vMerge w:val="continue"/>
                </w:tcPr>
                <w:p w14:paraId="6DAD0205">
                  <w:pPr>
                    <w:rPr>
                      <w:color w:val="auto"/>
                      <w:szCs w:val="21"/>
                    </w:rPr>
                  </w:pPr>
                </w:p>
              </w:tc>
              <w:tc>
                <w:tcPr>
                  <w:tcW w:w="1595" w:type="dxa"/>
                  <w:vAlign w:val="center"/>
                </w:tcPr>
                <w:p w14:paraId="5CB7C467">
                  <w:pPr>
                    <w:pStyle w:val="42"/>
                    <w:rPr>
                      <w:color w:val="auto"/>
                      <w:szCs w:val="21"/>
                    </w:rPr>
                  </w:pPr>
                  <w:r>
                    <w:rPr>
                      <w:rFonts w:hint="eastAsia"/>
                      <w:color w:val="auto"/>
                      <w:sz w:val="21"/>
                      <w:szCs w:val="21"/>
                    </w:rPr>
                    <w:t>废机油</w:t>
                  </w:r>
                </w:p>
              </w:tc>
              <w:tc>
                <w:tcPr>
                  <w:tcW w:w="819" w:type="dxa"/>
                  <w:vAlign w:val="center"/>
                </w:tcPr>
                <w:p w14:paraId="7D3A16F2">
                  <w:pPr>
                    <w:pStyle w:val="42"/>
                    <w:rPr>
                      <w:color w:val="auto"/>
                      <w:sz w:val="21"/>
                      <w:szCs w:val="21"/>
                    </w:rPr>
                  </w:pPr>
                  <w:r>
                    <w:rPr>
                      <w:color w:val="auto"/>
                      <w:sz w:val="21"/>
                      <w:szCs w:val="21"/>
                    </w:rPr>
                    <w:t>HW08</w:t>
                  </w:r>
                </w:p>
              </w:tc>
              <w:tc>
                <w:tcPr>
                  <w:tcW w:w="1055" w:type="dxa"/>
                  <w:vAlign w:val="center"/>
                </w:tcPr>
                <w:p w14:paraId="14DD3BC2">
                  <w:pPr>
                    <w:pStyle w:val="42"/>
                    <w:rPr>
                      <w:color w:val="auto"/>
                      <w:sz w:val="21"/>
                      <w:szCs w:val="21"/>
                    </w:rPr>
                  </w:pPr>
                  <w:r>
                    <w:rPr>
                      <w:color w:val="auto"/>
                      <w:sz w:val="21"/>
                      <w:szCs w:val="21"/>
                    </w:rPr>
                    <w:t>900-249-08</w:t>
                  </w:r>
                </w:p>
              </w:tc>
              <w:tc>
                <w:tcPr>
                  <w:tcW w:w="642" w:type="dxa"/>
                  <w:vMerge w:val="continue"/>
                  <w:vAlign w:val="center"/>
                </w:tcPr>
                <w:p w14:paraId="5EC8DD8A">
                  <w:pPr>
                    <w:pStyle w:val="42"/>
                    <w:rPr>
                      <w:color w:val="auto"/>
                      <w:sz w:val="21"/>
                      <w:szCs w:val="21"/>
                    </w:rPr>
                  </w:pPr>
                </w:p>
              </w:tc>
              <w:tc>
                <w:tcPr>
                  <w:tcW w:w="744" w:type="dxa"/>
                  <w:vMerge w:val="continue"/>
                  <w:vAlign w:val="center"/>
                </w:tcPr>
                <w:p w14:paraId="29F49309">
                  <w:pPr>
                    <w:pStyle w:val="42"/>
                    <w:rPr>
                      <w:color w:val="auto"/>
                      <w:sz w:val="21"/>
                      <w:szCs w:val="21"/>
                    </w:rPr>
                  </w:pPr>
                </w:p>
              </w:tc>
              <w:tc>
                <w:tcPr>
                  <w:tcW w:w="675" w:type="dxa"/>
                  <w:vMerge w:val="continue"/>
                  <w:vAlign w:val="center"/>
                </w:tcPr>
                <w:p w14:paraId="52B10B83">
                  <w:pPr>
                    <w:pStyle w:val="42"/>
                    <w:rPr>
                      <w:color w:val="auto"/>
                      <w:sz w:val="21"/>
                      <w:szCs w:val="21"/>
                    </w:rPr>
                  </w:pPr>
                </w:p>
              </w:tc>
              <w:tc>
                <w:tcPr>
                  <w:tcW w:w="675" w:type="dxa"/>
                  <w:vMerge w:val="continue"/>
                  <w:vAlign w:val="center"/>
                </w:tcPr>
                <w:p w14:paraId="04C3027A">
                  <w:pPr>
                    <w:pStyle w:val="42"/>
                    <w:rPr>
                      <w:color w:val="auto"/>
                      <w:sz w:val="21"/>
                      <w:szCs w:val="21"/>
                    </w:rPr>
                  </w:pPr>
                </w:p>
              </w:tc>
              <w:tc>
                <w:tcPr>
                  <w:tcW w:w="722" w:type="dxa"/>
                  <w:vMerge w:val="continue"/>
                  <w:vAlign w:val="center"/>
                </w:tcPr>
                <w:p w14:paraId="2E7FB18F">
                  <w:pPr>
                    <w:pStyle w:val="42"/>
                    <w:rPr>
                      <w:color w:val="auto"/>
                      <w:sz w:val="21"/>
                      <w:szCs w:val="21"/>
                    </w:rPr>
                  </w:pPr>
                </w:p>
              </w:tc>
            </w:tr>
            <w:tr w14:paraId="259E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31113189">
                  <w:pPr>
                    <w:pStyle w:val="42"/>
                    <w:rPr>
                      <w:rFonts w:hint="eastAsia" w:eastAsia="宋体"/>
                      <w:color w:val="auto"/>
                      <w:sz w:val="21"/>
                      <w:szCs w:val="21"/>
                      <w:lang w:val="en-US" w:eastAsia="zh-CN"/>
                    </w:rPr>
                  </w:pPr>
                  <w:r>
                    <w:rPr>
                      <w:rFonts w:hint="eastAsia"/>
                      <w:color w:val="auto"/>
                      <w:sz w:val="21"/>
                      <w:szCs w:val="21"/>
                      <w:lang w:val="en-US" w:eastAsia="zh-CN"/>
                    </w:rPr>
                    <w:t>3</w:t>
                  </w:r>
                </w:p>
              </w:tc>
              <w:tc>
                <w:tcPr>
                  <w:tcW w:w="680" w:type="dxa"/>
                  <w:vMerge w:val="continue"/>
                </w:tcPr>
                <w:p w14:paraId="2B3807C4">
                  <w:pPr>
                    <w:rPr>
                      <w:color w:val="auto"/>
                      <w:szCs w:val="21"/>
                    </w:rPr>
                  </w:pPr>
                </w:p>
              </w:tc>
              <w:tc>
                <w:tcPr>
                  <w:tcW w:w="1595" w:type="dxa"/>
                  <w:vAlign w:val="center"/>
                </w:tcPr>
                <w:p w14:paraId="24EB1E7D">
                  <w:pPr>
                    <w:pStyle w:val="42"/>
                    <w:rPr>
                      <w:rFonts w:hint="eastAsia"/>
                      <w:color w:val="auto"/>
                      <w:szCs w:val="21"/>
                    </w:rPr>
                  </w:pPr>
                  <w:r>
                    <w:rPr>
                      <w:rFonts w:hint="eastAsia"/>
                      <w:color w:val="auto"/>
                      <w:sz w:val="21"/>
                      <w:szCs w:val="21"/>
                    </w:rPr>
                    <w:t>废包装</w:t>
                  </w:r>
                </w:p>
              </w:tc>
              <w:tc>
                <w:tcPr>
                  <w:tcW w:w="819" w:type="dxa"/>
                  <w:vAlign w:val="center"/>
                </w:tcPr>
                <w:p w14:paraId="53DDD7FC">
                  <w:pPr>
                    <w:pStyle w:val="42"/>
                    <w:rPr>
                      <w:color w:val="auto"/>
                      <w:sz w:val="21"/>
                      <w:szCs w:val="21"/>
                    </w:rPr>
                  </w:pPr>
                  <w:r>
                    <w:rPr>
                      <w:rFonts w:hint="eastAsia"/>
                      <w:color w:val="auto"/>
                      <w:kern w:val="0"/>
                      <w:szCs w:val="21"/>
                      <w:lang w:val="en-US" w:eastAsia="zh-CN"/>
                    </w:rPr>
                    <w:t>HW04</w:t>
                  </w:r>
                </w:p>
              </w:tc>
              <w:tc>
                <w:tcPr>
                  <w:tcW w:w="1055" w:type="dxa"/>
                  <w:vAlign w:val="center"/>
                </w:tcPr>
                <w:p w14:paraId="3BBF7906">
                  <w:pPr>
                    <w:pStyle w:val="42"/>
                    <w:rPr>
                      <w:color w:val="auto"/>
                      <w:sz w:val="21"/>
                      <w:szCs w:val="21"/>
                    </w:rPr>
                  </w:pPr>
                  <w:r>
                    <w:rPr>
                      <w:rFonts w:hint="eastAsia"/>
                      <w:color w:val="auto"/>
                      <w:kern w:val="0"/>
                      <w:szCs w:val="21"/>
                      <w:lang w:val="en-US" w:eastAsia="zh-CN"/>
                    </w:rPr>
                    <w:t>900-003-04</w:t>
                  </w:r>
                </w:p>
              </w:tc>
              <w:tc>
                <w:tcPr>
                  <w:tcW w:w="642" w:type="dxa"/>
                  <w:vMerge w:val="continue"/>
                  <w:vAlign w:val="center"/>
                </w:tcPr>
                <w:p w14:paraId="5AB215B4">
                  <w:pPr>
                    <w:pStyle w:val="42"/>
                    <w:rPr>
                      <w:color w:val="auto"/>
                      <w:sz w:val="21"/>
                      <w:szCs w:val="21"/>
                    </w:rPr>
                  </w:pPr>
                </w:p>
              </w:tc>
              <w:tc>
                <w:tcPr>
                  <w:tcW w:w="744" w:type="dxa"/>
                  <w:vMerge w:val="continue"/>
                  <w:vAlign w:val="center"/>
                </w:tcPr>
                <w:p w14:paraId="2687E5D6">
                  <w:pPr>
                    <w:pStyle w:val="42"/>
                    <w:rPr>
                      <w:color w:val="auto"/>
                      <w:sz w:val="21"/>
                      <w:szCs w:val="21"/>
                    </w:rPr>
                  </w:pPr>
                </w:p>
              </w:tc>
              <w:tc>
                <w:tcPr>
                  <w:tcW w:w="675" w:type="dxa"/>
                  <w:vMerge w:val="continue"/>
                  <w:vAlign w:val="center"/>
                </w:tcPr>
                <w:p w14:paraId="406A8672">
                  <w:pPr>
                    <w:pStyle w:val="42"/>
                    <w:rPr>
                      <w:color w:val="auto"/>
                      <w:sz w:val="21"/>
                      <w:szCs w:val="21"/>
                    </w:rPr>
                  </w:pPr>
                </w:p>
              </w:tc>
              <w:tc>
                <w:tcPr>
                  <w:tcW w:w="675" w:type="dxa"/>
                  <w:vMerge w:val="continue"/>
                  <w:vAlign w:val="center"/>
                </w:tcPr>
                <w:p w14:paraId="090C60CF">
                  <w:pPr>
                    <w:pStyle w:val="42"/>
                    <w:rPr>
                      <w:color w:val="auto"/>
                      <w:sz w:val="21"/>
                      <w:szCs w:val="21"/>
                    </w:rPr>
                  </w:pPr>
                </w:p>
              </w:tc>
              <w:tc>
                <w:tcPr>
                  <w:tcW w:w="722" w:type="dxa"/>
                  <w:vMerge w:val="continue"/>
                  <w:vAlign w:val="center"/>
                </w:tcPr>
                <w:p w14:paraId="3F56C75F">
                  <w:pPr>
                    <w:pStyle w:val="42"/>
                    <w:rPr>
                      <w:color w:val="auto"/>
                      <w:sz w:val="21"/>
                      <w:szCs w:val="21"/>
                    </w:rPr>
                  </w:pPr>
                </w:p>
              </w:tc>
            </w:tr>
            <w:tr w14:paraId="5E7B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53C45325">
                  <w:pPr>
                    <w:pStyle w:val="42"/>
                    <w:rPr>
                      <w:rFonts w:hint="eastAsia" w:eastAsia="宋体"/>
                      <w:color w:val="auto"/>
                      <w:sz w:val="21"/>
                      <w:szCs w:val="21"/>
                      <w:lang w:val="en-US" w:eastAsia="zh-CN"/>
                    </w:rPr>
                  </w:pPr>
                  <w:r>
                    <w:rPr>
                      <w:rFonts w:hint="eastAsia"/>
                      <w:color w:val="auto"/>
                      <w:sz w:val="21"/>
                      <w:szCs w:val="21"/>
                      <w:lang w:val="en-US" w:eastAsia="zh-CN"/>
                    </w:rPr>
                    <w:t>4</w:t>
                  </w:r>
                </w:p>
              </w:tc>
              <w:tc>
                <w:tcPr>
                  <w:tcW w:w="680" w:type="dxa"/>
                  <w:vMerge w:val="continue"/>
                </w:tcPr>
                <w:p w14:paraId="4AB35077">
                  <w:pPr>
                    <w:rPr>
                      <w:color w:val="auto"/>
                      <w:szCs w:val="21"/>
                    </w:rPr>
                  </w:pPr>
                </w:p>
              </w:tc>
              <w:tc>
                <w:tcPr>
                  <w:tcW w:w="1595" w:type="dxa"/>
                  <w:vAlign w:val="center"/>
                </w:tcPr>
                <w:p w14:paraId="529C684B">
                  <w:pPr>
                    <w:pStyle w:val="42"/>
                    <w:rPr>
                      <w:rFonts w:hint="eastAsia"/>
                      <w:color w:val="auto"/>
                      <w:szCs w:val="21"/>
                    </w:rPr>
                  </w:pPr>
                  <w:r>
                    <w:rPr>
                      <w:rFonts w:hint="eastAsia"/>
                      <w:color w:val="auto"/>
                      <w:sz w:val="21"/>
                      <w:szCs w:val="21"/>
                    </w:rPr>
                    <w:t>废活性炭</w:t>
                  </w:r>
                </w:p>
              </w:tc>
              <w:tc>
                <w:tcPr>
                  <w:tcW w:w="819" w:type="dxa"/>
                  <w:vAlign w:val="center"/>
                </w:tcPr>
                <w:p w14:paraId="213655F7">
                  <w:pPr>
                    <w:pStyle w:val="42"/>
                    <w:rPr>
                      <w:color w:val="auto"/>
                      <w:sz w:val="21"/>
                      <w:szCs w:val="21"/>
                    </w:rPr>
                  </w:pPr>
                  <w:r>
                    <w:rPr>
                      <w:rFonts w:hint="default"/>
                      <w:color w:val="auto"/>
                      <w:kern w:val="0"/>
                      <w:szCs w:val="21"/>
                      <w:lang w:val="en-US" w:eastAsia="zh-CN"/>
                    </w:rPr>
                    <w:t>HW49</w:t>
                  </w:r>
                </w:p>
              </w:tc>
              <w:tc>
                <w:tcPr>
                  <w:tcW w:w="1055" w:type="dxa"/>
                  <w:vAlign w:val="center"/>
                </w:tcPr>
                <w:p w14:paraId="1A8717F0">
                  <w:pPr>
                    <w:pStyle w:val="42"/>
                    <w:rPr>
                      <w:color w:val="auto"/>
                      <w:sz w:val="21"/>
                      <w:szCs w:val="21"/>
                    </w:rPr>
                  </w:pPr>
                  <w:r>
                    <w:rPr>
                      <w:rFonts w:hint="default"/>
                      <w:color w:val="auto"/>
                      <w:kern w:val="0"/>
                      <w:szCs w:val="21"/>
                      <w:lang w:val="en-US" w:eastAsia="zh-CN"/>
                    </w:rPr>
                    <w:t>900-039-49</w:t>
                  </w:r>
                </w:p>
              </w:tc>
              <w:tc>
                <w:tcPr>
                  <w:tcW w:w="642" w:type="dxa"/>
                  <w:vMerge w:val="continue"/>
                  <w:vAlign w:val="center"/>
                </w:tcPr>
                <w:p w14:paraId="753A731F">
                  <w:pPr>
                    <w:pStyle w:val="42"/>
                    <w:rPr>
                      <w:color w:val="auto"/>
                      <w:sz w:val="21"/>
                      <w:szCs w:val="21"/>
                    </w:rPr>
                  </w:pPr>
                </w:p>
              </w:tc>
              <w:tc>
                <w:tcPr>
                  <w:tcW w:w="744" w:type="dxa"/>
                  <w:vMerge w:val="continue"/>
                  <w:vAlign w:val="center"/>
                </w:tcPr>
                <w:p w14:paraId="2BBB833A">
                  <w:pPr>
                    <w:pStyle w:val="42"/>
                    <w:rPr>
                      <w:color w:val="auto"/>
                      <w:sz w:val="21"/>
                      <w:szCs w:val="21"/>
                    </w:rPr>
                  </w:pPr>
                </w:p>
              </w:tc>
              <w:tc>
                <w:tcPr>
                  <w:tcW w:w="675" w:type="dxa"/>
                  <w:vMerge w:val="continue"/>
                  <w:vAlign w:val="center"/>
                </w:tcPr>
                <w:p w14:paraId="1F32276D">
                  <w:pPr>
                    <w:pStyle w:val="42"/>
                    <w:rPr>
                      <w:color w:val="auto"/>
                      <w:sz w:val="21"/>
                      <w:szCs w:val="21"/>
                    </w:rPr>
                  </w:pPr>
                </w:p>
              </w:tc>
              <w:tc>
                <w:tcPr>
                  <w:tcW w:w="675" w:type="dxa"/>
                  <w:vMerge w:val="continue"/>
                  <w:vAlign w:val="center"/>
                </w:tcPr>
                <w:p w14:paraId="154B5A20">
                  <w:pPr>
                    <w:pStyle w:val="42"/>
                    <w:rPr>
                      <w:color w:val="auto"/>
                      <w:sz w:val="21"/>
                      <w:szCs w:val="21"/>
                    </w:rPr>
                  </w:pPr>
                </w:p>
              </w:tc>
              <w:tc>
                <w:tcPr>
                  <w:tcW w:w="722" w:type="dxa"/>
                  <w:vMerge w:val="continue"/>
                  <w:vAlign w:val="center"/>
                </w:tcPr>
                <w:p w14:paraId="7A35FAF4">
                  <w:pPr>
                    <w:pStyle w:val="42"/>
                    <w:rPr>
                      <w:color w:val="auto"/>
                      <w:sz w:val="21"/>
                      <w:szCs w:val="21"/>
                    </w:rPr>
                  </w:pPr>
                </w:p>
              </w:tc>
            </w:tr>
            <w:tr w14:paraId="49E6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088A14A5">
                  <w:pPr>
                    <w:pStyle w:val="42"/>
                    <w:rPr>
                      <w:rFonts w:hint="default"/>
                      <w:color w:val="auto"/>
                      <w:sz w:val="21"/>
                      <w:szCs w:val="21"/>
                      <w:lang w:val="en-US" w:eastAsia="zh-CN"/>
                    </w:rPr>
                  </w:pPr>
                  <w:r>
                    <w:rPr>
                      <w:rFonts w:hint="eastAsia"/>
                      <w:color w:val="auto"/>
                      <w:sz w:val="21"/>
                      <w:szCs w:val="21"/>
                      <w:lang w:val="en-US" w:eastAsia="zh-CN"/>
                    </w:rPr>
                    <w:t>5</w:t>
                  </w:r>
                </w:p>
              </w:tc>
              <w:tc>
                <w:tcPr>
                  <w:tcW w:w="680" w:type="dxa"/>
                  <w:vMerge w:val="continue"/>
                </w:tcPr>
                <w:p w14:paraId="586BD80F">
                  <w:pPr>
                    <w:rPr>
                      <w:color w:val="auto"/>
                      <w:szCs w:val="21"/>
                    </w:rPr>
                  </w:pPr>
                </w:p>
              </w:tc>
              <w:tc>
                <w:tcPr>
                  <w:tcW w:w="1595" w:type="dxa"/>
                  <w:vAlign w:val="center"/>
                </w:tcPr>
                <w:p w14:paraId="18F455DF">
                  <w:pPr>
                    <w:pStyle w:val="42"/>
                    <w:rPr>
                      <w:rFonts w:hint="eastAsia"/>
                      <w:color w:val="auto"/>
                      <w:sz w:val="21"/>
                      <w:szCs w:val="21"/>
                    </w:rPr>
                  </w:pPr>
                  <w:r>
                    <w:rPr>
                      <w:rFonts w:hint="eastAsia"/>
                      <w:color w:val="auto"/>
                      <w:sz w:val="21"/>
                      <w:szCs w:val="21"/>
                    </w:rPr>
                    <w:t>检验废物</w:t>
                  </w:r>
                </w:p>
              </w:tc>
              <w:tc>
                <w:tcPr>
                  <w:tcW w:w="819" w:type="dxa"/>
                  <w:vAlign w:val="center"/>
                </w:tcPr>
                <w:p w14:paraId="2C7914D9">
                  <w:pPr>
                    <w:pStyle w:val="42"/>
                    <w:rPr>
                      <w:rFonts w:hint="default"/>
                      <w:color w:val="auto"/>
                      <w:kern w:val="0"/>
                      <w:szCs w:val="21"/>
                      <w:lang w:val="en-US" w:eastAsia="zh-CN"/>
                    </w:rPr>
                  </w:pPr>
                  <w:r>
                    <w:rPr>
                      <w:rFonts w:hint="default"/>
                      <w:color w:val="auto"/>
                      <w:kern w:val="0"/>
                      <w:szCs w:val="21"/>
                      <w:lang w:val="en-US" w:eastAsia="zh-CN"/>
                    </w:rPr>
                    <w:t>HW49</w:t>
                  </w:r>
                </w:p>
              </w:tc>
              <w:tc>
                <w:tcPr>
                  <w:tcW w:w="1055" w:type="dxa"/>
                  <w:vAlign w:val="center"/>
                </w:tcPr>
                <w:p w14:paraId="42DFD5CF">
                  <w:pPr>
                    <w:pStyle w:val="42"/>
                    <w:rPr>
                      <w:rFonts w:hint="default"/>
                      <w:color w:val="auto"/>
                      <w:kern w:val="0"/>
                      <w:szCs w:val="21"/>
                      <w:lang w:val="en-US" w:eastAsia="zh-CN"/>
                    </w:rPr>
                  </w:pPr>
                  <w:r>
                    <w:rPr>
                      <w:rFonts w:hint="default"/>
                      <w:color w:val="auto"/>
                      <w:kern w:val="0"/>
                      <w:szCs w:val="21"/>
                      <w:lang w:val="en-US" w:eastAsia="zh-CN"/>
                    </w:rPr>
                    <w:t>900-047-49</w:t>
                  </w:r>
                </w:p>
              </w:tc>
              <w:tc>
                <w:tcPr>
                  <w:tcW w:w="642" w:type="dxa"/>
                  <w:vMerge w:val="continue"/>
                  <w:vAlign w:val="center"/>
                </w:tcPr>
                <w:p w14:paraId="7241A7CC">
                  <w:pPr>
                    <w:pStyle w:val="42"/>
                    <w:rPr>
                      <w:color w:val="auto"/>
                      <w:sz w:val="21"/>
                      <w:szCs w:val="21"/>
                    </w:rPr>
                  </w:pPr>
                </w:p>
              </w:tc>
              <w:tc>
                <w:tcPr>
                  <w:tcW w:w="744" w:type="dxa"/>
                  <w:vMerge w:val="continue"/>
                  <w:vAlign w:val="center"/>
                </w:tcPr>
                <w:p w14:paraId="5F1F159F">
                  <w:pPr>
                    <w:pStyle w:val="42"/>
                    <w:rPr>
                      <w:color w:val="auto"/>
                      <w:sz w:val="21"/>
                      <w:szCs w:val="21"/>
                    </w:rPr>
                  </w:pPr>
                </w:p>
              </w:tc>
              <w:tc>
                <w:tcPr>
                  <w:tcW w:w="675" w:type="dxa"/>
                  <w:vMerge w:val="continue"/>
                  <w:vAlign w:val="center"/>
                </w:tcPr>
                <w:p w14:paraId="738416FC">
                  <w:pPr>
                    <w:pStyle w:val="42"/>
                    <w:rPr>
                      <w:color w:val="auto"/>
                      <w:sz w:val="21"/>
                      <w:szCs w:val="21"/>
                    </w:rPr>
                  </w:pPr>
                </w:p>
              </w:tc>
              <w:tc>
                <w:tcPr>
                  <w:tcW w:w="675" w:type="dxa"/>
                  <w:vMerge w:val="continue"/>
                  <w:vAlign w:val="center"/>
                </w:tcPr>
                <w:p w14:paraId="38339B57">
                  <w:pPr>
                    <w:pStyle w:val="42"/>
                    <w:rPr>
                      <w:color w:val="auto"/>
                      <w:sz w:val="21"/>
                      <w:szCs w:val="21"/>
                    </w:rPr>
                  </w:pPr>
                </w:p>
              </w:tc>
              <w:tc>
                <w:tcPr>
                  <w:tcW w:w="722" w:type="dxa"/>
                  <w:vMerge w:val="continue"/>
                  <w:vAlign w:val="center"/>
                </w:tcPr>
                <w:p w14:paraId="2E353606">
                  <w:pPr>
                    <w:pStyle w:val="42"/>
                    <w:rPr>
                      <w:color w:val="auto"/>
                      <w:sz w:val="21"/>
                      <w:szCs w:val="21"/>
                    </w:rPr>
                  </w:pPr>
                </w:p>
              </w:tc>
            </w:tr>
          </w:tbl>
          <w:p w14:paraId="23E0A6C5">
            <w:pPr>
              <w:pStyle w:val="18"/>
              <w:rPr>
                <w:color w:val="auto"/>
              </w:rPr>
            </w:pPr>
            <w:r>
              <w:rPr>
                <w:rFonts w:hint="eastAsia"/>
                <w:color w:val="auto"/>
              </w:rPr>
              <w:t>（3）环境管理要求</w:t>
            </w:r>
          </w:p>
          <w:p w14:paraId="04E28DF3">
            <w:pPr>
              <w:pStyle w:val="18"/>
              <w:rPr>
                <w:color w:val="auto"/>
              </w:rPr>
            </w:pPr>
            <w:r>
              <w:rPr>
                <w:rFonts w:hint="eastAsia"/>
                <w:color w:val="auto"/>
              </w:rPr>
              <w:t>根据《中华人民共和国固体废物污染环境防治法》（2020年4月29日修订）本评价针对项目产生的一般工业固废和危险废物的后续管理，提出相关的要求，具体如下：</w:t>
            </w:r>
          </w:p>
          <w:p w14:paraId="1D2F3BFB">
            <w:pPr>
              <w:pStyle w:val="18"/>
              <w:rPr>
                <w:color w:val="auto"/>
              </w:rPr>
            </w:pPr>
            <w:r>
              <w:rPr>
                <w:rFonts w:hint="eastAsia"/>
                <w:color w:val="auto"/>
              </w:rPr>
              <w:t>1）一般工业固废环境管理要求</w:t>
            </w:r>
          </w:p>
          <w:p w14:paraId="1F4FD2E1">
            <w:pPr>
              <w:pStyle w:val="18"/>
              <w:rPr>
                <w:color w:val="auto"/>
              </w:rPr>
            </w:pPr>
            <w:r>
              <w:rPr>
                <w:rFonts w:hint="eastAsia"/>
                <w:color w:val="auto"/>
              </w:rPr>
              <w:t>①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18BE4AA">
            <w:pPr>
              <w:pStyle w:val="18"/>
              <w:rPr>
                <w:color w:val="auto"/>
              </w:rPr>
            </w:pPr>
            <w:r>
              <w:rPr>
                <w:rFonts w:hint="eastAsia"/>
                <w:color w:val="auto"/>
              </w:rPr>
              <w:t>②禁止向生活垃圾收集设施中投放工业固体废物。</w:t>
            </w:r>
          </w:p>
          <w:p w14:paraId="58586D78">
            <w:pPr>
              <w:pStyle w:val="18"/>
              <w:rPr>
                <w:color w:val="auto"/>
              </w:rPr>
            </w:pPr>
            <w:r>
              <w:rPr>
                <w:rFonts w:hint="eastAsia"/>
                <w:color w:val="auto"/>
              </w:rPr>
              <w:t>③产生工业固体废物的单位委托他人运输、利用、处置工业固体废物的，应当对受托方的主体资格和技术能力进行核实，依法签订书面合同，在合同中约定污染防治要求。</w:t>
            </w:r>
          </w:p>
          <w:p w14:paraId="78D23A80">
            <w:pPr>
              <w:pStyle w:val="18"/>
              <w:rPr>
                <w:color w:val="auto"/>
              </w:rPr>
            </w:pPr>
            <w:r>
              <w:rPr>
                <w:rFonts w:hint="eastAsia"/>
                <w:color w:val="auto"/>
              </w:rPr>
              <w:t>④受托方运输、利用、处置工业固体废物，应当依照有关法律法规的规定和合同约定履行污染防治要求，并将运输、利用、处置情况告知产生工业固体废物的单位。</w:t>
            </w:r>
          </w:p>
          <w:p w14:paraId="473CE895">
            <w:pPr>
              <w:pStyle w:val="18"/>
              <w:rPr>
                <w:color w:val="auto"/>
              </w:rPr>
            </w:pPr>
            <w:r>
              <w:rPr>
                <w:rFonts w:hint="eastAsia"/>
                <w:color w:val="auto"/>
              </w:rPr>
              <w:t>2）危险废物环境管理要求</w:t>
            </w:r>
          </w:p>
          <w:p w14:paraId="471FC4D1">
            <w:pPr>
              <w:pStyle w:val="18"/>
              <w:rPr>
                <w:color w:val="auto"/>
              </w:rPr>
            </w:pPr>
            <w:r>
              <w:rPr>
                <w:rFonts w:hint="eastAsia"/>
                <w:color w:val="auto"/>
              </w:rPr>
              <w:t>本项目对危险废物的管理提出以下要求。</w:t>
            </w:r>
          </w:p>
          <w:p w14:paraId="7A4352D1">
            <w:pPr>
              <w:pStyle w:val="18"/>
              <w:rPr>
                <w:color w:val="auto"/>
              </w:rPr>
            </w:pPr>
            <w:r>
              <w:rPr>
                <w:rFonts w:hint="eastAsia"/>
                <w:color w:val="auto"/>
              </w:rPr>
              <w:t>A、</w:t>
            </w:r>
            <w:r>
              <w:rPr>
                <w:rFonts w:hint="eastAsia"/>
                <w:color w:val="auto"/>
                <w:lang w:eastAsia="zh-CN"/>
              </w:rPr>
              <w:t>危废贮存库</w:t>
            </w:r>
            <w:r>
              <w:rPr>
                <w:rFonts w:hint="eastAsia"/>
                <w:color w:val="auto"/>
              </w:rPr>
              <w:t>设置要求</w:t>
            </w:r>
          </w:p>
          <w:p w14:paraId="3B841611">
            <w:pPr>
              <w:pStyle w:val="18"/>
              <w:rPr>
                <w:color w:val="auto"/>
              </w:rPr>
            </w:pPr>
            <w:r>
              <w:rPr>
                <w:rFonts w:hint="eastAsia"/>
                <w:color w:val="auto"/>
                <w:lang w:eastAsia="zh-CN"/>
              </w:rPr>
              <w:t>危废贮存库</w:t>
            </w:r>
            <w:r>
              <w:rPr>
                <w:rFonts w:hint="eastAsia"/>
                <w:color w:val="auto"/>
              </w:rPr>
              <w:t>需按照《危险废物贮存污染控制标准》（GB18597-2023）要求进行建设：</w:t>
            </w:r>
          </w:p>
          <w:p w14:paraId="182CD1D0">
            <w:pPr>
              <w:pStyle w:val="18"/>
              <w:rPr>
                <w:color w:val="auto"/>
              </w:rPr>
            </w:pPr>
            <w:r>
              <w:rPr>
                <w:rFonts w:hint="eastAsia"/>
                <w:color w:val="auto"/>
              </w:rPr>
              <w:t>①</w:t>
            </w:r>
            <w:r>
              <w:rPr>
                <w:rFonts w:hint="eastAsia"/>
                <w:color w:val="auto"/>
                <w:lang w:eastAsia="zh-CN"/>
              </w:rPr>
              <w:t>危废贮存库</w:t>
            </w:r>
            <w:r>
              <w:rPr>
                <w:rFonts w:hint="eastAsia"/>
                <w:color w:val="auto"/>
              </w:rPr>
              <w:t>应根据危险废物的形态、物理化学性质、包装形式和污染物迁移途径，采取必要的防风、防晒、防雨、防漏、防渗、防腐以及其他环境污染防治措施，不应露天堆放危险废物。</w:t>
            </w:r>
          </w:p>
          <w:p w14:paraId="354CB2FA">
            <w:pPr>
              <w:pStyle w:val="18"/>
              <w:rPr>
                <w:color w:val="auto"/>
              </w:rPr>
            </w:pPr>
            <w:r>
              <w:rPr>
                <w:rFonts w:hint="eastAsia"/>
                <w:color w:val="auto"/>
              </w:rPr>
              <w:t>②</w:t>
            </w:r>
            <w:r>
              <w:rPr>
                <w:rFonts w:hint="eastAsia"/>
                <w:color w:val="auto"/>
                <w:lang w:eastAsia="zh-CN"/>
              </w:rPr>
              <w:t>危废贮存库</w:t>
            </w:r>
            <w:r>
              <w:rPr>
                <w:rFonts w:hint="eastAsia"/>
                <w:color w:val="auto"/>
              </w:rPr>
              <w:t>应按危废类别、数量、形态、物理化学性质和污染防治等要求设置贮存分区，避免不相容的危险废物接触、混合。</w:t>
            </w:r>
          </w:p>
          <w:p w14:paraId="6DDA4294">
            <w:pPr>
              <w:pStyle w:val="18"/>
              <w:rPr>
                <w:color w:val="auto"/>
              </w:rPr>
            </w:pPr>
            <w:r>
              <w:rPr>
                <w:rFonts w:hint="eastAsia"/>
                <w:color w:val="auto"/>
              </w:rPr>
              <w:t>③危废间应采取管理措施防止无关人员进入。</w:t>
            </w:r>
          </w:p>
          <w:p w14:paraId="70C74EF9">
            <w:pPr>
              <w:pStyle w:val="18"/>
              <w:rPr>
                <w:color w:val="auto"/>
              </w:rPr>
            </w:pPr>
            <w:r>
              <w:rPr>
                <w:rFonts w:hint="eastAsia"/>
                <w:color w:val="auto"/>
              </w:rPr>
              <w:t>④</w:t>
            </w:r>
            <w:r>
              <w:rPr>
                <w:rFonts w:hint="eastAsia"/>
                <w:color w:val="auto"/>
                <w:lang w:eastAsia="zh-CN"/>
              </w:rPr>
              <w:t>危废贮存库</w:t>
            </w:r>
            <w:r>
              <w:rPr>
                <w:rFonts w:hint="eastAsia"/>
                <w:color w:val="auto"/>
              </w:rPr>
              <w:t>地面和裙角采取表面防渗措施，渗透系数不大于10</w:t>
            </w:r>
            <w:r>
              <w:rPr>
                <w:rFonts w:hint="eastAsia"/>
                <w:color w:val="auto"/>
                <w:vertAlign w:val="superscript"/>
                <w:lang w:val="en-US" w:eastAsia="zh-CN"/>
              </w:rPr>
              <w:t>-10</w:t>
            </w:r>
            <w:r>
              <w:rPr>
                <w:rFonts w:hint="eastAsia"/>
                <w:color w:val="auto"/>
              </w:rPr>
              <w:t>cm/s；本次拟在现有的防渗混凝土层上方增设至少2mm厚环氧树脂等人工防渗材料，为避免跑冒滴漏，在废液贮存分区设置防渗不锈钢托盘。设计存储年限不超过1年，过程按危险废物管理要求从严管理，存放过程中做到分区存放，对危废进出库进行详细台账记录。</w:t>
            </w:r>
          </w:p>
          <w:p w14:paraId="36DFD281">
            <w:pPr>
              <w:pStyle w:val="18"/>
              <w:rPr>
                <w:color w:val="auto"/>
              </w:rPr>
            </w:pPr>
            <w:r>
              <w:rPr>
                <w:rFonts w:hint="eastAsia"/>
                <w:color w:val="auto"/>
              </w:rPr>
              <w:t>⑤危险废物集中分类贮存，并按《危险废物识别标志设置技术规范》（HJ1276-2022）贴上相应标识标牌。</w:t>
            </w:r>
          </w:p>
          <w:p w14:paraId="5DD17ADE">
            <w:pPr>
              <w:pStyle w:val="18"/>
              <w:rPr>
                <w:color w:val="auto"/>
              </w:rPr>
            </w:pPr>
            <w:r>
              <w:rPr>
                <w:rFonts w:hint="eastAsia"/>
                <w:color w:val="auto"/>
              </w:rPr>
              <w:t>B、危险废物收集、暂存管理要求</w:t>
            </w:r>
          </w:p>
          <w:p w14:paraId="0104E473">
            <w:pPr>
              <w:pStyle w:val="18"/>
              <w:rPr>
                <w:color w:val="auto"/>
              </w:rPr>
            </w:pPr>
            <w:r>
              <w:rPr>
                <w:rFonts w:hint="eastAsia"/>
                <w:color w:val="auto"/>
              </w:rPr>
              <w:t>本项目危险废物收集、暂存管理要求具体如下：</w:t>
            </w:r>
          </w:p>
          <w:p w14:paraId="70AE99D3">
            <w:pPr>
              <w:pStyle w:val="18"/>
              <w:rPr>
                <w:color w:val="auto"/>
              </w:rPr>
            </w:pPr>
            <w:r>
              <w:rPr>
                <w:rFonts w:hint="eastAsia"/>
                <w:color w:val="auto"/>
              </w:rPr>
              <w:t>①危险废物的收集、暂存活动必须遵守国家和地方的有关规定。</w:t>
            </w:r>
          </w:p>
          <w:p w14:paraId="09F1E9EE">
            <w:pPr>
              <w:pStyle w:val="18"/>
              <w:rPr>
                <w:color w:val="auto"/>
              </w:rPr>
            </w:pPr>
            <w:r>
              <w:rPr>
                <w:rFonts w:hint="eastAsia"/>
                <w:color w:val="auto"/>
              </w:rPr>
              <w:t>②厂区定期更换的喷淋废水</w:t>
            </w:r>
            <w:r>
              <w:rPr>
                <w:rFonts w:hint="eastAsia"/>
                <w:color w:val="auto"/>
                <w:lang w:eastAsia="zh-CN"/>
              </w:rPr>
              <w:t>作为</w:t>
            </w:r>
            <w:r>
              <w:rPr>
                <w:rFonts w:hint="eastAsia"/>
                <w:color w:val="auto"/>
              </w:rPr>
              <w:t>危废处理，经收集桶收集后暂存于</w:t>
            </w:r>
            <w:r>
              <w:rPr>
                <w:rFonts w:hint="eastAsia"/>
                <w:color w:val="auto"/>
                <w:lang w:eastAsia="zh-CN"/>
              </w:rPr>
              <w:t>危废贮存库</w:t>
            </w:r>
            <w:r>
              <w:rPr>
                <w:rFonts w:hint="eastAsia"/>
                <w:color w:val="auto"/>
              </w:rPr>
              <w:t>。</w:t>
            </w:r>
          </w:p>
          <w:p w14:paraId="79F2C701">
            <w:pPr>
              <w:pStyle w:val="18"/>
              <w:rPr>
                <w:color w:val="auto"/>
              </w:rPr>
            </w:pPr>
            <w:r>
              <w:rPr>
                <w:rFonts w:hint="eastAsia"/>
                <w:color w:val="auto"/>
              </w:rPr>
              <w:t>③企业应设置专人负责将危险废物收集至</w:t>
            </w:r>
            <w:r>
              <w:rPr>
                <w:rFonts w:hint="eastAsia"/>
                <w:color w:val="auto"/>
                <w:lang w:eastAsia="zh-CN"/>
              </w:rPr>
              <w:t>危废贮存库</w:t>
            </w:r>
            <w:r>
              <w:rPr>
                <w:rFonts w:hint="eastAsia"/>
                <w:color w:val="auto"/>
              </w:rPr>
              <w:t>，按要求进行分类暂存，不散乱堆放。在收集和暂存过程中，确保不撒漏、不混放。危险废物应当使用符合标准的专用密闭容器进行收集和暂存；容器上必须粘贴符合《危险废物贮存污染物控制标准》（GB18597-2023）所示的标签；禁止将不相容（相互反应）的危险废物在同一容器内混装。</w:t>
            </w:r>
          </w:p>
          <w:p w14:paraId="302D05D2">
            <w:pPr>
              <w:pStyle w:val="18"/>
              <w:rPr>
                <w:color w:val="auto"/>
              </w:rPr>
            </w:pPr>
            <w:r>
              <w:rPr>
                <w:rFonts w:hint="eastAsia"/>
                <w:color w:val="auto"/>
              </w:rPr>
              <w:t>④企业应定期对所暂存的危险废物包装容器及暂存设施进行检查，发现破损，应及时采取措施清理和更换，确保危险废物不外泄。</w:t>
            </w:r>
          </w:p>
          <w:p w14:paraId="7E3E843B">
            <w:pPr>
              <w:pStyle w:val="18"/>
              <w:rPr>
                <w:color w:val="auto"/>
              </w:rPr>
            </w:pPr>
            <w:r>
              <w:rPr>
                <w:rFonts w:hint="eastAsia"/>
                <w:color w:val="auto"/>
              </w:rPr>
              <w:t>⑤</w:t>
            </w:r>
            <w:r>
              <w:rPr>
                <w:rFonts w:hint="eastAsia"/>
                <w:color w:val="auto"/>
                <w:lang w:eastAsia="zh-CN"/>
              </w:rPr>
              <w:t>危废贮存库</w:t>
            </w:r>
            <w:r>
              <w:rPr>
                <w:rFonts w:hint="eastAsia"/>
                <w:color w:val="auto"/>
              </w:rPr>
              <w:t>应按规定设立标识标志，并对</w:t>
            </w:r>
            <w:r>
              <w:rPr>
                <w:rFonts w:hint="eastAsia"/>
                <w:color w:val="auto"/>
                <w:lang w:eastAsia="zh-CN"/>
              </w:rPr>
              <w:t>危废贮存库</w:t>
            </w:r>
            <w:r>
              <w:rPr>
                <w:rFonts w:hint="eastAsia"/>
                <w:color w:val="auto"/>
              </w:rPr>
              <w:t>采取“四防”措施，加强防风、防雨、防晒、防渗漏措施。</w:t>
            </w:r>
          </w:p>
          <w:p w14:paraId="713CA0D5">
            <w:pPr>
              <w:pStyle w:val="18"/>
              <w:rPr>
                <w:color w:val="auto"/>
              </w:rPr>
            </w:pPr>
            <w:r>
              <w:rPr>
                <w:rFonts w:hint="eastAsia"/>
                <w:color w:val="auto"/>
              </w:rPr>
              <w:t>⑥危险废物必须送有具备危废处置资质的单位进行处置，杜绝企业自行处理或随意排放，严禁将危险废物交由不具备危废处置资质的单位和个人处置。同时企业对危险废物应做到及时清运处置，一般危险废物的暂存时间不得超过一年，应尽量减少危险废物暂存量。</w:t>
            </w:r>
          </w:p>
          <w:p w14:paraId="16D698B6">
            <w:pPr>
              <w:pStyle w:val="18"/>
              <w:rPr>
                <w:color w:val="auto"/>
              </w:rPr>
            </w:pPr>
            <w:r>
              <w:rPr>
                <w:rFonts w:hint="eastAsia"/>
                <w:color w:val="auto"/>
              </w:rPr>
              <w:t>⑦严禁将危险废物露天堆放；严禁将危险废物与一般工业固体废物和生活垃圾等混合收集、暂存、转运和处置。</w:t>
            </w:r>
          </w:p>
          <w:p w14:paraId="0AF9597C">
            <w:pPr>
              <w:pStyle w:val="18"/>
              <w:rPr>
                <w:color w:val="auto"/>
              </w:rPr>
            </w:pPr>
            <w:r>
              <w:rPr>
                <w:rFonts w:hint="eastAsia"/>
                <w:color w:val="auto"/>
              </w:rPr>
              <w:t>⑧建立危险废物管理台账，台账应如实记录危险废物的种类、产生量、流向、存储、利用处置等信息。台账应分类装订成册，由专人管理。</w:t>
            </w:r>
          </w:p>
          <w:p w14:paraId="3B0EAE5F">
            <w:pPr>
              <w:pStyle w:val="18"/>
              <w:rPr>
                <w:color w:val="auto"/>
              </w:rPr>
            </w:pPr>
            <w:r>
              <w:rPr>
                <w:rFonts w:hint="eastAsia"/>
                <w:color w:val="auto"/>
              </w:rPr>
              <w:t>⑨不相容的危险废物必须分开存放；禁止将不相容（相互反应）的危险废物在同一容器内混装。</w:t>
            </w:r>
          </w:p>
          <w:p w14:paraId="2EFD6D2C">
            <w:pPr>
              <w:pStyle w:val="18"/>
              <w:rPr>
                <w:color w:val="auto"/>
              </w:rPr>
            </w:pPr>
            <w:r>
              <w:rPr>
                <w:rFonts w:hint="eastAsia"/>
                <w:color w:val="auto"/>
              </w:rPr>
              <w:t>项目危废标识标签样式设置见下表所示：</w:t>
            </w:r>
          </w:p>
          <w:p w14:paraId="08AECCFE">
            <w:pPr>
              <w:autoSpaceDE w:val="0"/>
              <w:autoSpaceDN w:val="0"/>
              <w:adjustRightInd w:val="0"/>
              <w:snapToGrid w:val="0"/>
              <w:jc w:val="center"/>
              <w:rPr>
                <w:b/>
                <w:bCs/>
                <w:color w:val="auto"/>
                <w:kern w:val="0"/>
                <w:szCs w:val="21"/>
              </w:rPr>
            </w:pPr>
            <w:r>
              <w:rPr>
                <w:rFonts w:hint="eastAsia"/>
                <w:b/>
                <w:bCs/>
                <w:color w:val="auto"/>
                <w:kern w:val="0"/>
                <w:szCs w:val="21"/>
              </w:rPr>
              <w:t>表4-</w:t>
            </w:r>
            <w:r>
              <w:rPr>
                <w:rFonts w:hint="eastAsia"/>
                <w:b/>
                <w:bCs/>
                <w:color w:val="auto"/>
                <w:kern w:val="0"/>
                <w:szCs w:val="21"/>
                <w:lang w:val="en-US" w:eastAsia="zh-CN"/>
              </w:rPr>
              <w:t>20</w:t>
            </w:r>
            <w:r>
              <w:rPr>
                <w:rFonts w:hint="eastAsia"/>
                <w:b/>
                <w:bCs/>
                <w:color w:val="auto"/>
                <w:kern w:val="0"/>
                <w:szCs w:val="21"/>
              </w:rPr>
              <w:t>危废标识标签样式设置参照一览表</w:t>
            </w:r>
          </w:p>
          <w:tbl>
            <w:tblPr>
              <w:tblStyle w:val="20"/>
              <w:tblW w:w="8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5"/>
              <w:gridCol w:w="4329"/>
            </w:tblGrid>
            <w:tr w14:paraId="1FF3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55" w:type="dxa"/>
                </w:tcPr>
                <w:p w14:paraId="0DEC600E">
                  <w:pPr>
                    <w:pStyle w:val="42"/>
                    <w:rPr>
                      <w:color w:val="auto"/>
                      <w:sz w:val="21"/>
                      <w:szCs w:val="21"/>
                    </w:rPr>
                  </w:pPr>
                  <w:r>
                    <w:rPr>
                      <w:rFonts w:hint="eastAsia"/>
                      <w:color w:val="auto"/>
                      <w:sz w:val="21"/>
                      <w:szCs w:val="21"/>
                    </w:rPr>
                    <w:t>危废标识标签样式</w:t>
                  </w:r>
                </w:p>
              </w:tc>
              <w:tc>
                <w:tcPr>
                  <w:tcW w:w="4329" w:type="dxa"/>
                </w:tcPr>
                <w:p w14:paraId="5241D00C">
                  <w:pPr>
                    <w:pStyle w:val="42"/>
                    <w:rPr>
                      <w:color w:val="auto"/>
                      <w:sz w:val="21"/>
                      <w:szCs w:val="21"/>
                    </w:rPr>
                  </w:pPr>
                  <w:r>
                    <w:rPr>
                      <w:rFonts w:hint="eastAsia"/>
                      <w:color w:val="auto"/>
                      <w:sz w:val="21"/>
                      <w:szCs w:val="21"/>
                    </w:rPr>
                    <w:t>设置要求</w:t>
                  </w:r>
                </w:p>
              </w:tc>
            </w:tr>
            <w:tr w14:paraId="4C32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5" w:type="dxa"/>
                </w:tcPr>
                <w:p w14:paraId="45411F54">
                  <w:pPr>
                    <w:pStyle w:val="42"/>
                    <w:rPr>
                      <w:color w:val="auto"/>
                      <w:sz w:val="21"/>
                      <w:szCs w:val="21"/>
                    </w:rPr>
                  </w:pPr>
                  <w:r>
                    <w:rPr>
                      <w:color w:val="auto"/>
                    </w:rPr>
                    <w:drawing>
                      <wp:inline distT="0" distB="0" distL="0" distR="0">
                        <wp:extent cx="2094230" cy="2076450"/>
                        <wp:effectExtent l="0" t="0" r="1270" b="0"/>
                        <wp:docPr id="1782636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768" name="图片 1"/>
                                <pic:cNvPicPr>
                                  <a:picLocks noChangeAspect="1"/>
                                </pic:cNvPicPr>
                              </pic:nvPicPr>
                              <pic:blipFill>
                                <a:blip r:embed="rId18"/>
                                <a:stretch>
                                  <a:fillRect/>
                                </a:stretch>
                              </pic:blipFill>
                              <pic:spPr>
                                <a:xfrm>
                                  <a:off x="0" y="0"/>
                                  <a:ext cx="2103728" cy="2085514"/>
                                </a:xfrm>
                                <a:prstGeom prst="rect">
                                  <a:avLst/>
                                </a:prstGeom>
                              </pic:spPr>
                            </pic:pic>
                          </a:graphicData>
                        </a:graphic>
                      </wp:inline>
                    </w:drawing>
                  </w:r>
                </w:p>
              </w:tc>
              <w:tc>
                <w:tcPr>
                  <w:tcW w:w="4329" w:type="dxa"/>
                </w:tcPr>
                <w:p w14:paraId="3E76A189">
                  <w:pPr>
                    <w:pStyle w:val="42"/>
                    <w:rPr>
                      <w:color w:val="auto"/>
                      <w:sz w:val="21"/>
                      <w:szCs w:val="21"/>
                    </w:rPr>
                  </w:pPr>
                  <w:r>
                    <w:rPr>
                      <w:rFonts w:hint="eastAsia"/>
                      <w:color w:val="auto"/>
                      <w:sz w:val="21"/>
                      <w:szCs w:val="21"/>
                    </w:rPr>
                    <w:t>尺寸：①容积L≤50，标签最小尺寸100×100（mm），最低文字高度3mm；②容积50＜L≤450，标签最小尺寸150×150（mm），最低文字高度5mm；③容积L＞450，标签最小尺寸200×200（mm），最低文字高度6mm。</w:t>
                  </w:r>
                </w:p>
                <w:p w14:paraId="2AD8A113">
                  <w:pPr>
                    <w:pStyle w:val="42"/>
                    <w:rPr>
                      <w:color w:val="auto"/>
                      <w:sz w:val="21"/>
                      <w:szCs w:val="21"/>
                    </w:rPr>
                  </w:pPr>
                  <w:r>
                    <w:rPr>
                      <w:rFonts w:hint="eastAsia"/>
                      <w:color w:val="auto"/>
                      <w:sz w:val="21"/>
                      <w:szCs w:val="21"/>
                    </w:rPr>
                    <w:t>危险特性：应根据危险废物的危险特性选择对应的危险特性警示图形，具有多种危险特性的应设置相应的全部图形。</w:t>
                  </w:r>
                </w:p>
                <w:p w14:paraId="4F033C71">
                  <w:pPr>
                    <w:pStyle w:val="42"/>
                    <w:rPr>
                      <w:color w:val="auto"/>
                      <w:sz w:val="21"/>
                      <w:szCs w:val="21"/>
                    </w:rPr>
                  </w:pPr>
                  <w:r>
                    <w:rPr>
                      <w:rFonts w:hint="eastAsia"/>
                      <w:color w:val="auto"/>
                      <w:sz w:val="21"/>
                      <w:szCs w:val="21"/>
                    </w:rPr>
                    <w:t>二维码：应包含数字识别码、产生日期、危废重量等标签中设置的信息。</w:t>
                  </w:r>
                </w:p>
                <w:p w14:paraId="512B3A79">
                  <w:pPr>
                    <w:pStyle w:val="42"/>
                    <w:rPr>
                      <w:color w:val="auto"/>
                      <w:sz w:val="21"/>
                      <w:szCs w:val="21"/>
                    </w:rPr>
                  </w:pPr>
                  <w:r>
                    <w:rPr>
                      <w:rFonts w:hint="eastAsia"/>
                      <w:color w:val="auto"/>
                      <w:sz w:val="21"/>
                      <w:szCs w:val="21"/>
                    </w:rPr>
                    <w:t>产生日期应填写开始盛装危险废物时的日期，当从事收集、贮存、利用和处置危险废物经营活动的单位收集危险废物时，在满足《规范》的条件下，容器内盛装相同种类但不同初始产生日期的危险废物时，应填写收集危险废物时的日期。</w:t>
                  </w:r>
                </w:p>
              </w:tc>
            </w:tr>
            <w:tr w14:paraId="7672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5" w:type="dxa"/>
                </w:tcPr>
                <w:p w14:paraId="4B9ADA00">
                  <w:pPr>
                    <w:pStyle w:val="42"/>
                    <w:rPr>
                      <w:color w:val="auto"/>
                      <w:sz w:val="21"/>
                      <w:szCs w:val="21"/>
                    </w:rPr>
                  </w:pPr>
                  <w:r>
                    <w:rPr>
                      <w:color w:val="auto"/>
                    </w:rPr>
                    <w:drawing>
                      <wp:inline distT="0" distB="0" distL="0" distR="0">
                        <wp:extent cx="2143125" cy="1793240"/>
                        <wp:effectExtent l="0" t="0" r="9525" b="16510"/>
                        <wp:docPr id="673690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0075" name="图片 1"/>
                                <pic:cNvPicPr>
                                  <a:picLocks noChangeAspect="1"/>
                                </pic:cNvPicPr>
                              </pic:nvPicPr>
                              <pic:blipFill>
                                <a:blip r:embed="rId19"/>
                                <a:stretch>
                                  <a:fillRect/>
                                </a:stretch>
                              </pic:blipFill>
                              <pic:spPr>
                                <a:xfrm>
                                  <a:off x="0" y="0"/>
                                  <a:ext cx="2147717" cy="1797170"/>
                                </a:xfrm>
                                <a:prstGeom prst="rect">
                                  <a:avLst/>
                                </a:prstGeom>
                              </pic:spPr>
                            </pic:pic>
                          </a:graphicData>
                        </a:graphic>
                      </wp:inline>
                    </w:drawing>
                  </w:r>
                </w:p>
              </w:tc>
              <w:tc>
                <w:tcPr>
                  <w:tcW w:w="4329" w:type="dxa"/>
                </w:tcPr>
                <w:p w14:paraId="30BF043B">
                  <w:pPr>
                    <w:pStyle w:val="42"/>
                    <w:rPr>
                      <w:color w:val="auto"/>
                      <w:sz w:val="21"/>
                      <w:szCs w:val="21"/>
                    </w:rPr>
                  </w:pPr>
                  <w:r>
                    <w:rPr>
                      <w:rFonts w:hint="eastAsia"/>
                      <w:color w:val="auto"/>
                      <w:sz w:val="21"/>
                      <w:szCs w:val="21"/>
                    </w:rPr>
                    <w:t>尺寸：①观察距离L：0＜L≤2.5m，标志整体外形最小尺寸300×300（mm），贮存分区标志最低文字高度20mm，其他文字最低高度6mm；②观察距离L：2.5＜L≤4m，标志整体外形最小尺寸450×450（mm），贮存分区标志最低文字高度30mm，其他文字最低高度9mm；③观察</w:t>
                  </w:r>
                </w:p>
                <w:p w14:paraId="414CE827">
                  <w:pPr>
                    <w:pStyle w:val="42"/>
                    <w:rPr>
                      <w:color w:val="auto"/>
                      <w:sz w:val="21"/>
                      <w:szCs w:val="21"/>
                    </w:rPr>
                  </w:pPr>
                  <w:r>
                    <w:rPr>
                      <w:rFonts w:hint="eastAsia"/>
                      <w:color w:val="auto"/>
                      <w:sz w:val="21"/>
                      <w:szCs w:val="21"/>
                    </w:rPr>
                    <w:t>距离L：L＞4m，标志整体外形最小尺寸600×600（mm），贮存分区标志最低文字高度40mm，其他文字最低高度12mm。在不同种类危废对应区域张贴分区标志。</w:t>
                  </w:r>
                </w:p>
              </w:tc>
            </w:tr>
            <w:tr w14:paraId="26B3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5" w:type="dxa"/>
                </w:tcPr>
                <w:p w14:paraId="1B518958">
                  <w:pPr>
                    <w:pStyle w:val="42"/>
                    <w:rPr>
                      <w:color w:val="auto"/>
                      <w:sz w:val="21"/>
                      <w:szCs w:val="21"/>
                    </w:rPr>
                  </w:pPr>
                  <w:r>
                    <w:rPr>
                      <w:color w:val="auto"/>
                    </w:rPr>
                    <w:drawing>
                      <wp:inline distT="0" distB="0" distL="0" distR="0">
                        <wp:extent cx="2228850" cy="1403350"/>
                        <wp:effectExtent l="0" t="0" r="0" b="6350"/>
                        <wp:docPr id="77126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179" name="图片 1"/>
                                <pic:cNvPicPr>
                                  <a:picLocks noChangeAspect="1"/>
                                </pic:cNvPicPr>
                              </pic:nvPicPr>
                              <pic:blipFill>
                                <a:blip r:embed="rId20"/>
                                <a:stretch>
                                  <a:fillRect/>
                                </a:stretch>
                              </pic:blipFill>
                              <pic:spPr>
                                <a:xfrm>
                                  <a:off x="0" y="0"/>
                                  <a:ext cx="2232268" cy="1405876"/>
                                </a:xfrm>
                                <a:prstGeom prst="rect">
                                  <a:avLst/>
                                </a:prstGeom>
                              </pic:spPr>
                            </pic:pic>
                          </a:graphicData>
                        </a:graphic>
                      </wp:inline>
                    </w:drawing>
                  </w:r>
                </w:p>
              </w:tc>
              <w:tc>
                <w:tcPr>
                  <w:tcW w:w="4329" w:type="dxa"/>
                  <w:vMerge w:val="restart"/>
                </w:tcPr>
                <w:p w14:paraId="45AAD523">
                  <w:pPr>
                    <w:pStyle w:val="42"/>
                    <w:rPr>
                      <w:color w:val="auto"/>
                      <w:sz w:val="21"/>
                      <w:szCs w:val="21"/>
                    </w:rPr>
                  </w:pPr>
                  <w:r>
                    <w:rPr>
                      <w:rFonts w:hint="eastAsia"/>
                      <w:color w:val="auto"/>
                      <w:sz w:val="21"/>
                      <w:szCs w:val="21"/>
                    </w:rPr>
                    <w:t>设施编码：填写格式：TSXXX</w:t>
                  </w:r>
                </w:p>
                <w:p w14:paraId="56A06C11">
                  <w:pPr>
                    <w:pStyle w:val="42"/>
                    <w:rPr>
                      <w:color w:val="auto"/>
                      <w:sz w:val="21"/>
                      <w:szCs w:val="21"/>
                    </w:rPr>
                  </w:pPr>
                  <w:r>
                    <w:rPr>
                      <w:rFonts w:hint="eastAsia"/>
                      <w:color w:val="auto"/>
                      <w:sz w:val="21"/>
                      <w:szCs w:val="21"/>
                    </w:rPr>
                    <w:t>尺寸：</w:t>
                  </w:r>
                  <w:r>
                    <w:rPr>
                      <w:color w:val="auto"/>
                    </w:rPr>
                    <w:drawing>
                      <wp:inline distT="0" distB="0" distL="0" distR="0">
                        <wp:extent cx="2400300" cy="598805"/>
                        <wp:effectExtent l="0" t="0" r="0" b="10795"/>
                        <wp:docPr id="158792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601" name="图片 1"/>
                                <pic:cNvPicPr>
                                  <a:picLocks noChangeAspect="1"/>
                                </pic:cNvPicPr>
                              </pic:nvPicPr>
                              <pic:blipFill>
                                <a:blip r:embed="rId21"/>
                                <a:stretch>
                                  <a:fillRect/>
                                </a:stretch>
                              </pic:blipFill>
                              <pic:spPr>
                                <a:xfrm>
                                  <a:off x="0" y="0"/>
                                  <a:ext cx="2412301" cy="602037"/>
                                </a:xfrm>
                                <a:prstGeom prst="rect">
                                  <a:avLst/>
                                </a:prstGeom>
                              </pic:spPr>
                            </pic:pic>
                          </a:graphicData>
                        </a:graphic>
                      </wp:inline>
                    </w:drawing>
                  </w:r>
                </w:p>
                <w:p w14:paraId="21D202DD">
                  <w:pPr>
                    <w:pStyle w:val="42"/>
                    <w:rPr>
                      <w:color w:val="auto"/>
                      <w:sz w:val="21"/>
                      <w:szCs w:val="21"/>
                    </w:rPr>
                  </w:pPr>
                  <w:r>
                    <w:rPr>
                      <w:rFonts w:hint="eastAsia"/>
                      <w:color w:val="auto"/>
                      <w:sz w:val="21"/>
                      <w:szCs w:val="21"/>
                    </w:rPr>
                    <w:t>二维码应包含但不限于该设施场所的单位名称、设施类型、设施编码、负责人及联系方式，以及该设施场所贮存、利用、处置的危险废物名称和种类等信息。</w:t>
                  </w:r>
                </w:p>
                <w:p w14:paraId="6D02635B">
                  <w:pPr>
                    <w:pStyle w:val="42"/>
                    <w:rPr>
                      <w:color w:val="auto"/>
                      <w:sz w:val="21"/>
                      <w:szCs w:val="21"/>
                    </w:rPr>
                  </w:pPr>
                  <w:r>
                    <w:rPr>
                      <w:rFonts w:hint="eastAsia"/>
                      <w:color w:val="auto"/>
                      <w:sz w:val="21"/>
                      <w:szCs w:val="21"/>
                    </w:rPr>
                    <w:t>危险废物设施标志分为附着式和柱式两种固定方式，应优先选择附着式。</w:t>
                  </w:r>
                </w:p>
              </w:tc>
            </w:tr>
            <w:tr w14:paraId="483C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5" w:type="dxa"/>
                </w:tcPr>
                <w:p w14:paraId="555EF533">
                  <w:pPr>
                    <w:pStyle w:val="42"/>
                    <w:rPr>
                      <w:color w:val="auto"/>
                      <w:sz w:val="21"/>
                      <w:szCs w:val="21"/>
                    </w:rPr>
                  </w:pPr>
                  <w:r>
                    <w:rPr>
                      <w:color w:val="auto"/>
                    </w:rPr>
                    <w:drawing>
                      <wp:inline distT="0" distB="0" distL="0" distR="0">
                        <wp:extent cx="2257425" cy="1367790"/>
                        <wp:effectExtent l="0" t="0" r="9525" b="3810"/>
                        <wp:docPr id="1663219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19818" name="图片 1"/>
                                <pic:cNvPicPr>
                                  <a:picLocks noChangeAspect="1"/>
                                </pic:cNvPicPr>
                              </pic:nvPicPr>
                              <pic:blipFill>
                                <a:blip r:embed="rId22"/>
                                <a:stretch>
                                  <a:fillRect/>
                                </a:stretch>
                              </pic:blipFill>
                              <pic:spPr>
                                <a:xfrm>
                                  <a:off x="0" y="0"/>
                                  <a:ext cx="2261842" cy="1370655"/>
                                </a:xfrm>
                                <a:prstGeom prst="rect">
                                  <a:avLst/>
                                </a:prstGeom>
                              </pic:spPr>
                            </pic:pic>
                          </a:graphicData>
                        </a:graphic>
                      </wp:inline>
                    </w:drawing>
                  </w:r>
                </w:p>
              </w:tc>
              <w:tc>
                <w:tcPr>
                  <w:tcW w:w="4329" w:type="dxa"/>
                  <w:vMerge w:val="continue"/>
                </w:tcPr>
                <w:p w14:paraId="5A000184">
                  <w:pPr>
                    <w:pStyle w:val="42"/>
                    <w:rPr>
                      <w:color w:val="auto"/>
                      <w:sz w:val="21"/>
                      <w:szCs w:val="21"/>
                    </w:rPr>
                  </w:pPr>
                </w:p>
              </w:tc>
            </w:tr>
            <w:tr w14:paraId="1E81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5" w:type="dxa"/>
                </w:tcPr>
                <w:p w14:paraId="3427C677">
                  <w:pPr>
                    <w:pStyle w:val="42"/>
                    <w:rPr>
                      <w:color w:val="auto"/>
                      <w:sz w:val="21"/>
                      <w:szCs w:val="21"/>
                    </w:rPr>
                  </w:pPr>
                  <w:r>
                    <w:rPr>
                      <w:color w:val="auto"/>
                    </w:rPr>
                    <w:drawing>
                      <wp:inline distT="0" distB="0" distL="0" distR="0">
                        <wp:extent cx="2178050" cy="1351915"/>
                        <wp:effectExtent l="0" t="0" r="12700" b="635"/>
                        <wp:docPr id="12584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582" name="图片 1"/>
                                <pic:cNvPicPr>
                                  <a:picLocks noChangeAspect="1"/>
                                </pic:cNvPicPr>
                              </pic:nvPicPr>
                              <pic:blipFill>
                                <a:blip r:embed="rId23"/>
                                <a:stretch>
                                  <a:fillRect/>
                                </a:stretch>
                              </pic:blipFill>
                              <pic:spPr>
                                <a:xfrm>
                                  <a:off x="0" y="0"/>
                                  <a:ext cx="2183246" cy="1354942"/>
                                </a:xfrm>
                                <a:prstGeom prst="rect">
                                  <a:avLst/>
                                </a:prstGeom>
                              </pic:spPr>
                            </pic:pic>
                          </a:graphicData>
                        </a:graphic>
                      </wp:inline>
                    </w:drawing>
                  </w:r>
                </w:p>
              </w:tc>
              <w:tc>
                <w:tcPr>
                  <w:tcW w:w="4329" w:type="dxa"/>
                  <w:vMerge w:val="continue"/>
                </w:tcPr>
                <w:p w14:paraId="0DBE1264">
                  <w:pPr>
                    <w:pStyle w:val="42"/>
                    <w:rPr>
                      <w:color w:val="auto"/>
                      <w:sz w:val="21"/>
                      <w:szCs w:val="21"/>
                    </w:rPr>
                  </w:pPr>
                </w:p>
              </w:tc>
            </w:tr>
          </w:tbl>
          <w:p w14:paraId="2CFC3275">
            <w:pPr>
              <w:pStyle w:val="18"/>
              <w:rPr>
                <w:color w:val="auto"/>
              </w:rPr>
            </w:pPr>
            <w:r>
              <w:rPr>
                <w:rFonts w:hint="eastAsia"/>
                <w:color w:val="auto"/>
              </w:rPr>
              <w:t>C、危险废物的交接：</w:t>
            </w:r>
          </w:p>
          <w:p w14:paraId="2F810352">
            <w:pPr>
              <w:pStyle w:val="18"/>
              <w:rPr>
                <w:color w:val="auto"/>
              </w:rPr>
            </w:pPr>
            <w:r>
              <w:rPr>
                <w:rFonts w:hint="eastAsia"/>
                <w:color w:val="auto"/>
              </w:rPr>
              <w:t>①废物转运应当依照《中华人民共和国固体废物污染环境防治法》的规定，执行危险废物转移联单管理制度。应当对危险废物进行登记，登记内容应当包括危险废物的来源、种类、重量或者数量、交接时间、处置方法、最终去向以及经办人签名等项目。保存时间为至少3年。</w:t>
            </w:r>
          </w:p>
          <w:p w14:paraId="7E4A2341">
            <w:pPr>
              <w:pStyle w:val="18"/>
              <w:rPr>
                <w:color w:val="auto"/>
              </w:rPr>
            </w:pPr>
            <w:r>
              <w:rPr>
                <w:rFonts w:hint="eastAsia"/>
                <w:color w:val="auto"/>
              </w:rPr>
              <w:t>②每车每次运送的危险废物采用《危险废物运送登记卡》管理，一车一卡，由危险废物管理人</w:t>
            </w:r>
            <w:r>
              <w:rPr>
                <w:rFonts w:hint="eastAsia"/>
                <w:color w:val="auto"/>
                <w:lang w:eastAsia="zh-CN"/>
              </w:rPr>
              <w:t>员在</w:t>
            </w:r>
            <w:r>
              <w:rPr>
                <w:rFonts w:hint="eastAsia"/>
                <w:color w:val="auto"/>
              </w:rPr>
              <w:t>交接时填写并签字。当危险废物运至处置单位时，处置厂接收人员确认该登记卡上填写的危险废物数量真实、准确后签收。</w:t>
            </w:r>
          </w:p>
          <w:p w14:paraId="7B46E378">
            <w:pPr>
              <w:pStyle w:val="18"/>
              <w:rPr>
                <w:color w:val="auto"/>
              </w:rPr>
            </w:pPr>
            <w:r>
              <w:rPr>
                <w:rFonts w:hint="eastAsia"/>
                <w:color w:val="auto"/>
              </w:rPr>
              <w:t>D、危险废物的运送：</w:t>
            </w:r>
          </w:p>
          <w:p w14:paraId="7C755059">
            <w:pPr>
              <w:pStyle w:val="18"/>
              <w:rPr>
                <w:color w:val="auto"/>
              </w:rPr>
            </w:pPr>
            <w:r>
              <w:rPr>
                <w:rFonts w:hint="eastAsia"/>
                <w:color w:val="auto"/>
              </w:rPr>
              <w:t>①本项目危险废物由处置单位专用车辆定期运送</w:t>
            </w:r>
            <w:r>
              <w:rPr>
                <w:rFonts w:hint="eastAsia"/>
                <w:color w:val="auto"/>
                <w:lang w:eastAsia="zh-CN"/>
              </w:rPr>
              <w:t>至</w:t>
            </w:r>
            <w:r>
              <w:rPr>
                <w:rFonts w:hint="eastAsia"/>
                <w:color w:val="auto"/>
              </w:rPr>
              <w:t>相应处置单位。危险废物转运车应符合相关要求。</w:t>
            </w:r>
          </w:p>
          <w:p w14:paraId="06BC23D6">
            <w:pPr>
              <w:pStyle w:val="18"/>
              <w:rPr>
                <w:color w:val="auto"/>
              </w:rPr>
            </w:pPr>
            <w:r>
              <w:rPr>
                <w:rFonts w:hint="eastAsia"/>
                <w:color w:val="auto"/>
              </w:rPr>
              <w:t>②运送路线应尽量避开人口密集区域和交通拥堵道路。驾驶室与货箱完全隔开，以保证驾驶人员的安全。</w:t>
            </w:r>
          </w:p>
          <w:p w14:paraId="5DF578BB">
            <w:pPr>
              <w:pStyle w:val="18"/>
              <w:rPr>
                <w:color w:val="auto"/>
              </w:rPr>
            </w:pPr>
            <w:r>
              <w:rPr>
                <w:rFonts w:hint="eastAsia"/>
                <w:color w:val="auto"/>
              </w:rPr>
              <w:t>③车厢应经防渗处理，在装载货物时，即使车厢内部有液体，也不会渗漏到厢体和外部环境中；车厢底部应设置具有良好气密性的排水孔，在清洗车厢内部时，能够有效收集和排出污水，不可使清洗污水直接漫流到外部环境中；正常运输使用时应具有良好气密性。</w:t>
            </w:r>
          </w:p>
          <w:p w14:paraId="32204E92">
            <w:pPr>
              <w:pStyle w:val="18"/>
              <w:rPr>
                <w:color w:val="auto"/>
              </w:rPr>
            </w:pPr>
            <w:r>
              <w:rPr>
                <w:rFonts w:hint="eastAsia"/>
                <w:color w:val="auto"/>
              </w:rPr>
              <w:t>④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14:paraId="7386C864">
            <w:pPr>
              <w:pStyle w:val="18"/>
              <w:rPr>
                <w:color w:val="auto"/>
              </w:rPr>
            </w:pPr>
            <w:r>
              <w:rPr>
                <w:rFonts w:hint="eastAsia"/>
                <w:color w:val="auto"/>
              </w:rPr>
              <w:t>⑤危险废物转运车应在明显部位固定产品标牌。危险废物转运车应在车辆的前部、后部及车厢两侧喷涂警示性标志；驾驶室两侧应标明危险废物处置转运单位名称。各危险废物严格按照《危险废物贮存污染控制标准》（GB18597-2023）和《危险废物转移管理办法》方式对其进行暂存和转移管理，并交与有相应处置资质的危废处置单位处理，按照国家有关危险废物申报登记等管理制度的要求，向当地环境保护部门进行危险废物的申报、转移，按管理要求委托资质单位进行转运和处置，避免二次污染产生。</w:t>
            </w:r>
          </w:p>
          <w:p w14:paraId="615F371C">
            <w:pPr>
              <w:pStyle w:val="18"/>
              <w:rPr>
                <w:color w:val="auto"/>
              </w:rPr>
            </w:pPr>
            <w:r>
              <w:rPr>
                <w:rFonts w:hint="eastAsia"/>
                <w:color w:val="auto"/>
              </w:rPr>
              <w:t>E、其他管理要求：加强技术人员的技能培训，严禁将危险废物直接外排。危险废物应建立危险废物贮存的台账制度，确保</w:t>
            </w:r>
            <w:r>
              <w:rPr>
                <w:rFonts w:hint="eastAsia"/>
                <w:color w:val="auto"/>
                <w:lang w:eastAsia="zh-CN"/>
              </w:rPr>
              <w:t>危险废物</w:t>
            </w:r>
            <w:r>
              <w:rPr>
                <w:rFonts w:hint="eastAsia"/>
                <w:color w:val="auto"/>
              </w:rPr>
              <w:t>不遗失。危险废物与一般固废应分别收集、暂存。</w:t>
            </w:r>
          </w:p>
          <w:p w14:paraId="13579E0D">
            <w:pPr>
              <w:pStyle w:val="18"/>
              <w:rPr>
                <w:color w:val="auto"/>
              </w:rPr>
            </w:pPr>
            <w:r>
              <w:rPr>
                <w:color w:val="auto"/>
              </w:rPr>
              <w:t>综上所述，在保证对固体废物进行综合利用、及时外运并完善其在厂内暂存措施的前提下，本项目固体废物不会对外环境产生二次污染。</w:t>
            </w:r>
          </w:p>
          <w:p w14:paraId="085F7591">
            <w:pPr>
              <w:spacing w:line="360" w:lineRule="auto"/>
              <w:ind w:firstLine="422" w:firstLineChars="200"/>
              <w:rPr>
                <w:b/>
                <w:bCs/>
                <w:color w:val="auto"/>
                <w:szCs w:val="21"/>
              </w:rPr>
            </w:pPr>
            <w:r>
              <w:rPr>
                <w:b/>
                <w:bCs/>
                <w:color w:val="auto"/>
                <w:szCs w:val="21"/>
              </w:rPr>
              <w:t>5、地下水污染防护措施</w:t>
            </w:r>
          </w:p>
          <w:p w14:paraId="7991EB8C">
            <w:pPr>
              <w:pStyle w:val="18"/>
              <w:rPr>
                <w:color w:val="auto"/>
              </w:rPr>
            </w:pPr>
            <w:r>
              <w:rPr>
                <w:rFonts w:hint="eastAsia"/>
                <w:color w:val="auto"/>
              </w:rPr>
              <w:t>（1）土壤及地下水污染防治原则</w:t>
            </w:r>
          </w:p>
          <w:p w14:paraId="4484B0A8">
            <w:pPr>
              <w:pStyle w:val="18"/>
              <w:rPr>
                <w:color w:val="auto"/>
              </w:rPr>
            </w:pPr>
            <w:r>
              <w:rPr>
                <w:rFonts w:hint="eastAsia"/>
                <w:color w:val="auto"/>
              </w:rPr>
              <w:t>根据土壤及地下水污染防治措施和对策，坚持“源头控制、分区防控、污染监控、应急响应，重点突出饮用水水质安全”的原则。</w:t>
            </w:r>
          </w:p>
          <w:p w14:paraId="36D31AC7">
            <w:pPr>
              <w:pStyle w:val="18"/>
              <w:rPr>
                <w:color w:val="auto"/>
              </w:rPr>
            </w:pPr>
            <w:r>
              <w:rPr>
                <w:rFonts w:hint="eastAsia"/>
                <w:color w:val="auto"/>
              </w:rPr>
              <w:t>（2）防止土壤及地下水污染的控制措施</w:t>
            </w:r>
          </w:p>
          <w:p w14:paraId="52CEB526">
            <w:pPr>
              <w:pStyle w:val="18"/>
              <w:rPr>
                <w:color w:val="auto"/>
              </w:rPr>
            </w:pPr>
            <w:r>
              <w:rPr>
                <w:rFonts w:hint="eastAsia"/>
                <w:color w:val="auto"/>
              </w:rPr>
              <w:t>1）源头控制措施</w:t>
            </w:r>
          </w:p>
          <w:p w14:paraId="61A7F60F">
            <w:pPr>
              <w:pStyle w:val="18"/>
              <w:rPr>
                <w:color w:val="auto"/>
              </w:rPr>
            </w:pPr>
            <w:r>
              <w:rPr>
                <w:rFonts w:hint="eastAsia"/>
                <w:color w:val="auto"/>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1D00F521">
            <w:pPr>
              <w:pStyle w:val="18"/>
              <w:rPr>
                <w:color w:val="auto"/>
              </w:rPr>
            </w:pPr>
            <w:r>
              <w:rPr>
                <w:rFonts w:hint="eastAsia"/>
                <w:color w:val="auto"/>
              </w:rPr>
              <w:t>②对工艺、设备、污水储存及处理构筑物采取控制措施，防止污染物的跑、冒、滴、漏，将污染物泄漏的环境风险事故降到最低限度。</w:t>
            </w:r>
          </w:p>
          <w:p w14:paraId="3CC05A7E">
            <w:pPr>
              <w:pStyle w:val="18"/>
              <w:rPr>
                <w:color w:val="auto"/>
              </w:rPr>
            </w:pPr>
            <w:r>
              <w:rPr>
                <w:rFonts w:hint="eastAsia"/>
                <w:color w:val="auto"/>
              </w:rPr>
              <w:t>2）分区防治措施</w:t>
            </w:r>
          </w:p>
          <w:p w14:paraId="2BAB53F0">
            <w:pPr>
              <w:pStyle w:val="18"/>
              <w:rPr>
                <w:color w:val="auto"/>
              </w:rPr>
            </w:pPr>
            <w:r>
              <w:rPr>
                <w:rFonts w:hint="eastAsia"/>
                <w:color w:val="auto"/>
              </w:rPr>
              <w:t>根据各生产单元可能泄漏至地面区域的污染物性质和生产单元的构筑方式，将厂区划分为重点防渗区、一般防渗区及简单防渗区；各区按要求采取对应的防渗措施，详见下表：</w:t>
            </w:r>
          </w:p>
          <w:p w14:paraId="6EB5BB6C">
            <w:pPr>
              <w:autoSpaceDE w:val="0"/>
              <w:autoSpaceDN w:val="0"/>
              <w:adjustRightInd w:val="0"/>
              <w:snapToGrid w:val="0"/>
              <w:jc w:val="center"/>
              <w:rPr>
                <w:b/>
                <w:bCs/>
                <w:color w:val="auto"/>
                <w:kern w:val="0"/>
                <w:szCs w:val="21"/>
              </w:rPr>
            </w:pPr>
            <w:r>
              <w:rPr>
                <w:rFonts w:hint="eastAsia"/>
                <w:b/>
                <w:bCs/>
                <w:color w:val="auto"/>
                <w:kern w:val="0"/>
                <w:szCs w:val="21"/>
              </w:rPr>
              <w:t>表4</w:t>
            </w:r>
            <w:r>
              <w:rPr>
                <w:rFonts w:hint="eastAsia"/>
                <w:b/>
                <w:bCs/>
                <w:color w:val="auto"/>
                <w:kern w:val="0"/>
                <w:szCs w:val="21"/>
                <w:lang w:val="en-US" w:eastAsia="zh-CN"/>
              </w:rPr>
              <w:t xml:space="preserve">-21 </w:t>
            </w:r>
            <w:r>
              <w:rPr>
                <w:rFonts w:hint="eastAsia"/>
                <w:b/>
                <w:bCs/>
                <w:color w:val="auto"/>
                <w:kern w:val="0"/>
                <w:szCs w:val="21"/>
              </w:rPr>
              <w:t>分区防渗措施一览表</w:t>
            </w:r>
          </w:p>
          <w:tbl>
            <w:tblPr>
              <w:tblStyle w:val="19"/>
              <w:tblW w:w="498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394"/>
              <w:gridCol w:w="1989"/>
              <w:gridCol w:w="1394"/>
              <w:gridCol w:w="2188"/>
            </w:tblGrid>
            <w:tr w14:paraId="2881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45" w:type="pct"/>
                  <w:vAlign w:val="center"/>
                </w:tcPr>
                <w:p w14:paraId="658F9D0C">
                  <w:pPr>
                    <w:pStyle w:val="42"/>
                    <w:rPr>
                      <w:b/>
                      <w:bCs/>
                      <w:color w:val="auto"/>
                      <w:sz w:val="21"/>
                      <w:szCs w:val="21"/>
                    </w:rPr>
                  </w:pPr>
                  <w:bookmarkStart w:id="43" w:name="_Hlk144283646"/>
                  <w:r>
                    <w:rPr>
                      <w:rFonts w:hint="eastAsia"/>
                      <w:b/>
                      <w:bCs/>
                      <w:color w:val="auto"/>
                      <w:sz w:val="21"/>
                      <w:szCs w:val="21"/>
                    </w:rPr>
                    <w:t>防渗分区</w:t>
                  </w:r>
                </w:p>
              </w:tc>
              <w:tc>
                <w:tcPr>
                  <w:tcW w:w="871" w:type="pct"/>
                  <w:vAlign w:val="center"/>
                </w:tcPr>
                <w:p w14:paraId="4534BF49">
                  <w:pPr>
                    <w:pStyle w:val="42"/>
                    <w:rPr>
                      <w:b/>
                      <w:bCs/>
                      <w:color w:val="auto"/>
                      <w:sz w:val="21"/>
                      <w:szCs w:val="21"/>
                    </w:rPr>
                  </w:pPr>
                  <w:r>
                    <w:rPr>
                      <w:rFonts w:hint="eastAsia"/>
                      <w:b/>
                      <w:bCs/>
                      <w:color w:val="auto"/>
                      <w:sz w:val="21"/>
                      <w:szCs w:val="21"/>
                    </w:rPr>
                    <w:t>构筑物</w:t>
                  </w:r>
                </w:p>
              </w:tc>
              <w:tc>
                <w:tcPr>
                  <w:tcW w:w="1243" w:type="pct"/>
                  <w:vAlign w:val="center"/>
                </w:tcPr>
                <w:p w14:paraId="7E760118">
                  <w:pPr>
                    <w:pStyle w:val="42"/>
                    <w:rPr>
                      <w:b/>
                      <w:bCs/>
                      <w:color w:val="auto"/>
                      <w:sz w:val="21"/>
                      <w:szCs w:val="21"/>
                    </w:rPr>
                  </w:pPr>
                  <w:r>
                    <w:rPr>
                      <w:rFonts w:hint="eastAsia"/>
                      <w:b/>
                      <w:bCs/>
                      <w:color w:val="auto"/>
                      <w:sz w:val="21"/>
                      <w:szCs w:val="21"/>
                    </w:rPr>
                    <w:t>防渗措施</w:t>
                  </w:r>
                </w:p>
              </w:tc>
              <w:tc>
                <w:tcPr>
                  <w:tcW w:w="871" w:type="pct"/>
                  <w:vAlign w:val="center"/>
                </w:tcPr>
                <w:p w14:paraId="2B0BCA83">
                  <w:pPr>
                    <w:pStyle w:val="42"/>
                    <w:rPr>
                      <w:b/>
                      <w:bCs/>
                      <w:color w:val="auto"/>
                      <w:sz w:val="21"/>
                      <w:szCs w:val="21"/>
                    </w:rPr>
                  </w:pPr>
                  <w:r>
                    <w:rPr>
                      <w:rFonts w:hint="eastAsia"/>
                      <w:b/>
                      <w:bCs/>
                      <w:color w:val="auto"/>
                      <w:sz w:val="21"/>
                      <w:szCs w:val="21"/>
                    </w:rPr>
                    <w:t>防渗技术要求</w:t>
                  </w:r>
                </w:p>
              </w:tc>
              <w:tc>
                <w:tcPr>
                  <w:tcW w:w="1367" w:type="pct"/>
                  <w:vAlign w:val="center"/>
                </w:tcPr>
                <w:p w14:paraId="1A766231">
                  <w:pPr>
                    <w:pStyle w:val="42"/>
                    <w:rPr>
                      <w:b/>
                      <w:bCs/>
                      <w:color w:val="auto"/>
                      <w:sz w:val="21"/>
                      <w:szCs w:val="21"/>
                    </w:rPr>
                  </w:pPr>
                  <w:r>
                    <w:rPr>
                      <w:rFonts w:hint="eastAsia"/>
                      <w:b/>
                      <w:bCs/>
                      <w:color w:val="auto"/>
                      <w:sz w:val="21"/>
                      <w:szCs w:val="21"/>
                    </w:rPr>
                    <w:t>执行标准</w:t>
                  </w:r>
                </w:p>
              </w:tc>
            </w:tr>
            <w:tr w14:paraId="7DB5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5" w:type="pct"/>
                  <w:vAlign w:val="center"/>
                </w:tcPr>
                <w:p w14:paraId="571E3CCE">
                  <w:pPr>
                    <w:pStyle w:val="42"/>
                    <w:rPr>
                      <w:color w:val="auto"/>
                      <w:sz w:val="21"/>
                      <w:szCs w:val="21"/>
                    </w:rPr>
                  </w:pPr>
                  <w:r>
                    <w:rPr>
                      <w:rFonts w:hint="eastAsia"/>
                      <w:color w:val="auto"/>
                      <w:sz w:val="21"/>
                      <w:szCs w:val="21"/>
                    </w:rPr>
                    <w:t>重点防渗</w:t>
                  </w:r>
                </w:p>
              </w:tc>
              <w:tc>
                <w:tcPr>
                  <w:tcW w:w="871" w:type="pct"/>
                  <w:vAlign w:val="center"/>
                </w:tcPr>
                <w:p w14:paraId="08ED65A0">
                  <w:pPr>
                    <w:pStyle w:val="42"/>
                    <w:rPr>
                      <w:rFonts w:hint="eastAsia" w:eastAsia="宋体"/>
                      <w:color w:val="auto"/>
                      <w:sz w:val="21"/>
                      <w:szCs w:val="21"/>
                      <w:lang w:eastAsia="zh-CN"/>
                    </w:rPr>
                  </w:pPr>
                  <w:r>
                    <w:rPr>
                      <w:rFonts w:hint="eastAsia"/>
                      <w:color w:val="auto"/>
                      <w:sz w:val="21"/>
                      <w:szCs w:val="21"/>
                      <w:lang w:eastAsia="zh-CN"/>
                    </w:rPr>
                    <w:t>危废贮存库</w:t>
                  </w:r>
                </w:p>
              </w:tc>
              <w:tc>
                <w:tcPr>
                  <w:tcW w:w="1243" w:type="pct"/>
                  <w:vAlign w:val="center"/>
                </w:tcPr>
                <w:p w14:paraId="0E367E15">
                  <w:pPr>
                    <w:pStyle w:val="42"/>
                    <w:rPr>
                      <w:color w:val="auto"/>
                      <w:sz w:val="21"/>
                      <w:szCs w:val="21"/>
                    </w:rPr>
                  </w:pPr>
                  <w:r>
                    <w:rPr>
                      <w:rFonts w:hint="eastAsia"/>
                      <w:color w:val="auto"/>
                      <w:sz w:val="21"/>
                      <w:szCs w:val="21"/>
                    </w:rPr>
                    <w:t>采用2mm厚HDPE膜+20cm厚P8等级抗渗混凝土</w:t>
                  </w:r>
                </w:p>
              </w:tc>
              <w:tc>
                <w:tcPr>
                  <w:tcW w:w="871" w:type="pct"/>
                  <w:vAlign w:val="center"/>
                </w:tcPr>
                <w:p w14:paraId="58FBF010">
                  <w:pPr>
                    <w:pStyle w:val="42"/>
                    <w:rPr>
                      <w:color w:val="auto"/>
                      <w:sz w:val="21"/>
                      <w:szCs w:val="21"/>
                    </w:rPr>
                  </w:pPr>
                  <w:r>
                    <w:rPr>
                      <w:rFonts w:hint="eastAsia"/>
                      <w:color w:val="auto"/>
                      <w:sz w:val="21"/>
                      <w:szCs w:val="21"/>
                    </w:rPr>
                    <w:t>K≤1×10</w:t>
                  </w:r>
                  <w:r>
                    <w:rPr>
                      <w:rFonts w:hint="eastAsia"/>
                      <w:color w:val="auto"/>
                      <w:sz w:val="21"/>
                      <w:szCs w:val="21"/>
                      <w:vertAlign w:val="superscript"/>
                    </w:rPr>
                    <w:t>-10</w:t>
                  </w:r>
                  <w:r>
                    <w:rPr>
                      <w:rFonts w:hint="eastAsia"/>
                      <w:color w:val="auto"/>
                      <w:sz w:val="21"/>
                      <w:szCs w:val="21"/>
                    </w:rPr>
                    <w:t>cm/s</w:t>
                  </w:r>
                </w:p>
              </w:tc>
              <w:tc>
                <w:tcPr>
                  <w:tcW w:w="1367" w:type="pct"/>
                  <w:vAlign w:val="center"/>
                </w:tcPr>
                <w:p w14:paraId="701FA704">
                  <w:pPr>
                    <w:pStyle w:val="42"/>
                    <w:rPr>
                      <w:color w:val="auto"/>
                      <w:sz w:val="21"/>
                      <w:szCs w:val="21"/>
                    </w:rPr>
                  </w:pPr>
                  <w:r>
                    <w:rPr>
                      <w:rFonts w:hint="eastAsia"/>
                      <w:color w:val="auto"/>
                      <w:sz w:val="21"/>
                      <w:szCs w:val="21"/>
                    </w:rPr>
                    <w:t>《危险废物贮存污染控制标准》（GB18597-20</w:t>
                  </w:r>
                  <w:r>
                    <w:rPr>
                      <w:color w:val="auto"/>
                      <w:sz w:val="21"/>
                      <w:szCs w:val="21"/>
                    </w:rPr>
                    <w:t>23</w:t>
                  </w:r>
                  <w:r>
                    <w:rPr>
                      <w:rFonts w:hint="eastAsia"/>
                      <w:color w:val="auto"/>
                      <w:sz w:val="21"/>
                      <w:szCs w:val="21"/>
                    </w:rPr>
                    <w:t>）</w:t>
                  </w:r>
                </w:p>
              </w:tc>
            </w:tr>
            <w:tr w14:paraId="5FBE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45" w:type="pct"/>
                  <w:vAlign w:val="center"/>
                </w:tcPr>
                <w:p w14:paraId="74B6C1AB">
                  <w:pPr>
                    <w:pStyle w:val="42"/>
                    <w:rPr>
                      <w:color w:val="auto"/>
                      <w:sz w:val="21"/>
                      <w:szCs w:val="21"/>
                    </w:rPr>
                  </w:pPr>
                  <w:r>
                    <w:rPr>
                      <w:rFonts w:hint="eastAsia"/>
                      <w:color w:val="auto"/>
                      <w:sz w:val="21"/>
                      <w:szCs w:val="21"/>
                    </w:rPr>
                    <w:t>一般防渗区</w:t>
                  </w:r>
                </w:p>
              </w:tc>
              <w:tc>
                <w:tcPr>
                  <w:tcW w:w="871" w:type="pct"/>
                  <w:vAlign w:val="center"/>
                </w:tcPr>
                <w:p w14:paraId="0179A5DF">
                  <w:pPr>
                    <w:pStyle w:val="42"/>
                    <w:rPr>
                      <w:color w:val="auto"/>
                      <w:sz w:val="21"/>
                      <w:szCs w:val="21"/>
                    </w:rPr>
                  </w:pPr>
                  <w:r>
                    <w:rPr>
                      <w:rFonts w:hint="eastAsia"/>
                      <w:color w:val="auto"/>
                      <w:sz w:val="21"/>
                      <w:szCs w:val="21"/>
                    </w:rPr>
                    <w:t>其余车间、一般固废库</w:t>
                  </w:r>
                </w:p>
              </w:tc>
              <w:tc>
                <w:tcPr>
                  <w:tcW w:w="1243" w:type="pct"/>
                  <w:vAlign w:val="center"/>
                </w:tcPr>
                <w:p w14:paraId="2D237577">
                  <w:pPr>
                    <w:pStyle w:val="42"/>
                    <w:rPr>
                      <w:color w:val="auto"/>
                      <w:sz w:val="21"/>
                      <w:szCs w:val="21"/>
                    </w:rPr>
                  </w:pPr>
                  <w:r>
                    <w:rPr>
                      <w:rFonts w:hint="eastAsia"/>
                      <w:color w:val="auto"/>
                      <w:sz w:val="21"/>
                      <w:szCs w:val="21"/>
                    </w:rPr>
                    <w:t>采用20cm厚P6等级抗渗混凝土进行防渗（渗透系数K=0.49×10</w:t>
                  </w:r>
                  <w:r>
                    <w:rPr>
                      <w:rFonts w:hint="eastAsia"/>
                      <w:color w:val="auto"/>
                      <w:sz w:val="21"/>
                      <w:szCs w:val="21"/>
                      <w:vertAlign w:val="superscript"/>
                    </w:rPr>
                    <w:t>-8</w:t>
                  </w:r>
                  <w:r>
                    <w:rPr>
                      <w:rFonts w:hint="eastAsia"/>
                      <w:color w:val="auto"/>
                      <w:sz w:val="21"/>
                      <w:szCs w:val="21"/>
                    </w:rPr>
                    <w:t>cm/s）</w:t>
                  </w:r>
                </w:p>
              </w:tc>
              <w:tc>
                <w:tcPr>
                  <w:tcW w:w="871" w:type="pct"/>
                  <w:vAlign w:val="center"/>
                </w:tcPr>
                <w:p w14:paraId="2BF8BA13">
                  <w:pPr>
                    <w:pStyle w:val="42"/>
                    <w:rPr>
                      <w:color w:val="auto"/>
                      <w:sz w:val="21"/>
                      <w:szCs w:val="21"/>
                    </w:rPr>
                  </w:pPr>
                  <w:r>
                    <w:rPr>
                      <w:rFonts w:hint="eastAsia"/>
                      <w:color w:val="auto"/>
                      <w:sz w:val="21"/>
                      <w:szCs w:val="21"/>
                    </w:rPr>
                    <w:t>Mb≥1.5m</w:t>
                  </w:r>
                </w:p>
                <w:p w14:paraId="527E5200">
                  <w:pPr>
                    <w:pStyle w:val="42"/>
                    <w:rPr>
                      <w:color w:val="auto"/>
                      <w:sz w:val="21"/>
                      <w:szCs w:val="21"/>
                    </w:rPr>
                  </w:pPr>
                  <w:r>
                    <w:rPr>
                      <w:rFonts w:hint="eastAsia"/>
                      <w:color w:val="auto"/>
                      <w:sz w:val="21"/>
                      <w:szCs w:val="21"/>
                    </w:rPr>
                    <w:t>K≤1×10</w:t>
                  </w:r>
                  <w:r>
                    <w:rPr>
                      <w:rFonts w:hint="eastAsia"/>
                      <w:color w:val="auto"/>
                      <w:sz w:val="21"/>
                      <w:szCs w:val="21"/>
                      <w:vertAlign w:val="superscript"/>
                    </w:rPr>
                    <w:t>-7</w:t>
                  </w:r>
                  <w:r>
                    <w:rPr>
                      <w:rFonts w:hint="eastAsia"/>
                      <w:color w:val="auto"/>
                      <w:sz w:val="21"/>
                      <w:szCs w:val="21"/>
                    </w:rPr>
                    <w:t>cm/s</w:t>
                  </w:r>
                </w:p>
              </w:tc>
              <w:tc>
                <w:tcPr>
                  <w:tcW w:w="1367" w:type="pct"/>
                  <w:vAlign w:val="center"/>
                </w:tcPr>
                <w:p w14:paraId="1C129E42">
                  <w:pPr>
                    <w:pStyle w:val="42"/>
                    <w:rPr>
                      <w:color w:val="auto"/>
                      <w:sz w:val="21"/>
                      <w:szCs w:val="21"/>
                    </w:rPr>
                  </w:pPr>
                  <w:r>
                    <w:rPr>
                      <w:rFonts w:hint="eastAsia"/>
                      <w:color w:val="auto"/>
                      <w:sz w:val="21"/>
                      <w:szCs w:val="21"/>
                    </w:rPr>
                    <w:t>《环境影响评价技术导则地下水环境》（HJ610-2016）一般防渗要求</w:t>
                  </w:r>
                </w:p>
              </w:tc>
            </w:tr>
            <w:tr w14:paraId="7E80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645" w:type="pct"/>
                  <w:vAlign w:val="center"/>
                </w:tcPr>
                <w:p w14:paraId="2B698825">
                  <w:pPr>
                    <w:pStyle w:val="42"/>
                    <w:rPr>
                      <w:color w:val="auto"/>
                      <w:sz w:val="21"/>
                      <w:szCs w:val="21"/>
                    </w:rPr>
                  </w:pPr>
                  <w:r>
                    <w:rPr>
                      <w:rFonts w:hint="eastAsia"/>
                      <w:color w:val="auto"/>
                      <w:sz w:val="21"/>
                      <w:szCs w:val="21"/>
                    </w:rPr>
                    <w:t>简单防渗区</w:t>
                  </w:r>
                </w:p>
              </w:tc>
              <w:tc>
                <w:tcPr>
                  <w:tcW w:w="871" w:type="pct"/>
                  <w:vAlign w:val="center"/>
                </w:tcPr>
                <w:p w14:paraId="686FDBDA">
                  <w:pPr>
                    <w:pStyle w:val="42"/>
                    <w:rPr>
                      <w:color w:val="auto"/>
                      <w:sz w:val="21"/>
                      <w:szCs w:val="21"/>
                    </w:rPr>
                  </w:pPr>
                  <w:r>
                    <w:rPr>
                      <w:rFonts w:hint="eastAsia"/>
                      <w:color w:val="auto"/>
                      <w:sz w:val="21"/>
                      <w:szCs w:val="21"/>
                    </w:rPr>
                    <w:t>除重点防渗和一般防渗区的其他区域</w:t>
                  </w:r>
                </w:p>
              </w:tc>
              <w:tc>
                <w:tcPr>
                  <w:tcW w:w="1243" w:type="pct"/>
                  <w:vAlign w:val="center"/>
                </w:tcPr>
                <w:p w14:paraId="0951EF36">
                  <w:pPr>
                    <w:pStyle w:val="42"/>
                    <w:rPr>
                      <w:color w:val="auto"/>
                      <w:sz w:val="21"/>
                      <w:szCs w:val="21"/>
                    </w:rPr>
                  </w:pPr>
                  <w:r>
                    <w:rPr>
                      <w:rFonts w:hint="eastAsia"/>
                      <w:color w:val="auto"/>
                      <w:sz w:val="21"/>
                      <w:szCs w:val="21"/>
                    </w:rPr>
                    <w:t>一般水泥硬化</w:t>
                  </w:r>
                </w:p>
              </w:tc>
              <w:tc>
                <w:tcPr>
                  <w:tcW w:w="871" w:type="pct"/>
                  <w:vAlign w:val="center"/>
                </w:tcPr>
                <w:p w14:paraId="204C0379">
                  <w:pPr>
                    <w:pStyle w:val="42"/>
                    <w:rPr>
                      <w:color w:val="auto"/>
                      <w:sz w:val="21"/>
                      <w:szCs w:val="21"/>
                    </w:rPr>
                  </w:pPr>
                  <w:r>
                    <w:rPr>
                      <w:rFonts w:hint="eastAsia"/>
                      <w:color w:val="auto"/>
                      <w:sz w:val="21"/>
                      <w:szCs w:val="21"/>
                    </w:rPr>
                    <w:t>一般地面硬化</w:t>
                  </w:r>
                </w:p>
              </w:tc>
              <w:tc>
                <w:tcPr>
                  <w:tcW w:w="1367" w:type="pct"/>
                  <w:vAlign w:val="center"/>
                </w:tcPr>
                <w:p w14:paraId="5C5878A3">
                  <w:pPr>
                    <w:pStyle w:val="42"/>
                    <w:rPr>
                      <w:color w:val="auto"/>
                      <w:sz w:val="21"/>
                      <w:szCs w:val="21"/>
                    </w:rPr>
                  </w:pPr>
                  <w:r>
                    <w:rPr>
                      <w:rFonts w:hint="eastAsia"/>
                      <w:color w:val="auto"/>
                      <w:sz w:val="21"/>
                      <w:szCs w:val="21"/>
                    </w:rPr>
                    <w:t>《环境影响评价技术导则地下水环境》（HJ610-2016）简单防渗要求</w:t>
                  </w:r>
                </w:p>
              </w:tc>
            </w:tr>
            <w:bookmarkEnd w:id="43"/>
          </w:tbl>
          <w:p w14:paraId="7450C784">
            <w:pPr>
              <w:spacing w:line="360" w:lineRule="auto"/>
              <w:ind w:firstLine="420" w:firstLineChars="200"/>
              <w:rPr>
                <w:b/>
                <w:color w:val="auto"/>
                <w:szCs w:val="21"/>
              </w:rPr>
            </w:pPr>
            <w:r>
              <w:rPr>
                <w:bCs/>
                <w:color w:val="auto"/>
                <w:szCs w:val="21"/>
              </w:rPr>
              <w:t>具体防渗结构应由专业设计单位设计确定，但不应低于环评提出的防渗级别和要求。</w:t>
            </w:r>
          </w:p>
          <w:p w14:paraId="68203334">
            <w:pPr>
              <w:spacing w:line="360" w:lineRule="auto"/>
              <w:ind w:firstLine="480"/>
              <w:rPr>
                <w:b/>
                <w:color w:val="auto"/>
                <w:szCs w:val="21"/>
              </w:rPr>
            </w:pPr>
            <w:r>
              <w:rPr>
                <w:b/>
                <w:color w:val="auto"/>
                <w:szCs w:val="21"/>
              </w:rPr>
              <w:t>6、土壤污染防治措施</w:t>
            </w:r>
          </w:p>
          <w:p w14:paraId="5D255850">
            <w:pPr>
              <w:spacing w:line="360" w:lineRule="auto"/>
              <w:ind w:firstLine="480"/>
              <w:rPr>
                <w:bCs/>
                <w:color w:val="auto"/>
                <w:szCs w:val="21"/>
              </w:rPr>
            </w:pPr>
            <w:r>
              <w:rPr>
                <w:bCs/>
                <w:color w:val="auto"/>
                <w:szCs w:val="21"/>
              </w:rPr>
              <w:t>本项目</w:t>
            </w:r>
            <w:r>
              <w:rPr>
                <w:rFonts w:hint="eastAsia"/>
                <w:bCs/>
                <w:color w:val="auto"/>
                <w:szCs w:val="21"/>
              </w:rPr>
              <w:t>占地为工业用地；</w:t>
            </w:r>
            <w:r>
              <w:rPr>
                <w:bCs/>
                <w:color w:val="auto"/>
                <w:szCs w:val="21"/>
              </w:rPr>
              <w:t>污染物质可以通过多种途径进入土壤，主要类型有以下三种：</w:t>
            </w:r>
          </w:p>
          <w:p w14:paraId="6D95EABB">
            <w:pPr>
              <w:spacing w:line="360" w:lineRule="auto"/>
              <w:ind w:firstLine="480"/>
              <w:rPr>
                <w:bCs/>
                <w:color w:val="auto"/>
                <w:szCs w:val="21"/>
              </w:rPr>
            </w:pPr>
            <w:r>
              <w:rPr>
                <w:bCs/>
                <w:color w:val="auto"/>
                <w:szCs w:val="21"/>
              </w:rPr>
              <w:t>1）大气污染型：污染物质来源于被污染的大气，污染物质主要集中在土壤表层，大气中的颗粒物等降落地面，会造成土壤的</w:t>
            </w:r>
            <w:r>
              <w:rPr>
                <w:rFonts w:hint="eastAsia"/>
                <w:bCs/>
                <w:color w:val="auto"/>
                <w:szCs w:val="21"/>
                <w:lang w:eastAsia="zh-CN"/>
              </w:rPr>
              <w:t>多重</w:t>
            </w:r>
            <w:r>
              <w:rPr>
                <w:bCs/>
                <w:color w:val="auto"/>
                <w:szCs w:val="21"/>
              </w:rPr>
              <w:t>污染。</w:t>
            </w:r>
          </w:p>
          <w:p w14:paraId="3132C089">
            <w:pPr>
              <w:spacing w:line="360" w:lineRule="auto"/>
              <w:ind w:firstLine="480"/>
              <w:rPr>
                <w:bCs/>
                <w:color w:val="auto"/>
                <w:szCs w:val="21"/>
              </w:rPr>
            </w:pPr>
            <w:r>
              <w:rPr>
                <w:bCs/>
                <w:color w:val="auto"/>
                <w:szCs w:val="21"/>
              </w:rPr>
              <w:t>2）水污染型：生活污水发生泄漏，致使土壤受到无机盐、有机物的污染。</w:t>
            </w:r>
          </w:p>
          <w:p w14:paraId="68081F88">
            <w:pPr>
              <w:spacing w:line="360" w:lineRule="auto"/>
              <w:ind w:firstLine="480"/>
              <w:rPr>
                <w:bCs/>
                <w:color w:val="auto"/>
                <w:szCs w:val="21"/>
              </w:rPr>
            </w:pPr>
            <w:r>
              <w:rPr>
                <w:bCs/>
                <w:color w:val="auto"/>
                <w:szCs w:val="21"/>
              </w:rPr>
              <w:t>3）固体废物污染型：一般固体废物及各项危险废物等在运输、贮存或堆放过程中通过扩散、降水淋洗等直接或间接地影响土壤。</w:t>
            </w:r>
          </w:p>
          <w:p w14:paraId="46EA0D48">
            <w:pPr>
              <w:spacing w:line="360" w:lineRule="auto"/>
              <w:ind w:firstLine="480"/>
              <w:rPr>
                <w:bCs/>
                <w:color w:val="auto"/>
                <w:szCs w:val="21"/>
              </w:rPr>
            </w:pPr>
            <w:r>
              <w:rPr>
                <w:bCs/>
                <w:color w:val="auto"/>
                <w:szCs w:val="21"/>
              </w:rPr>
              <w:t>本项目厂区地面全部硬化处理，废气污染物排放量较小，可经过收集治理后达标排放，不会对周边土壤环境造成明显不利影响；污水可通过</w:t>
            </w:r>
            <w:r>
              <w:rPr>
                <w:rFonts w:hint="eastAsia"/>
                <w:bCs/>
                <w:color w:val="auto"/>
                <w:szCs w:val="21"/>
              </w:rPr>
              <w:t>处置后回用</w:t>
            </w:r>
            <w:r>
              <w:rPr>
                <w:bCs/>
                <w:color w:val="auto"/>
                <w:szCs w:val="21"/>
              </w:rPr>
              <w:t>；同时，各项固体废物均分类收集并进行合理无害化处置。因此，本项目运营对区域土壤环境影响较小。</w:t>
            </w:r>
          </w:p>
          <w:p w14:paraId="64675CB7">
            <w:pPr>
              <w:spacing w:line="360" w:lineRule="auto"/>
              <w:ind w:firstLine="480"/>
              <w:rPr>
                <w:b/>
                <w:color w:val="auto"/>
                <w:szCs w:val="21"/>
              </w:rPr>
            </w:pPr>
            <w:r>
              <w:rPr>
                <w:rFonts w:hint="eastAsia"/>
                <w:b/>
                <w:color w:val="auto"/>
                <w:szCs w:val="21"/>
              </w:rPr>
              <w:t>综上，本项目针对可能造成地下水和土壤污染影响的各途径均进行有效预防，在确保各项防控措施得以落实，并加强环境管理的前提下，可有效杜绝污染地下水和土壤。</w:t>
            </w:r>
          </w:p>
          <w:p w14:paraId="7B862568">
            <w:pPr>
              <w:spacing w:line="360" w:lineRule="auto"/>
              <w:ind w:firstLine="480"/>
              <w:rPr>
                <w:bCs/>
                <w:color w:val="auto"/>
                <w:szCs w:val="21"/>
              </w:rPr>
            </w:pPr>
            <w:r>
              <w:rPr>
                <w:b/>
                <w:color w:val="auto"/>
                <w:szCs w:val="21"/>
              </w:rPr>
              <w:t>7、环境风险</w:t>
            </w:r>
          </w:p>
          <w:p w14:paraId="7468AC88">
            <w:pPr>
              <w:adjustRightInd w:val="0"/>
              <w:snapToGrid w:val="0"/>
              <w:spacing w:line="360" w:lineRule="auto"/>
              <w:ind w:firstLine="422" w:firstLineChars="200"/>
              <w:outlineLvl w:val="0"/>
              <w:rPr>
                <w:b/>
                <w:bCs/>
                <w:color w:val="auto"/>
                <w:szCs w:val="21"/>
              </w:rPr>
            </w:pPr>
            <w:r>
              <w:rPr>
                <w:b/>
                <w:bCs/>
                <w:color w:val="auto"/>
                <w:szCs w:val="21"/>
              </w:rPr>
              <w:t>（1）风险源调查</w:t>
            </w:r>
          </w:p>
          <w:p w14:paraId="0456ACC8">
            <w:pPr>
              <w:autoSpaceDE w:val="0"/>
              <w:autoSpaceDN w:val="0"/>
              <w:spacing w:line="360" w:lineRule="auto"/>
              <w:ind w:firstLine="420" w:firstLineChars="200"/>
              <w:rPr>
                <w:rStyle w:val="31"/>
                <w:color w:val="auto"/>
              </w:rPr>
            </w:pPr>
            <w:r>
              <w:rPr>
                <w:rStyle w:val="31"/>
                <w:rFonts w:hint="eastAsia"/>
                <w:color w:val="auto"/>
              </w:rPr>
              <w:t>项目生产过程潜在危险性主要为突发事故情况下废气处理设备故障导致废气（氨、硫化氢、颗粒物）等污染物的超标排放、</w:t>
            </w:r>
            <w:r>
              <w:rPr>
                <w:rStyle w:val="31"/>
                <w:rFonts w:hint="eastAsia"/>
                <w:color w:val="auto"/>
                <w:lang w:val="en-US" w:eastAsia="zh-CN"/>
              </w:rPr>
              <w:t>液体</w:t>
            </w:r>
            <w:r>
              <w:rPr>
                <w:rStyle w:val="31"/>
                <w:rFonts w:hint="eastAsia"/>
                <w:color w:val="auto"/>
              </w:rPr>
              <w:t>泄漏下渗至土壤和地下水中污染土壤和地下水环境等。</w:t>
            </w:r>
          </w:p>
          <w:p w14:paraId="622AF214">
            <w:pPr>
              <w:autoSpaceDE w:val="0"/>
              <w:autoSpaceDN w:val="0"/>
              <w:spacing w:line="360" w:lineRule="auto"/>
              <w:ind w:firstLine="422" w:firstLineChars="200"/>
              <w:rPr>
                <w:b/>
                <w:color w:val="auto"/>
                <w:szCs w:val="21"/>
              </w:rPr>
            </w:pPr>
            <w:r>
              <w:rPr>
                <w:b/>
                <w:color w:val="auto"/>
                <w:szCs w:val="21"/>
              </w:rPr>
              <w:t>（2）环境风险潜势初判</w:t>
            </w:r>
          </w:p>
          <w:p w14:paraId="77DBEFF8">
            <w:pPr>
              <w:autoSpaceDE w:val="0"/>
              <w:autoSpaceDN w:val="0"/>
              <w:spacing w:line="360" w:lineRule="auto"/>
              <w:ind w:firstLine="422" w:firstLineChars="200"/>
              <w:rPr>
                <w:rFonts w:hint="eastAsia"/>
                <w:b/>
                <w:color w:val="auto"/>
                <w:szCs w:val="21"/>
              </w:rPr>
            </w:pPr>
            <w:r>
              <w:rPr>
                <w:rFonts w:hint="eastAsia"/>
                <w:b/>
                <w:color w:val="auto"/>
                <w:szCs w:val="21"/>
              </w:rPr>
              <w:t>本项目生产过程中所涉及的易燃有害物质根据《建设项目环境风险评价技术导则》（HJ/T169-2018）表B.1突发环境事件风险物质及临界量油类物质</w:t>
            </w:r>
          </w:p>
          <w:p w14:paraId="1C67165D">
            <w:pPr>
              <w:autoSpaceDE w:val="0"/>
              <w:autoSpaceDN w:val="0"/>
              <w:spacing w:line="360" w:lineRule="auto"/>
              <w:ind w:firstLine="420" w:firstLineChars="200"/>
              <w:rPr>
                <w:rFonts w:hint="default"/>
                <w:color w:val="auto"/>
                <w:szCs w:val="21"/>
                <w:lang w:val="en-US" w:eastAsia="zh-CN"/>
              </w:rPr>
            </w:pPr>
            <w:r>
              <w:rPr>
                <w:rFonts w:hint="default"/>
                <w:color w:val="auto"/>
                <w:szCs w:val="21"/>
                <w:lang w:val="en-US" w:eastAsia="zh-CN"/>
              </w:rPr>
              <w:t>按照《建设项目环境风险评价技术导则》（HJ169-2018）附录B，结合各种物质的理化性质及毒理毒性，可识别出本项目的危险物质及临界量。根据下式计算危险物质及临界量的比值Q：</w:t>
            </w:r>
          </w:p>
          <w:p w14:paraId="6D6EDD2F">
            <w:pPr>
              <w:autoSpaceDE w:val="0"/>
              <w:autoSpaceDN w:val="0"/>
              <w:spacing w:line="360" w:lineRule="auto"/>
              <w:ind w:firstLine="420" w:firstLineChars="200"/>
              <w:rPr>
                <w:rFonts w:hint="default"/>
                <w:color w:val="auto"/>
                <w:szCs w:val="21"/>
                <w:lang w:val="en-US" w:eastAsia="zh-CN"/>
              </w:rPr>
            </w:pPr>
            <w:r>
              <w:rPr>
                <w:rFonts w:hint="default"/>
                <w:color w:val="auto"/>
                <w:szCs w:val="21"/>
                <w:lang w:val="en-US" w:eastAsia="zh-CN"/>
              </w:rPr>
              <w:drawing>
                <wp:inline distT="0" distB="0" distL="114300" distR="114300">
                  <wp:extent cx="1478915" cy="481965"/>
                  <wp:effectExtent l="0" t="0" r="6985" b="13335"/>
                  <wp:docPr id="49" name="图片 13" descr="b564658b733577140220b8830d21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b564658b733577140220b8830d21c88"/>
                          <pic:cNvPicPr>
                            <a:picLocks noChangeAspect="1"/>
                          </pic:cNvPicPr>
                        </pic:nvPicPr>
                        <pic:blipFill>
                          <a:blip r:embed="rId24"/>
                          <a:stretch>
                            <a:fillRect/>
                          </a:stretch>
                        </pic:blipFill>
                        <pic:spPr>
                          <a:xfrm>
                            <a:off x="0" y="0"/>
                            <a:ext cx="1478915" cy="481965"/>
                          </a:xfrm>
                          <a:prstGeom prst="rect">
                            <a:avLst/>
                          </a:prstGeom>
                          <a:noFill/>
                          <a:ln>
                            <a:noFill/>
                          </a:ln>
                        </pic:spPr>
                      </pic:pic>
                    </a:graphicData>
                  </a:graphic>
                </wp:inline>
              </w:drawing>
            </w:r>
          </w:p>
          <w:p w14:paraId="538FEDF2">
            <w:pPr>
              <w:autoSpaceDE w:val="0"/>
              <w:autoSpaceDN w:val="0"/>
              <w:spacing w:line="360" w:lineRule="auto"/>
              <w:ind w:firstLine="420" w:firstLineChars="200"/>
              <w:rPr>
                <w:rFonts w:hint="default"/>
                <w:color w:val="auto"/>
                <w:szCs w:val="21"/>
                <w:lang w:val="en-US" w:eastAsia="zh-CN"/>
              </w:rPr>
            </w:pPr>
            <w:r>
              <w:rPr>
                <w:rFonts w:hint="default"/>
                <w:color w:val="auto"/>
                <w:szCs w:val="21"/>
                <w:lang w:val="en-US" w:eastAsia="zh-CN"/>
              </w:rPr>
              <w:t>式中：q1，q2</w:t>
            </w:r>
            <w:r>
              <w:rPr>
                <w:rFonts w:hint="eastAsia"/>
                <w:color w:val="auto"/>
                <w:szCs w:val="21"/>
                <w:lang w:val="en-US" w:eastAsia="zh-CN"/>
              </w:rPr>
              <w:t>，</w:t>
            </w:r>
            <w:r>
              <w:rPr>
                <w:rFonts w:hint="default"/>
                <w:color w:val="auto"/>
                <w:szCs w:val="21"/>
                <w:lang w:val="en-US" w:eastAsia="zh-CN"/>
              </w:rPr>
              <w:t>qn——每种危险物质的最大存在总量，t；</w:t>
            </w:r>
          </w:p>
          <w:p w14:paraId="343B23CA">
            <w:pPr>
              <w:autoSpaceDE w:val="0"/>
              <w:autoSpaceDN w:val="0"/>
              <w:spacing w:line="360" w:lineRule="auto"/>
              <w:ind w:firstLine="420" w:firstLineChars="200"/>
              <w:rPr>
                <w:rFonts w:hint="default"/>
                <w:color w:val="auto"/>
                <w:szCs w:val="21"/>
                <w:lang w:val="en-US" w:eastAsia="zh-CN"/>
              </w:rPr>
            </w:pPr>
            <w:r>
              <w:rPr>
                <w:rFonts w:hint="default"/>
                <w:color w:val="auto"/>
                <w:szCs w:val="21"/>
                <w:lang w:val="en-US" w:eastAsia="zh-CN"/>
              </w:rPr>
              <w:t>Q1，Q2</w:t>
            </w:r>
            <w:r>
              <w:rPr>
                <w:rFonts w:hint="eastAsia"/>
                <w:color w:val="auto"/>
                <w:szCs w:val="21"/>
                <w:lang w:val="en-US" w:eastAsia="zh-CN"/>
              </w:rPr>
              <w:t>，</w:t>
            </w:r>
            <w:r>
              <w:rPr>
                <w:rFonts w:hint="default"/>
                <w:color w:val="auto"/>
                <w:szCs w:val="21"/>
                <w:lang w:val="en-US" w:eastAsia="zh-CN"/>
              </w:rPr>
              <w:t>Qn——每种危险物质的临界量，t。</w:t>
            </w:r>
          </w:p>
          <w:p w14:paraId="6B41E186">
            <w:pPr>
              <w:autoSpaceDE w:val="0"/>
              <w:autoSpaceDN w:val="0"/>
              <w:spacing w:line="360" w:lineRule="auto"/>
              <w:ind w:firstLine="420" w:firstLineChars="200"/>
              <w:rPr>
                <w:rFonts w:hint="default"/>
                <w:color w:val="auto"/>
                <w:szCs w:val="21"/>
                <w:lang w:val="en-US" w:eastAsia="zh-CN"/>
              </w:rPr>
            </w:pPr>
            <w:r>
              <w:rPr>
                <w:rFonts w:hint="default"/>
                <w:color w:val="auto"/>
                <w:szCs w:val="21"/>
                <w:lang w:val="en-US" w:eastAsia="zh-CN"/>
              </w:rPr>
              <w:t>当Q＜1时，该项目环境风险潜势为Ⅰ。</w:t>
            </w:r>
          </w:p>
          <w:p w14:paraId="7EB31400">
            <w:pPr>
              <w:autoSpaceDE w:val="0"/>
              <w:autoSpaceDN w:val="0"/>
              <w:spacing w:line="360" w:lineRule="auto"/>
              <w:ind w:firstLine="420" w:firstLineChars="200"/>
              <w:rPr>
                <w:rFonts w:hint="default"/>
                <w:color w:val="auto"/>
                <w:szCs w:val="21"/>
                <w:lang w:val="en-US" w:eastAsia="zh-CN"/>
              </w:rPr>
            </w:pPr>
            <w:r>
              <w:rPr>
                <w:rFonts w:hint="default"/>
                <w:color w:val="auto"/>
                <w:szCs w:val="21"/>
                <w:lang w:val="en-US" w:eastAsia="zh-CN"/>
              </w:rPr>
              <w:t>当Q≥1时，将Q值划分为：（1）1≤Q＜10；（2）10≤Q＜100；（3）Q≥100</w:t>
            </w:r>
          </w:p>
          <w:p w14:paraId="611EB448">
            <w:pPr>
              <w:autoSpaceDE w:val="0"/>
              <w:autoSpaceDN w:val="0"/>
              <w:adjustRightInd w:val="0"/>
              <w:snapToGrid w:val="0"/>
              <w:jc w:val="center"/>
              <w:rPr>
                <w:rFonts w:hint="default"/>
                <w:b/>
                <w:bCs/>
                <w:color w:val="auto"/>
                <w:kern w:val="0"/>
                <w:szCs w:val="21"/>
              </w:rPr>
            </w:pPr>
            <w:r>
              <w:rPr>
                <w:rFonts w:hint="default"/>
                <w:b/>
                <w:bCs/>
                <w:color w:val="auto"/>
                <w:kern w:val="0"/>
                <w:szCs w:val="21"/>
                <w:lang w:val="en-US" w:eastAsia="zh-CN"/>
              </w:rPr>
              <w:t>表4-</w:t>
            </w:r>
            <w:r>
              <w:rPr>
                <w:rFonts w:hint="eastAsia"/>
                <w:b/>
                <w:bCs/>
                <w:color w:val="auto"/>
                <w:kern w:val="0"/>
                <w:szCs w:val="21"/>
                <w:lang w:val="en-US" w:eastAsia="zh-CN"/>
              </w:rPr>
              <w:t>22</w:t>
            </w:r>
            <w:r>
              <w:rPr>
                <w:rFonts w:hint="default"/>
                <w:b/>
                <w:bCs/>
                <w:color w:val="auto"/>
                <w:kern w:val="0"/>
                <w:szCs w:val="21"/>
                <w:lang w:val="en-US" w:eastAsia="zh-CN"/>
              </w:rPr>
              <w:t>危险物质生产单元及贮存单元物质量一览表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8"/>
              <w:gridCol w:w="2121"/>
              <w:gridCol w:w="1611"/>
              <w:gridCol w:w="1765"/>
              <w:gridCol w:w="1789"/>
            </w:tblGrid>
            <w:tr w14:paraId="6648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4" w:type="pct"/>
                  <w:noWrap w:val="0"/>
                  <w:vAlign w:val="center"/>
                </w:tcPr>
                <w:p w14:paraId="66C09699">
                  <w:pPr>
                    <w:pStyle w:val="42"/>
                    <w:rPr>
                      <w:rFonts w:hint="default"/>
                      <w:color w:val="auto"/>
                      <w:sz w:val="21"/>
                      <w:szCs w:val="21"/>
                    </w:rPr>
                  </w:pPr>
                  <w:r>
                    <w:rPr>
                      <w:rFonts w:hint="default"/>
                      <w:color w:val="auto"/>
                      <w:sz w:val="21"/>
                      <w:szCs w:val="21"/>
                    </w:rPr>
                    <w:t>序号</w:t>
                  </w:r>
                </w:p>
              </w:tc>
              <w:tc>
                <w:tcPr>
                  <w:tcW w:w="1323" w:type="pct"/>
                  <w:noWrap w:val="0"/>
                  <w:vAlign w:val="center"/>
                </w:tcPr>
                <w:p w14:paraId="1990847B">
                  <w:pPr>
                    <w:pStyle w:val="42"/>
                    <w:rPr>
                      <w:rFonts w:hint="default"/>
                      <w:color w:val="auto"/>
                      <w:sz w:val="21"/>
                      <w:szCs w:val="21"/>
                    </w:rPr>
                  </w:pPr>
                  <w:r>
                    <w:rPr>
                      <w:rFonts w:hint="default"/>
                      <w:color w:val="auto"/>
                      <w:sz w:val="21"/>
                      <w:szCs w:val="21"/>
                    </w:rPr>
                    <w:t>物质名称</w:t>
                  </w:r>
                </w:p>
              </w:tc>
              <w:tc>
                <w:tcPr>
                  <w:tcW w:w="1005" w:type="pct"/>
                  <w:noWrap w:val="0"/>
                  <w:vAlign w:val="center"/>
                </w:tcPr>
                <w:p w14:paraId="7D994565">
                  <w:pPr>
                    <w:pStyle w:val="42"/>
                    <w:rPr>
                      <w:rFonts w:hint="default"/>
                      <w:color w:val="auto"/>
                      <w:sz w:val="21"/>
                      <w:szCs w:val="21"/>
                    </w:rPr>
                  </w:pPr>
                  <w:r>
                    <w:rPr>
                      <w:rFonts w:hint="default"/>
                      <w:color w:val="auto"/>
                      <w:sz w:val="21"/>
                      <w:szCs w:val="21"/>
                    </w:rPr>
                    <w:t>储存量（t）</w:t>
                  </w:r>
                </w:p>
              </w:tc>
              <w:tc>
                <w:tcPr>
                  <w:tcW w:w="1101" w:type="pct"/>
                  <w:noWrap w:val="0"/>
                  <w:vAlign w:val="center"/>
                </w:tcPr>
                <w:p w14:paraId="3A9EF9C1">
                  <w:pPr>
                    <w:pStyle w:val="42"/>
                    <w:rPr>
                      <w:rFonts w:hint="default"/>
                      <w:color w:val="auto"/>
                      <w:sz w:val="21"/>
                      <w:szCs w:val="21"/>
                    </w:rPr>
                  </w:pPr>
                  <w:r>
                    <w:rPr>
                      <w:rFonts w:hint="default"/>
                      <w:color w:val="auto"/>
                      <w:sz w:val="21"/>
                      <w:szCs w:val="21"/>
                    </w:rPr>
                    <w:t>临界量（t）</w:t>
                  </w:r>
                </w:p>
              </w:tc>
              <w:tc>
                <w:tcPr>
                  <w:tcW w:w="1116" w:type="pct"/>
                  <w:noWrap w:val="0"/>
                  <w:vAlign w:val="center"/>
                </w:tcPr>
                <w:p w14:paraId="0EFF2D1E">
                  <w:pPr>
                    <w:pStyle w:val="42"/>
                    <w:rPr>
                      <w:rFonts w:hint="default"/>
                      <w:color w:val="auto"/>
                      <w:sz w:val="21"/>
                      <w:szCs w:val="21"/>
                      <w:lang w:val="en-US" w:eastAsia="zh-CN"/>
                    </w:rPr>
                  </w:pPr>
                  <w:r>
                    <w:rPr>
                      <w:rFonts w:hint="default"/>
                      <w:color w:val="auto"/>
                      <w:sz w:val="21"/>
                      <w:szCs w:val="21"/>
                      <w:lang w:val="en-US" w:eastAsia="zh-CN"/>
                    </w:rPr>
                    <w:t>qn/Qn</w:t>
                  </w:r>
                </w:p>
              </w:tc>
            </w:tr>
            <w:tr w14:paraId="163C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4" w:type="pct"/>
                  <w:noWrap w:val="0"/>
                  <w:vAlign w:val="center"/>
                </w:tcPr>
                <w:p w14:paraId="4C7FFD59">
                  <w:pPr>
                    <w:pStyle w:val="42"/>
                    <w:rPr>
                      <w:rFonts w:hint="eastAsia"/>
                      <w:color w:val="auto"/>
                      <w:sz w:val="21"/>
                      <w:szCs w:val="21"/>
                      <w:lang w:val="en-US" w:eastAsia="zh-CN"/>
                    </w:rPr>
                  </w:pPr>
                  <w:r>
                    <w:rPr>
                      <w:rFonts w:hint="eastAsia"/>
                      <w:color w:val="auto"/>
                      <w:sz w:val="21"/>
                      <w:szCs w:val="21"/>
                      <w:lang w:val="en-US" w:eastAsia="zh-CN"/>
                    </w:rPr>
                    <w:t>1</w:t>
                  </w:r>
                </w:p>
              </w:tc>
              <w:tc>
                <w:tcPr>
                  <w:tcW w:w="1323" w:type="pct"/>
                  <w:noWrap w:val="0"/>
                  <w:vAlign w:val="center"/>
                </w:tcPr>
                <w:p w14:paraId="31A22B87">
                  <w:pPr>
                    <w:pStyle w:val="42"/>
                    <w:rPr>
                      <w:rFonts w:hint="default"/>
                      <w:color w:val="auto"/>
                      <w:sz w:val="21"/>
                      <w:szCs w:val="21"/>
                      <w:lang w:eastAsia="zh-CN"/>
                    </w:rPr>
                  </w:pPr>
                  <w:r>
                    <w:rPr>
                      <w:rFonts w:hint="eastAsia"/>
                      <w:color w:val="auto"/>
                      <w:sz w:val="21"/>
                      <w:szCs w:val="21"/>
                      <w:lang w:val="en-US" w:eastAsia="zh-CN"/>
                    </w:rPr>
                    <w:t>废</w:t>
                  </w:r>
                  <w:r>
                    <w:rPr>
                      <w:rFonts w:hint="default"/>
                      <w:color w:val="auto"/>
                      <w:sz w:val="21"/>
                      <w:szCs w:val="21"/>
                      <w:lang w:eastAsia="zh-CN"/>
                    </w:rPr>
                    <w:t>机油（润滑油）</w:t>
                  </w:r>
                </w:p>
              </w:tc>
              <w:tc>
                <w:tcPr>
                  <w:tcW w:w="1005" w:type="pct"/>
                  <w:noWrap w:val="0"/>
                  <w:vAlign w:val="center"/>
                </w:tcPr>
                <w:p w14:paraId="3DC5235B">
                  <w:pPr>
                    <w:pStyle w:val="42"/>
                    <w:rPr>
                      <w:rFonts w:hint="default"/>
                      <w:color w:val="auto"/>
                      <w:sz w:val="21"/>
                      <w:szCs w:val="21"/>
                      <w:lang w:val="en-US" w:eastAsia="zh-CN"/>
                    </w:rPr>
                  </w:pPr>
                  <w:r>
                    <w:rPr>
                      <w:rFonts w:hint="default"/>
                      <w:color w:val="auto"/>
                      <w:sz w:val="21"/>
                      <w:szCs w:val="21"/>
                      <w:lang w:val="en-US" w:eastAsia="zh-CN"/>
                    </w:rPr>
                    <w:t>0.</w:t>
                  </w:r>
                  <w:r>
                    <w:rPr>
                      <w:rFonts w:hint="eastAsia"/>
                      <w:color w:val="auto"/>
                      <w:sz w:val="21"/>
                      <w:szCs w:val="21"/>
                      <w:lang w:val="en-US" w:eastAsia="zh-CN"/>
                    </w:rPr>
                    <w:t>1</w:t>
                  </w:r>
                </w:p>
              </w:tc>
              <w:tc>
                <w:tcPr>
                  <w:tcW w:w="1101" w:type="pct"/>
                  <w:noWrap w:val="0"/>
                  <w:vAlign w:val="center"/>
                </w:tcPr>
                <w:p w14:paraId="7607DB79">
                  <w:pPr>
                    <w:pStyle w:val="42"/>
                    <w:rPr>
                      <w:rFonts w:hint="default"/>
                      <w:color w:val="auto"/>
                      <w:sz w:val="21"/>
                      <w:szCs w:val="21"/>
                      <w:lang w:val="en-US" w:eastAsia="zh-CN"/>
                    </w:rPr>
                  </w:pPr>
                  <w:r>
                    <w:rPr>
                      <w:rFonts w:hint="default"/>
                      <w:color w:val="auto"/>
                      <w:sz w:val="21"/>
                      <w:szCs w:val="21"/>
                      <w:lang w:val="en-US" w:eastAsia="zh-CN"/>
                    </w:rPr>
                    <w:t>2500</w:t>
                  </w:r>
                </w:p>
              </w:tc>
              <w:tc>
                <w:tcPr>
                  <w:tcW w:w="1116" w:type="pct"/>
                  <w:noWrap w:val="0"/>
                  <w:vAlign w:val="center"/>
                </w:tcPr>
                <w:p w14:paraId="1CE5676E">
                  <w:pPr>
                    <w:pStyle w:val="42"/>
                    <w:rPr>
                      <w:rFonts w:hint="default"/>
                      <w:color w:val="auto"/>
                      <w:sz w:val="21"/>
                      <w:szCs w:val="21"/>
                      <w:lang w:val="en-US" w:eastAsia="zh-CN"/>
                    </w:rPr>
                  </w:pPr>
                  <w:r>
                    <w:rPr>
                      <w:rFonts w:hint="default"/>
                      <w:color w:val="auto"/>
                      <w:sz w:val="21"/>
                      <w:szCs w:val="21"/>
                      <w:lang w:val="en-US" w:eastAsia="zh-CN"/>
                    </w:rPr>
                    <w:t>0.000</w:t>
                  </w:r>
                  <w:r>
                    <w:rPr>
                      <w:rFonts w:hint="eastAsia"/>
                      <w:color w:val="auto"/>
                      <w:sz w:val="21"/>
                      <w:szCs w:val="21"/>
                      <w:lang w:val="en-US" w:eastAsia="zh-CN"/>
                    </w:rPr>
                    <w:t>04</w:t>
                  </w:r>
                </w:p>
              </w:tc>
            </w:tr>
            <w:tr w14:paraId="221D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4" w:type="pct"/>
                  <w:noWrap w:val="0"/>
                  <w:vAlign w:val="center"/>
                </w:tcPr>
                <w:p w14:paraId="7540EA94">
                  <w:pPr>
                    <w:pStyle w:val="42"/>
                    <w:rPr>
                      <w:rFonts w:hint="default"/>
                      <w:color w:val="auto"/>
                      <w:sz w:val="21"/>
                      <w:szCs w:val="21"/>
                      <w:lang w:val="en-US" w:eastAsia="zh-CN"/>
                    </w:rPr>
                  </w:pPr>
                  <w:r>
                    <w:rPr>
                      <w:rFonts w:hint="eastAsia"/>
                      <w:color w:val="auto"/>
                      <w:sz w:val="21"/>
                      <w:szCs w:val="21"/>
                      <w:lang w:val="en-US" w:eastAsia="zh-CN"/>
                    </w:rPr>
                    <w:t>2</w:t>
                  </w:r>
                </w:p>
              </w:tc>
              <w:tc>
                <w:tcPr>
                  <w:tcW w:w="1323" w:type="pct"/>
                  <w:noWrap w:val="0"/>
                  <w:vAlign w:val="center"/>
                </w:tcPr>
                <w:p w14:paraId="6F664B83">
                  <w:pPr>
                    <w:pStyle w:val="42"/>
                    <w:rPr>
                      <w:rFonts w:hint="default"/>
                      <w:color w:val="auto"/>
                      <w:sz w:val="21"/>
                      <w:szCs w:val="21"/>
                      <w:lang w:eastAsia="zh-CN"/>
                    </w:rPr>
                  </w:pPr>
                  <w:r>
                    <w:rPr>
                      <w:rFonts w:hint="default"/>
                      <w:color w:val="auto"/>
                      <w:sz w:val="21"/>
                      <w:szCs w:val="21"/>
                      <w:lang w:eastAsia="zh-CN"/>
                    </w:rPr>
                    <w:t>机油（润滑油）</w:t>
                  </w:r>
                </w:p>
              </w:tc>
              <w:tc>
                <w:tcPr>
                  <w:tcW w:w="1005" w:type="pct"/>
                  <w:noWrap w:val="0"/>
                  <w:vAlign w:val="center"/>
                </w:tcPr>
                <w:p w14:paraId="015A137A">
                  <w:pPr>
                    <w:pStyle w:val="42"/>
                    <w:rPr>
                      <w:rFonts w:hint="default"/>
                      <w:color w:val="auto"/>
                      <w:sz w:val="21"/>
                      <w:szCs w:val="21"/>
                      <w:lang w:val="en-US" w:eastAsia="zh-CN"/>
                    </w:rPr>
                  </w:pPr>
                  <w:r>
                    <w:rPr>
                      <w:rFonts w:hint="eastAsia"/>
                      <w:color w:val="auto"/>
                      <w:sz w:val="21"/>
                      <w:szCs w:val="21"/>
                      <w:lang w:val="en-US" w:eastAsia="zh-CN"/>
                    </w:rPr>
                    <w:t>0.5</w:t>
                  </w:r>
                </w:p>
              </w:tc>
              <w:tc>
                <w:tcPr>
                  <w:tcW w:w="1101" w:type="pct"/>
                  <w:noWrap w:val="0"/>
                  <w:vAlign w:val="center"/>
                </w:tcPr>
                <w:p w14:paraId="27DD0621">
                  <w:pPr>
                    <w:pStyle w:val="42"/>
                    <w:rPr>
                      <w:rFonts w:hint="default"/>
                      <w:color w:val="auto"/>
                      <w:sz w:val="21"/>
                      <w:szCs w:val="21"/>
                      <w:lang w:val="en-US" w:eastAsia="zh-CN"/>
                    </w:rPr>
                  </w:pPr>
                  <w:r>
                    <w:rPr>
                      <w:rFonts w:hint="eastAsia"/>
                      <w:color w:val="auto"/>
                      <w:sz w:val="21"/>
                      <w:szCs w:val="21"/>
                      <w:lang w:val="en-US" w:eastAsia="zh-CN"/>
                    </w:rPr>
                    <w:t>2500</w:t>
                  </w:r>
                </w:p>
              </w:tc>
              <w:tc>
                <w:tcPr>
                  <w:tcW w:w="1116" w:type="pct"/>
                  <w:noWrap w:val="0"/>
                  <w:vAlign w:val="center"/>
                </w:tcPr>
                <w:p w14:paraId="44BA623B">
                  <w:pPr>
                    <w:pStyle w:val="42"/>
                    <w:rPr>
                      <w:rFonts w:hint="default"/>
                      <w:color w:val="auto"/>
                      <w:sz w:val="21"/>
                      <w:szCs w:val="21"/>
                      <w:lang w:val="en-US" w:eastAsia="zh-CN"/>
                    </w:rPr>
                  </w:pPr>
                  <w:r>
                    <w:rPr>
                      <w:rFonts w:hint="eastAsia"/>
                      <w:color w:val="auto"/>
                      <w:sz w:val="21"/>
                      <w:szCs w:val="21"/>
                      <w:lang w:val="en-US" w:eastAsia="zh-CN"/>
                    </w:rPr>
                    <w:t>0.0002</w:t>
                  </w:r>
                </w:p>
              </w:tc>
            </w:tr>
            <w:tr w14:paraId="2275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4" w:type="pct"/>
                  <w:noWrap w:val="0"/>
                  <w:vAlign w:val="center"/>
                </w:tcPr>
                <w:p w14:paraId="6FD799D1">
                  <w:pPr>
                    <w:pStyle w:val="42"/>
                    <w:rPr>
                      <w:rFonts w:hint="default"/>
                      <w:color w:val="auto"/>
                      <w:sz w:val="21"/>
                      <w:szCs w:val="21"/>
                      <w:lang w:val="en-US" w:eastAsia="zh-CN"/>
                    </w:rPr>
                  </w:pPr>
                  <w:r>
                    <w:rPr>
                      <w:rFonts w:hint="eastAsia"/>
                      <w:color w:val="auto"/>
                      <w:sz w:val="21"/>
                      <w:szCs w:val="21"/>
                      <w:lang w:val="en-US" w:eastAsia="zh-CN"/>
                    </w:rPr>
                    <w:t>3</w:t>
                  </w:r>
                </w:p>
              </w:tc>
              <w:tc>
                <w:tcPr>
                  <w:tcW w:w="1323" w:type="pct"/>
                  <w:noWrap w:val="0"/>
                  <w:vAlign w:val="center"/>
                </w:tcPr>
                <w:p w14:paraId="0AB95567">
                  <w:pPr>
                    <w:pStyle w:val="42"/>
                    <w:rPr>
                      <w:rFonts w:hint="default"/>
                      <w:color w:val="auto"/>
                      <w:sz w:val="21"/>
                      <w:szCs w:val="21"/>
                      <w:lang w:eastAsia="zh-CN"/>
                    </w:rPr>
                  </w:pPr>
                  <w:r>
                    <w:rPr>
                      <w:rFonts w:hint="default"/>
                      <w:color w:val="auto"/>
                      <w:sz w:val="21"/>
                      <w:szCs w:val="21"/>
                      <w:lang w:eastAsia="zh-CN"/>
                    </w:rPr>
                    <w:t>检验废物</w:t>
                  </w:r>
                </w:p>
              </w:tc>
              <w:tc>
                <w:tcPr>
                  <w:tcW w:w="1005" w:type="pct"/>
                  <w:noWrap w:val="0"/>
                  <w:vAlign w:val="center"/>
                </w:tcPr>
                <w:p w14:paraId="0BA6BD06">
                  <w:pPr>
                    <w:pStyle w:val="42"/>
                    <w:rPr>
                      <w:rFonts w:hint="default"/>
                      <w:color w:val="auto"/>
                      <w:sz w:val="21"/>
                      <w:szCs w:val="21"/>
                      <w:lang w:val="en-US" w:eastAsia="zh-CN"/>
                    </w:rPr>
                  </w:pPr>
                  <w:r>
                    <w:rPr>
                      <w:rFonts w:hint="eastAsia"/>
                      <w:color w:val="auto"/>
                      <w:sz w:val="21"/>
                      <w:szCs w:val="21"/>
                      <w:lang w:val="en-US" w:eastAsia="zh-CN"/>
                    </w:rPr>
                    <w:t>0.2</w:t>
                  </w:r>
                </w:p>
              </w:tc>
              <w:tc>
                <w:tcPr>
                  <w:tcW w:w="1101" w:type="pct"/>
                  <w:noWrap w:val="0"/>
                  <w:vAlign w:val="center"/>
                </w:tcPr>
                <w:p w14:paraId="4A531714">
                  <w:pPr>
                    <w:pStyle w:val="42"/>
                    <w:rPr>
                      <w:rFonts w:hint="default"/>
                      <w:color w:val="auto"/>
                      <w:sz w:val="21"/>
                      <w:szCs w:val="21"/>
                      <w:lang w:val="en-US" w:eastAsia="zh-CN"/>
                    </w:rPr>
                  </w:pPr>
                  <w:r>
                    <w:rPr>
                      <w:rFonts w:hint="eastAsia"/>
                      <w:color w:val="auto"/>
                      <w:sz w:val="21"/>
                      <w:szCs w:val="21"/>
                      <w:lang w:val="en-US" w:eastAsia="zh-CN"/>
                    </w:rPr>
                    <w:t>50</w:t>
                  </w:r>
                </w:p>
              </w:tc>
              <w:tc>
                <w:tcPr>
                  <w:tcW w:w="1116" w:type="pct"/>
                  <w:noWrap w:val="0"/>
                  <w:vAlign w:val="center"/>
                </w:tcPr>
                <w:p w14:paraId="289434AA">
                  <w:pPr>
                    <w:pStyle w:val="42"/>
                    <w:rPr>
                      <w:rFonts w:hint="default"/>
                      <w:color w:val="auto"/>
                      <w:sz w:val="21"/>
                      <w:szCs w:val="21"/>
                      <w:lang w:val="en-US" w:eastAsia="zh-CN"/>
                    </w:rPr>
                  </w:pPr>
                  <w:r>
                    <w:rPr>
                      <w:rFonts w:hint="eastAsia"/>
                      <w:color w:val="auto"/>
                      <w:sz w:val="21"/>
                      <w:szCs w:val="21"/>
                      <w:lang w:val="en-US" w:eastAsia="zh-CN"/>
                    </w:rPr>
                    <w:t>0.004</w:t>
                  </w:r>
                </w:p>
              </w:tc>
            </w:tr>
            <w:tr w14:paraId="0AB5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883" w:type="pct"/>
                  <w:gridSpan w:val="4"/>
                  <w:noWrap w:val="0"/>
                  <w:vAlign w:val="center"/>
                </w:tcPr>
                <w:p w14:paraId="0C0E46FA">
                  <w:pPr>
                    <w:pStyle w:val="42"/>
                    <w:rPr>
                      <w:rFonts w:hint="default"/>
                      <w:color w:val="auto"/>
                      <w:sz w:val="21"/>
                      <w:szCs w:val="21"/>
                      <w:lang w:val="en-US" w:eastAsia="zh-CN"/>
                    </w:rPr>
                  </w:pPr>
                  <w:r>
                    <w:rPr>
                      <w:rFonts w:hint="eastAsia"/>
                      <w:color w:val="auto"/>
                      <w:sz w:val="21"/>
                      <w:szCs w:val="21"/>
                      <w:lang w:val="en-US" w:eastAsia="zh-CN"/>
                    </w:rPr>
                    <w:t>合计</w:t>
                  </w:r>
                </w:p>
              </w:tc>
              <w:tc>
                <w:tcPr>
                  <w:tcW w:w="1116" w:type="pct"/>
                  <w:noWrap w:val="0"/>
                  <w:vAlign w:val="center"/>
                </w:tcPr>
                <w:p w14:paraId="01F07FF2">
                  <w:pPr>
                    <w:pStyle w:val="42"/>
                    <w:rPr>
                      <w:rFonts w:hint="default"/>
                      <w:color w:val="auto"/>
                      <w:sz w:val="21"/>
                      <w:szCs w:val="21"/>
                      <w:lang w:val="en-US" w:eastAsia="zh-CN"/>
                    </w:rPr>
                  </w:pPr>
                  <w:r>
                    <w:rPr>
                      <w:rFonts w:hint="eastAsia"/>
                      <w:color w:val="auto"/>
                      <w:sz w:val="21"/>
                      <w:szCs w:val="21"/>
                      <w:lang w:val="en-US" w:eastAsia="zh-CN"/>
                    </w:rPr>
                    <w:t>0.00424</w:t>
                  </w:r>
                </w:p>
              </w:tc>
            </w:tr>
          </w:tbl>
          <w:p w14:paraId="29A5BBB4">
            <w:pPr>
              <w:autoSpaceDE w:val="0"/>
              <w:autoSpaceDN w:val="0"/>
              <w:spacing w:line="360" w:lineRule="auto"/>
              <w:ind w:firstLine="420" w:firstLineChars="200"/>
              <w:rPr>
                <w:rFonts w:hint="default" w:eastAsia="宋体"/>
                <w:color w:val="auto"/>
                <w:szCs w:val="21"/>
                <w:lang w:val="en-US" w:eastAsia="zh-CN"/>
              </w:rPr>
            </w:pPr>
            <w:r>
              <w:rPr>
                <w:rFonts w:hint="eastAsia"/>
                <w:color w:val="auto"/>
                <w:szCs w:val="21"/>
                <w:lang w:val="en-US" w:eastAsia="zh-CN"/>
              </w:rPr>
              <w:t>检验废物按健康危险毒性物质（类别2，类别3）50t临界量计算。</w:t>
            </w:r>
          </w:p>
          <w:p w14:paraId="02B60870">
            <w:pPr>
              <w:autoSpaceDE w:val="0"/>
              <w:autoSpaceDN w:val="0"/>
              <w:spacing w:line="360" w:lineRule="auto"/>
              <w:ind w:firstLine="420" w:firstLineChars="200"/>
              <w:rPr>
                <w:rFonts w:hint="default"/>
                <w:color w:val="auto"/>
                <w:szCs w:val="21"/>
                <w:lang w:eastAsia="zh-CN"/>
              </w:rPr>
            </w:pPr>
            <w:r>
              <w:rPr>
                <w:rFonts w:hint="default"/>
                <w:color w:val="auto"/>
                <w:szCs w:val="21"/>
              </w:rPr>
              <w:t>根据表</w:t>
            </w:r>
            <w:r>
              <w:rPr>
                <w:rFonts w:hint="default"/>
                <w:color w:val="auto"/>
                <w:szCs w:val="21"/>
                <w:lang w:val="en-US" w:eastAsia="zh-CN"/>
              </w:rPr>
              <w:t>4-</w:t>
            </w:r>
            <w:r>
              <w:rPr>
                <w:rFonts w:hint="eastAsia"/>
                <w:color w:val="auto"/>
                <w:szCs w:val="21"/>
                <w:lang w:val="en-US" w:eastAsia="zh-CN"/>
              </w:rPr>
              <w:t>16</w:t>
            </w:r>
            <w:r>
              <w:rPr>
                <w:rFonts w:hint="default"/>
                <w:color w:val="auto"/>
                <w:szCs w:val="21"/>
              </w:rPr>
              <w:t>中对项目风险物质的Q值的统计，</w:t>
            </w:r>
            <w:r>
              <w:rPr>
                <w:rFonts w:hint="default"/>
                <w:color w:val="auto"/>
                <w:szCs w:val="21"/>
                <w:lang w:eastAsia="zh-CN"/>
              </w:rPr>
              <w:t>本项目</w:t>
            </w:r>
            <w:r>
              <w:rPr>
                <w:rFonts w:hint="default"/>
                <w:color w:val="auto"/>
                <w:szCs w:val="21"/>
              </w:rPr>
              <w:t>危险物质及临界量的比值Q值为0.</w:t>
            </w:r>
            <w:r>
              <w:rPr>
                <w:rFonts w:hint="eastAsia"/>
                <w:color w:val="auto"/>
                <w:szCs w:val="21"/>
                <w:lang w:val="en-US" w:eastAsia="zh-CN"/>
              </w:rPr>
              <w:t>00424</w:t>
            </w:r>
            <w:r>
              <w:rPr>
                <w:rFonts w:hint="default"/>
                <w:color w:val="auto"/>
                <w:szCs w:val="21"/>
              </w:rPr>
              <w:t>，因为Q＜1，所以直接判定该项目环境风险潜势为Ⅰ</w:t>
            </w:r>
            <w:r>
              <w:rPr>
                <w:rFonts w:hint="default"/>
                <w:color w:val="auto"/>
                <w:szCs w:val="21"/>
                <w:lang w:eastAsia="zh-CN"/>
              </w:rPr>
              <w:t>。</w:t>
            </w:r>
          </w:p>
          <w:p w14:paraId="54AC86CC">
            <w:pPr>
              <w:autoSpaceDE w:val="0"/>
              <w:autoSpaceDN w:val="0"/>
              <w:spacing w:line="360" w:lineRule="auto"/>
              <w:ind w:firstLine="422" w:firstLineChars="200"/>
              <w:rPr>
                <w:b/>
                <w:color w:val="auto"/>
                <w:szCs w:val="21"/>
              </w:rPr>
            </w:pPr>
            <w:r>
              <w:rPr>
                <w:b/>
                <w:color w:val="auto"/>
                <w:szCs w:val="21"/>
              </w:rPr>
              <w:t>（3）风险评价工作等级划分</w:t>
            </w:r>
          </w:p>
          <w:p w14:paraId="74A0953C">
            <w:pPr>
              <w:autoSpaceDE w:val="0"/>
              <w:autoSpaceDN w:val="0"/>
              <w:spacing w:line="360" w:lineRule="auto"/>
              <w:ind w:firstLine="420" w:firstLineChars="200"/>
              <w:rPr>
                <w:color w:val="auto"/>
                <w:szCs w:val="21"/>
              </w:rPr>
            </w:pPr>
            <w:r>
              <w:rPr>
                <w:color w:val="auto"/>
                <w:szCs w:val="21"/>
              </w:rPr>
              <w:t>环境风险评价工作等级划分为一级、二级、三级。按下表确定评价工作等级。风险潜势为Ⅳ及以上，进行一级评价；风险潜势为Ⅲ，进行二级评价；风险潜势为Ⅱ，进行三级评价；风险潜势为Ⅰ，可开展简单分析。</w:t>
            </w:r>
          </w:p>
          <w:p w14:paraId="6003B8FC">
            <w:pPr>
              <w:autoSpaceDE w:val="0"/>
              <w:autoSpaceDN w:val="0"/>
              <w:adjustRightInd w:val="0"/>
              <w:snapToGrid w:val="0"/>
              <w:jc w:val="center"/>
              <w:rPr>
                <w:b/>
                <w:bCs/>
                <w:color w:val="auto"/>
                <w:kern w:val="0"/>
                <w:szCs w:val="21"/>
              </w:rPr>
            </w:pPr>
            <w:r>
              <w:rPr>
                <w:b/>
                <w:bCs/>
                <w:color w:val="auto"/>
                <w:kern w:val="0"/>
                <w:szCs w:val="21"/>
              </w:rPr>
              <w:t>表4-2</w:t>
            </w:r>
            <w:r>
              <w:rPr>
                <w:rFonts w:hint="eastAsia"/>
                <w:b/>
                <w:bCs/>
                <w:color w:val="auto"/>
                <w:kern w:val="0"/>
                <w:szCs w:val="21"/>
                <w:lang w:val="en-US" w:eastAsia="zh-CN"/>
              </w:rPr>
              <w:t>3</w:t>
            </w:r>
            <w:r>
              <w:rPr>
                <w:b/>
                <w:bCs/>
                <w:color w:val="auto"/>
                <w:kern w:val="0"/>
                <w:szCs w:val="21"/>
              </w:rPr>
              <w:t>评价工作等级划分</w:t>
            </w:r>
          </w:p>
          <w:tbl>
            <w:tblPr>
              <w:tblStyle w:val="19"/>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631"/>
              <w:gridCol w:w="1632"/>
              <w:gridCol w:w="1632"/>
              <w:gridCol w:w="1633"/>
              <w:gridCol w:w="1638"/>
            </w:tblGrid>
            <w:tr w14:paraId="46107D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631" w:type="dxa"/>
                  <w:vAlign w:val="center"/>
                </w:tcPr>
                <w:p w14:paraId="65758197">
                  <w:pPr>
                    <w:pStyle w:val="42"/>
                    <w:rPr>
                      <w:b/>
                      <w:bCs/>
                      <w:color w:val="auto"/>
                      <w:sz w:val="21"/>
                      <w:szCs w:val="21"/>
                    </w:rPr>
                  </w:pPr>
                  <w:r>
                    <w:rPr>
                      <w:b/>
                      <w:bCs/>
                      <w:color w:val="auto"/>
                      <w:sz w:val="21"/>
                      <w:szCs w:val="21"/>
                    </w:rPr>
                    <w:t>环境风险潜势</w:t>
                  </w:r>
                </w:p>
              </w:tc>
              <w:tc>
                <w:tcPr>
                  <w:tcW w:w="1632" w:type="dxa"/>
                  <w:vAlign w:val="center"/>
                </w:tcPr>
                <w:p w14:paraId="0AA72A60">
                  <w:pPr>
                    <w:pStyle w:val="42"/>
                    <w:rPr>
                      <w:b/>
                      <w:bCs/>
                      <w:color w:val="auto"/>
                      <w:sz w:val="21"/>
                      <w:szCs w:val="21"/>
                    </w:rPr>
                  </w:pPr>
                  <w:r>
                    <w:rPr>
                      <w:rFonts w:hint="eastAsia" w:ascii="宋体" w:hAnsi="宋体" w:cs="宋体"/>
                      <w:b/>
                      <w:bCs/>
                      <w:color w:val="auto"/>
                      <w:sz w:val="21"/>
                      <w:szCs w:val="21"/>
                    </w:rPr>
                    <w:t>Ⅳ</w:t>
                  </w:r>
                  <w:r>
                    <w:rPr>
                      <w:b/>
                      <w:bCs/>
                      <w:color w:val="auto"/>
                      <w:sz w:val="21"/>
                      <w:szCs w:val="21"/>
                    </w:rPr>
                    <w:t>、Ⅳ</w:t>
                  </w:r>
                  <w:r>
                    <w:rPr>
                      <w:b/>
                      <w:bCs/>
                      <w:color w:val="auto"/>
                      <w:sz w:val="21"/>
                      <w:szCs w:val="21"/>
                      <w:vertAlign w:val="superscript"/>
                    </w:rPr>
                    <w:t>+</w:t>
                  </w:r>
                </w:p>
              </w:tc>
              <w:tc>
                <w:tcPr>
                  <w:tcW w:w="1632" w:type="dxa"/>
                  <w:vAlign w:val="center"/>
                </w:tcPr>
                <w:p w14:paraId="58A613ED">
                  <w:pPr>
                    <w:pStyle w:val="42"/>
                    <w:rPr>
                      <w:b/>
                      <w:bCs/>
                      <w:color w:val="auto"/>
                      <w:sz w:val="21"/>
                      <w:szCs w:val="21"/>
                    </w:rPr>
                  </w:pPr>
                  <w:r>
                    <w:rPr>
                      <w:rFonts w:hint="eastAsia" w:ascii="宋体" w:hAnsi="宋体" w:cs="宋体"/>
                      <w:b/>
                      <w:bCs/>
                      <w:color w:val="auto"/>
                      <w:sz w:val="21"/>
                      <w:szCs w:val="21"/>
                    </w:rPr>
                    <w:t>Ⅲ</w:t>
                  </w:r>
                </w:p>
              </w:tc>
              <w:tc>
                <w:tcPr>
                  <w:tcW w:w="1633" w:type="dxa"/>
                  <w:vAlign w:val="center"/>
                </w:tcPr>
                <w:p w14:paraId="4EB5B1F0">
                  <w:pPr>
                    <w:pStyle w:val="42"/>
                    <w:rPr>
                      <w:b/>
                      <w:bCs/>
                      <w:color w:val="auto"/>
                      <w:sz w:val="21"/>
                      <w:szCs w:val="21"/>
                    </w:rPr>
                  </w:pPr>
                  <w:r>
                    <w:rPr>
                      <w:rFonts w:hint="eastAsia" w:ascii="宋体" w:hAnsi="宋体" w:cs="宋体"/>
                      <w:b/>
                      <w:bCs/>
                      <w:color w:val="auto"/>
                      <w:sz w:val="21"/>
                      <w:szCs w:val="21"/>
                    </w:rPr>
                    <w:t>Ⅱ</w:t>
                  </w:r>
                </w:p>
              </w:tc>
              <w:tc>
                <w:tcPr>
                  <w:tcW w:w="1638" w:type="dxa"/>
                  <w:vAlign w:val="center"/>
                </w:tcPr>
                <w:p w14:paraId="32FFDAAF">
                  <w:pPr>
                    <w:pStyle w:val="42"/>
                    <w:rPr>
                      <w:b/>
                      <w:bCs/>
                      <w:color w:val="auto"/>
                      <w:sz w:val="21"/>
                      <w:szCs w:val="21"/>
                    </w:rPr>
                  </w:pPr>
                  <w:r>
                    <w:rPr>
                      <w:rFonts w:hint="eastAsia" w:ascii="宋体" w:hAnsi="宋体" w:cs="宋体"/>
                      <w:b/>
                      <w:bCs/>
                      <w:color w:val="auto"/>
                      <w:sz w:val="21"/>
                      <w:szCs w:val="21"/>
                    </w:rPr>
                    <w:t>Ⅰ</w:t>
                  </w:r>
                </w:p>
              </w:tc>
            </w:tr>
            <w:tr w14:paraId="535AEDA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7" w:hRule="atLeast"/>
                <w:jc w:val="center"/>
              </w:trPr>
              <w:tc>
                <w:tcPr>
                  <w:tcW w:w="1631" w:type="dxa"/>
                  <w:vAlign w:val="center"/>
                </w:tcPr>
                <w:p w14:paraId="38865B2E">
                  <w:pPr>
                    <w:pStyle w:val="42"/>
                    <w:rPr>
                      <w:color w:val="auto"/>
                      <w:sz w:val="21"/>
                      <w:szCs w:val="21"/>
                    </w:rPr>
                  </w:pPr>
                  <w:r>
                    <w:rPr>
                      <w:color w:val="auto"/>
                      <w:sz w:val="21"/>
                      <w:szCs w:val="21"/>
                    </w:rPr>
                    <w:t>评价工作等级</w:t>
                  </w:r>
                </w:p>
              </w:tc>
              <w:tc>
                <w:tcPr>
                  <w:tcW w:w="1632" w:type="dxa"/>
                  <w:vAlign w:val="center"/>
                </w:tcPr>
                <w:p w14:paraId="738349E4">
                  <w:pPr>
                    <w:pStyle w:val="42"/>
                    <w:rPr>
                      <w:color w:val="auto"/>
                      <w:sz w:val="21"/>
                      <w:szCs w:val="21"/>
                    </w:rPr>
                  </w:pPr>
                  <w:r>
                    <w:rPr>
                      <w:color w:val="auto"/>
                      <w:sz w:val="21"/>
                      <w:szCs w:val="21"/>
                    </w:rPr>
                    <w:t>一</w:t>
                  </w:r>
                </w:p>
              </w:tc>
              <w:tc>
                <w:tcPr>
                  <w:tcW w:w="1632" w:type="dxa"/>
                  <w:vAlign w:val="center"/>
                </w:tcPr>
                <w:p w14:paraId="7FAD103A">
                  <w:pPr>
                    <w:pStyle w:val="42"/>
                    <w:rPr>
                      <w:color w:val="auto"/>
                      <w:sz w:val="21"/>
                      <w:szCs w:val="21"/>
                    </w:rPr>
                  </w:pPr>
                  <w:r>
                    <w:rPr>
                      <w:color w:val="auto"/>
                      <w:sz w:val="21"/>
                      <w:szCs w:val="21"/>
                    </w:rPr>
                    <w:t>二</w:t>
                  </w:r>
                </w:p>
              </w:tc>
              <w:tc>
                <w:tcPr>
                  <w:tcW w:w="1633" w:type="dxa"/>
                  <w:vAlign w:val="center"/>
                </w:tcPr>
                <w:p w14:paraId="23EA27C2">
                  <w:pPr>
                    <w:pStyle w:val="42"/>
                    <w:rPr>
                      <w:color w:val="auto"/>
                      <w:sz w:val="21"/>
                      <w:szCs w:val="21"/>
                    </w:rPr>
                  </w:pPr>
                  <w:r>
                    <w:rPr>
                      <w:color w:val="auto"/>
                      <w:sz w:val="21"/>
                      <w:szCs w:val="21"/>
                    </w:rPr>
                    <w:t>三</w:t>
                  </w:r>
                </w:p>
              </w:tc>
              <w:tc>
                <w:tcPr>
                  <w:tcW w:w="1638" w:type="dxa"/>
                  <w:vAlign w:val="center"/>
                </w:tcPr>
                <w:p w14:paraId="39292BA9">
                  <w:pPr>
                    <w:pStyle w:val="42"/>
                    <w:rPr>
                      <w:color w:val="auto"/>
                      <w:sz w:val="21"/>
                      <w:szCs w:val="21"/>
                    </w:rPr>
                  </w:pPr>
                  <w:r>
                    <w:rPr>
                      <w:color w:val="auto"/>
                      <w:sz w:val="21"/>
                      <w:szCs w:val="21"/>
                    </w:rPr>
                    <w:t>简单分析</w:t>
                  </w:r>
                  <w:r>
                    <w:rPr>
                      <w:color w:val="auto"/>
                      <w:sz w:val="21"/>
                      <w:szCs w:val="21"/>
                      <w:vertAlign w:val="superscript"/>
                    </w:rPr>
                    <w:t>a</w:t>
                  </w:r>
                </w:p>
              </w:tc>
            </w:tr>
            <w:tr w14:paraId="3F382A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66" w:type="dxa"/>
                  <w:gridSpan w:val="5"/>
                  <w:vAlign w:val="center"/>
                </w:tcPr>
                <w:p w14:paraId="6EA91BEF">
                  <w:pPr>
                    <w:pStyle w:val="42"/>
                    <w:rPr>
                      <w:color w:val="auto"/>
                      <w:sz w:val="21"/>
                      <w:szCs w:val="21"/>
                    </w:rPr>
                  </w:pPr>
                  <w:r>
                    <w:rPr>
                      <w:color w:val="auto"/>
                      <w:sz w:val="21"/>
                      <w:szCs w:val="21"/>
                      <w:vertAlign w:val="superscript"/>
                    </w:rPr>
                    <w:t>a</w:t>
                  </w:r>
                  <w:r>
                    <w:rPr>
                      <w:color w:val="auto"/>
                      <w:sz w:val="21"/>
                      <w:szCs w:val="21"/>
                    </w:rPr>
                    <w:t>是相对于详细评价工作内容而言，在描述危险物质、环境影响途径、环境危害后果、风险防范措施</w:t>
                  </w:r>
                  <w:r>
                    <w:rPr>
                      <w:rFonts w:hint="eastAsia"/>
                      <w:color w:val="auto"/>
                      <w:sz w:val="21"/>
                      <w:szCs w:val="21"/>
                      <w:lang w:eastAsia="zh-CN"/>
                    </w:rPr>
                    <w:t>等方面</w:t>
                  </w:r>
                  <w:r>
                    <w:rPr>
                      <w:color w:val="auto"/>
                      <w:sz w:val="21"/>
                      <w:szCs w:val="21"/>
                    </w:rPr>
                    <w:t>给出定性的说明。</w:t>
                  </w:r>
                </w:p>
              </w:tc>
            </w:tr>
          </w:tbl>
          <w:p w14:paraId="304C27EF">
            <w:pPr>
              <w:spacing w:line="360" w:lineRule="auto"/>
              <w:ind w:firstLine="422" w:firstLineChars="200"/>
              <w:rPr>
                <w:b/>
                <w:color w:val="auto"/>
                <w:szCs w:val="21"/>
              </w:rPr>
            </w:pPr>
            <w:r>
              <w:rPr>
                <w:b/>
                <w:color w:val="auto"/>
                <w:szCs w:val="21"/>
              </w:rPr>
              <w:t>综上，本项目环境风险潜势为Ⅰ，仅</w:t>
            </w:r>
            <w:r>
              <w:rPr>
                <w:rFonts w:hint="eastAsia"/>
                <w:b/>
                <w:color w:val="auto"/>
                <w:szCs w:val="21"/>
                <w:lang w:eastAsia="zh-CN"/>
              </w:rPr>
              <w:t>做</w:t>
            </w:r>
            <w:r>
              <w:rPr>
                <w:b/>
                <w:color w:val="auto"/>
                <w:szCs w:val="21"/>
              </w:rPr>
              <w:t>简单分析。</w:t>
            </w:r>
          </w:p>
          <w:p w14:paraId="4931F4BC">
            <w:pPr>
              <w:spacing w:line="360" w:lineRule="auto"/>
              <w:ind w:firstLine="422" w:firstLineChars="200"/>
              <w:rPr>
                <w:b/>
                <w:color w:val="auto"/>
                <w:sz w:val="24"/>
              </w:rPr>
            </w:pPr>
            <w:r>
              <w:rPr>
                <w:b/>
                <w:bCs/>
                <w:color w:val="auto"/>
                <w:szCs w:val="21"/>
              </w:rPr>
              <w:t>（4）</w:t>
            </w:r>
            <w:r>
              <w:rPr>
                <w:b/>
                <w:color w:val="auto"/>
                <w:szCs w:val="21"/>
              </w:rPr>
              <w:t>环境风险识别</w:t>
            </w:r>
          </w:p>
          <w:p w14:paraId="2933427A">
            <w:pPr>
              <w:spacing w:line="360" w:lineRule="auto"/>
              <w:ind w:firstLine="420" w:firstLineChars="200"/>
              <w:rPr>
                <w:rFonts w:ascii="宋体" w:hAnsi="宋体" w:cs="宋体"/>
                <w:color w:val="auto"/>
                <w:szCs w:val="21"/>
              </w:rPr>
            </w:pPr>
            <w:r>
              <w:rPr>
                <w:rFonts w:hint="eastAsia" w:ascii="宋体" w:hAnsi="宋体" w:cs="宋体"/>
                <w:color w:val="auto"/>
                <w:szCs w:val="21"/>
              </w:rPr>
              <w:t>本项目可能的环境风险源及环境风险主要有以下几项：</w:t>
            </w:r>
          </w:p>
          <w:p w14:paraId="772AA9CF">
            <w:pPr>
              <w:spacing w:line="360" w:lineRule="auto"/>
              <w:ind w:firstLine="420" w:firstLineChars="200"/>
              <w:rPr>
                <w:rFonts w:ascii="宋体" w:hAnsi="宋体" w:cs="宋体"/>
                <w:color w:val="auto"/>
                <w:szCs w:val="21"/>
              </w:rPr>
            </w:pPr>
            <w:r>
              <w:rPr>
                <w:rFonts w:hint="eastAsia" w:ascii="宋体" w:hAnsi="宋体" w:cs="宋体"/>
                <w:color w:val="auto"/>
                <w:szCs w:val="21"/>
              </w:rPr>
              <w:t>①原辅材料：废油遇火燃烧，以及火灾引起的伴生/次生污染物排放</w:t>
            </w:r>
            <w:r>
              <w:rPr>
                <w:rFonts w:hint="eastAsia" w:ascii="宋体" w:hAnsi="宋体" w:cs="宋体"/>
                <w:color w:val="auto"/>
                <w:szCs w:val="21"/>
                <w:lang w:eastAsia="zh-CN"/>
              </w:rPr>
              <w:t>，</w:t>
            </w:r>
            <w:r>
              <w:rPr>
                <w:rFonts w:hint="eastAsia" w:ascii="宋体" w:hAnsi="宋体" w:cs="宋体"/>
                <w:color w:val="auto"/>
                <w:szCs w:val="21"/>
                <w:lang w:val="en-US" w:eastAsia="zh-CN"/>
              </w:rPr>
              <w:t>原辅料泄漏</w:t>
            </w:r>
            <w:r>
              <w:rPr>
                <w:rFonts w:hint="eastAsia" w:ascii="宋体" w:hAnsi="宋体" w:cs="宋体"/>
                <w:color w:val="auto"/>
                <w:szCs w:val="21"/>
              </w:rPr>
              <w:t>对环境造成的风险</w:t>
            </w:r>
            <w:r>
              <w:rPr>
                <w:rFonts w:hint="eastAsia" w:ascii="宋体" w:hAnsi="宋体" w:cs="宋体"/>
                <w:color w:val="auto"/>
                <w:szCs w:val="21"/>
                <w:lang w:eastAsia="zh-CN"/>
              </w:rPr>
              <w:t>。</w:t>
            </w:r>
          </w:p>
          <w:p w14:paraId="6BEBCC54">
            <w:pPr>
              <w:spacing w:line="360" w:lineRule="auto"/>
              <w:ind w:firstLine="420" w:firstLineChars="200"/>
              <w:rPr>
                <w:rFonts w:ascii="宋体" w:hAnsi="宋体" w:cs="宋体"/>
                <w:color w:val="auto"/>
                <w:szCs w:val="21"/>
              </w:rPr>
            </w:pPr>
            <w:r>
              <w:rPr>
                <w:rFonts w:hint="eastAsia" w:ascii="宋体" w:hAnsi="宋体" w:cs="宋体"/>
                <w:color w:val="auto"/>
                <w:szCs w:val="21"/>
              </w:rPr>
              <w:t>②生产设施：各类废气、废水处理设施故障造成废气、废水超标排放。</w:t>
            </w:r>
          </w:p>
          <w:p w14:paraId="167F049C">
            <w:pPr>
              <w:spacing w:line="360" w:lineRule="auto"/>
              <w:ind w:firstLine="420" w:firstLineChars="200"/>
              <w:rPr>
                <w:rFonts w:ascii="宋体" w:hAnsi="宋体" w:cs="宋体"/>
                <w:color w:val="auto"/>
                <w:szCs w:val="21"/>
              </w:rPr>
            </w:pPr>
            <w:r>
              <w:rPr>
                <w:rFonts w:hint="eastAsia" w:ascii="宋体" w:hAnsi="宋体" w:cs="宋体"/>
                <w:color w:val="auto"/>
                <w:szCs w:val="21"/>
              </w:rPr>
              <w:t>③危险废物：各种废油转运、贮存过程中泄漏对环境造成的风险。</w:t>
            </w:r>
          </w:p>
          <w:p w14:paraId="54943AB5">
            <w:pPr>
              <w:spacing w:line="360" w:lineRule="auto"/>
              <w:ind w:firstLine="422" w:firstLineChars="200"/>
              <w:rPr>
                <w:b/>
                <w:bCs/>
                <w:color w:val="auto"/>
                <w:szCs w:val="21"/>
              </w:rPr>
            </w:pPr>
            <w:r>
              <w:rPr>
                <w:b/>
                <w:bCs/>
                <w:color w:val="auto"/>
                <w:szCs w:val="21"/>
              </w:rPr>
              <w:t>（6）环境风险防范措施</w:t>
            </w:r>
          </w:p>
          <w:p w14:paraId="43CCD456">
            <w:pPr>
              <w:spacing w:line="360" w:lineRule="auto"/>
              <w:ind w:firstLine="422" w:firstLineChars="200"/>
              <w:rPr>
                <w:b/>
                <w:bCs/>
                <w:color w:val="auto"/>
                <w:szCs w:val="21"/>
              </w:rPr>
            </w:pPr>
            <w:r>
              <w:rPr>
                <w:rFonts w:hint="eastAsia"/>
                <w:b/>
                <w:bCs/>
                <w:color w:val="auto"/>
                <w:szCs w:val="21"/>
              </w:rPr>
              <w:t>1）危险物质泄漏风险防范</w:t>
            </w:r>
          </w:p>
          <w:p w14:paraId="7C590EE4">
            <w:pPr>
              <w:spacing w:line="360" w:lineRule="auto"/>
              <w:ind w:firstLine="420" w:firstLineChars="200"/>
              <w:rPr>
                <w:color w:val="auto"/>
                <w:szCs w:val="21"/>
              </w:rPr>
            </w:pPr>
            <w:r>
              <w:rPr>
                <w:rFonts w:hint="eastAsia"/>
                <w:color w:val="auto"/>
                <w:szCs w:val="21"/>
              </w:rPr>
              <w:t>①建立安全管理制度，制定安全操作规章制度，加强安全意识教育，加强监督管理，严禁烟火，消除事故隐患。</w:t>
            </w:r>
          </w:p>
          <w:p w14:paraId="1235F53E">
            <w:pPr>
              <w:spacing w:line="360" w:lineRule="auto"/>
              <w:ind w:firstLine="420" w:firstLineChars="200"/>
              <w:rPr>
                <w:color w:val="auto"/>
                <w:szCs w:val="21"/>
              </w:rPr>
            </w:pPr>
            <w:r>
              <w:rPr>
                <w:rFonts w:hint="eastAsia"/>
                <w:color w:val="auto"/>
                <w:szCs w:val="21"/>
              </w:rPr>
              <w:t>②加强作业时巡视检查。建立系统规范的评估、审批、作业、监护、救援、应急程序、事故报告等管理制度。</w:t>
            </w:r>
          </w:p>
          <w:p w14:paraId="6A90880A">
            <w:pPr>
              <w:spacing w:line="360" w:lineRule="auto"/>
              <w:ind w:firstLine="422" w:firstLineChars="200"/>
              <w:rPr>
                <w:b/>
                <w:bCs/>
                <w:color w:val="auto"/>
                <w:szCs w:val="21"/>
              </w:rPr>
            </w:pPr>
            <w:r>
              <w:rPr>
                <w:rFonts w:hint="eastAsia"/>
                <w:b/>
                <w:bCs/>
                <w:color w:val="auto"/>
                <w:szCs w:val="21"/>
              </w:rPr>
              <w:t>2）废气处理装置故障控制措施</w:t>
            </w:r>
          </w:p>
          <w:p w14:paraId="7A57F1CB">
            <w:pPr>
              <w:spacing w:line="360" w:lineRule="auto"/>
              <w:ind w:firstLine="420" w:firstLineChars="200"/>
              <w:rPr>
                <w:color w:val="auto"/>
                <w:szCs w:val="21"/>
              </w:rPr>
            </w:pPr>
            <w:r>
              <w:rPr>
                <w:rFonts w:hint="eastAsia"/>
                <w:color w:val="auto"/>
                <w:szCs w:val="21"/>
              </w:rPr>
              <w:t>本项目的废气处理设备主要为袋式除尘器</w:t>
            </w:r>
            <w:r>
              <w:rPr>
                <w:rFonts w:hint="eastAsia"/>
                <w:color w:val="auto"/>
                <w:szCs w:val="21"/>
                <w:lang w:val="en-US" w:eastAsia="zh-CN"/>
              </w:rPr>
              <w:t>和活性炭</w:t>
            </w:r>
            <w:r>
              <w:rPr>
                <w:rFonts w:hint="eastAsia"/>
                <w:color w:val="auto"/>
                <w:szCs w:val="21"/>
              </w:rPr>
              <w:t>等。为预防废气处理设备故障导致废气超标排放，公司应采取以下预防措施：</w:t>
            </w:r>
          </w:p>
          <w:p w14:paraId="71B7081C">
            <w:pPr>
              <w:spacing w:line="360" w:lineRule="auto"/>
              <w:ind w:firstLine="420" w:firstLineChars="200"/>
              <w:rPr>
                <w:color w:val="auto"/>
                <w:szCs w:val="21"/>
              </w:rPr>
            </w:pPr>
            <w:r>
              <w:rPr>
                <w:rFonts w:hint="eastAsia"/>
                <w:color w:val="auto"/>
                <w:szCs w:val="21"/>
              </w:rPr>
              <w:t>①公司应按照环保主管部门的规定，严格实行废气的总量控制，废气产生量与废气处理设施的处理能力合理匹配。</w:t>
            </w:r>
          </w:p>
          <w:p w14:paraId="066EFD5A">
            <w:pPr>
              <w:spacing w:line="360" w:lineRule="auto"/>
              <w:ind w:firstLine="420" w:firstLineChars="200"/>
              <w:rPr>
                <w:color w:val="auto"/>
                <w:szCs w:val="21"/>
              </w:rPr>
            </w:pPr>
            <w:r>
              <w:rPr>
                <w:rFonts w:hint="eastAsia"/>
                <w:color w:val="auto"/>
                <w:szCs w:val="21"/>
              </w:rPr>
              <w:t>②当废气处理设备出现故障无法正常收集、处理废气的情况，应立即停止生产，停止产生废气的工序的操作并及时修复故障直至废气处理设备正常运行。</w:t>
            </w:r>
          </w:p>
          <w:p w14:paraId="54154BA2">
            <w:pPr>
              <w:spacing w:line="360" w:lineRule="auto"/>
              <w:ind w:firstLine="420" w:firstLineChars="200"/>
              <w:rPr>
                <w:color w:val="auto"/>
                <w:szCs w:val="21"/>
              </w:rPr>
            </w:pPr>
            <w:r>
              <w:rPr>
                <w:rFonts w:hint="eastAsia"/>
                <w:color w:val="auto"/>
                <w:szCs w:val="21"/>
              </w:rPr>
              <w:t>③定期清理布袋，保证效率。</w:t>
            </w:r>
          </w:p>
          <w:p w14:paraId="5EC5B666">
            <w:pPr>
              <w:spacing w:line="360" w:lineRule="auto"/>
              <w:ind w:firstLine="420" w:firstLineChars="200"/>
              <w:rPr>
                <w:color w:val="auto"/>
                <w:szCs w:val="21"/>
              </w:rPr>
            </w:pPr>
            <w:r>
              <w:rPr>
                <w:rFonts w:hint="eastAsia"/>
                <w:color w:val="auto"/>
                <w:szCs w:val="21"/>
              </w:rPr>
              <w:t>④制定严格的工艺操作规程，加强安全监督和管理，增强职工的安全意识和环保意识。定期对袋式除尘器、滤筒除尘器、活性炭吸附装置、风机和阀门管道等进行检查，严禁跑、冒、滴、漏现象的发生。</w:t>
            </w:r>
          </w:p>
          <w:p w14:paraId="5229A722">
            <w:pPr>
              <w:spacing w:line="360" w:lineRule="auto"/>
              <w:ind w:firstLine="420" w:firstLineChars="200"/>
              <w:rPr>
                <w:color w:val="auto"/>
                <w:szCs w:val="21"/>
              </w:rPr>
            </w:pPr>
            <w:r>
              <w:rPr>
                <w:rFonts w:hint="eastAsia"/>
                <w:color w:val="auto"/>
                <w:szCs w:val="21"/>
              </w:rPr>
              <w:t>⑤定期排查并消除可能导致事故的诱因，加强安全管理，将非正常工况排放的概率减到最小、采取措施杜绝风险事故的发生。</w:t>
            </w:r>
          </w:p>
          <w:p w14:paraId="12217917">
            <w:pPr>
              <w:spacing w:line="360" w:lineRule="auto"/>
              <w:ind w:firstLine="422" w:firstLineChars="200"/>
              <w:rPr>
                <w:b/>
                <w:bCs/>
                <w:color w:val="auto"/>
                <w:szCs w:val="21"/>
              </w:rPr>
            </w:pPr>
            <w:r>
              <w:rPr>
                <w:b/>
                <w:bCs/>
                <w:color w:val="auto"/>
                <w:szCs w:val="21"/>
              </w:rPr>
              <w:t>3</w:t>
            </w:r>
            <w:r>
              <w:rPr>
                <w:rFonts w:hint="eastAsia"/>
                <w:b/>
                <w:bCs/>
                <w:color w:val="auto"/>
                <w:szCs w:val="21"/>
              </w:rPr>
              <w:t>）废水处理设施故障控制措施</w:t>
            </w:r>
          </w:p>
          <w:p w14:paraId="24AA0C6F">
            <w:pPr>
              <w:spacing w:line="360" w:lineRule="auto"/>
              <w:ind w:firstLine="420" w:firstLineChars="200"/>
              <w:rPr>
                <w:rFonts w:hint="eastAsia"/>
                <w:color w:val="auto"/>
                <w:szCs w:val="21"/>
              </w:rPr>
            </w:pPr>
            <w:r>
              <w:rPr>
                <w:rFonts w:hint="eastAsia"/>
                <w:color w:val="auto"/>
                <w:szCs w:val="21"/>
              </w:rPr>
              <w:t>①定期排查并消除可能导致事故的诱因，加强安全管理，将非正常工况排放的概率减到最小、采取措施杜绝风险事故的发生。</w:t>
            </w:r>
          </w:p>
          <w:p w14:paraId="36455366">
            <w:pPr>
              <w:spacing w:line="360" w:lineRule="auto"/>
              <w:ind w:firstLine="420" w:firstLineChars="200"/>
              <w:rPr>
                <w:rFonts w:hint="default" w:eastAsia="宋体"/>
                <w:color w:val="auto"/>
                <w:szCs w:val="21"/>
              </w:rPr>
            </w:pPr>
            <w:r>
              <w:rPr>
                <w:rFonts w:hint="default" w:eastAsia="宋体"/>
                <w:color w:val="auto"/>
                <w:szCs w:val="21"/>
              </w:rPr>
              <w:t>事故池的作用为在事故状态下对产生的废水和废液进行收集，事故池的大小</w:t>
            </w:r>
            <w:r>
              <w:rPr>
                <w:rFonts w:hint="eastAsia" w:eastAsia="宋体"/>
                <w:color w:val="auto"/>
                <w:szCs w:val="21"/>
                <w:lang w:eastAsia="zh-CN"/>
              </w:rPr>
              <w:t>应</w:t>
            </w:r>
            <w:r>
              <w:rPr>
                <w:rFonts w:hint="default" w:eastAsia="宋体"/>
                <w:color w:val="auto"/>
                <w:szCs w:val="21"/>
              </w:rPr>
              <w:t>包括可能流出厂界的全部流体体积之和，通常包括事故延续时间内消防用水量、事故装置可能溢流出液体、输送流体管道与设施残留液体、事故时雨水量。</w:t>
            </w:r>
          </w:p>
          <w:p w14:paraId="315944B4">
            <w:pPr>
              <w:spacing w:line="360" w:lineRule="auto"/>
              <w:ind w:firstLine="420" w:firstLineChars="200"/>
              <w:rPr>
                <w:rFonts w:hint="default" w:eastAsia="宋体"/>
                <w:color w:val="auto"/>
                <w:szCs w:val="21"/>
              </w:rPr>
            </w:pPr>
            <w:r>
              <w:rPr>
                <w:rFonts w:hint="default" w:eastAsia="宋体"/>
                <w:color w:val="auto"/>
                <w:szCs w:val="21"/>
              </w:rPr>
              <w:t>本次评价参照《化工建设项目环境保护设计规范》（GB50483-2009）和中石化集团印发的《水体污染防控紧急措施设计导则》（中国石化建标〔2006〕43号）的要求，明确事故存储设施有效容积的计算公式如下：</w:t>
            </w:r>
          </w:p>
          <w:p w14:paraId="48AD8DAC">
            <w:pPr>
              <w:spacing w:line="360" w:lineRule="auto"/>
              <w:ind w:firstLine="420" w:firstLineChars="200"/>
              <w:rPr>
                <w:rFonts w:hint="default" w:eastAsia="宋体"/>
                <w:color w:val="auto"/>
                <w:szCs w:val="21"/>
              </w:rPr>
            </w:pPr>
            <w:r>
              <w:rPr>
                <w:rFonts w:hint="default" w:eastAsia="宋体"/>
                <w:color w:val="auto"/>
                <w:szCs w:val="21"/>
              </w:rPr>
              <w:drawing>
                <wp:inline distT="0" distB="0" distL="0" distR="0">
                  <wp:extent cx="1854835" cy="241300"/>
                  <wp:effectExtent l="0" t="0" r="12065" b="5715"/>
                  <wp:docPr id="117" name="图片 117"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wps10"/>
                          <pic:cNvPicPr>
                            <a:picLocks noChangeAspect="1" noChangeArrowheads="1"/>
                          </pic:cNvPicPr>
                        </pic:nvPicPr>
                        <pic:blipFill>
                          <a:blip r:embed="rId25"/>
                          <a:srcRect/>
                          <a:stretch>
                            <a:fillRect/>
                          </a:stretch>
                        </pic:blipFill>
                        <pic:spPr>
                          <a:xfrm>
                            <a:off x="0" y="0"/>
                            <a:ext cx="1854835" cy="241300"/>
                          </a:xfrm>
                          <a:prstGeom prst="rect">
                            <a:avLst/>
                          </a:prstGeom>
                          <a:noFill/>
                          <a:ln w="9525">
                            <a:noFill/>
                            <a:miter lim="800000"/>
                            <a:headEnd/>
                            <a:tailEnd/>
                          </a:ln>
                        </pic:spPr>
                      </pic:pic>
                    </a:graphicData>
                  </a:graphic>
                </wp:inline>
              </w:drawing>
            </w:r>
          </w:p>
          <w:p w14:paraId="4520E8FC">
            <w:pPr>
              <w:spacing w:line="360" w:lineRule="auto"/>
              <w:ind w:firstLine="420" w:firstLineChars="200"/>
              <w:rPr>
                <w:rFonts w:hint="default" w:eastAsia="宋体"/>
                <w:color w:val="auto"/>
                <w:szCs w:val="21"/>
              </w:rPr>
            </w:pPr>
            <w:r>
              <w:rPr>
                <w:rFonts w:hint="default" w:eastAsia="宋体"/>
                <w:color w:val="auto"/>
                <w:szCs w:val="21"/>
              </w:rPr>
              <w:t>其中：</w:t>
            </w:r>
            <w:r>
              <w:rPr>
                <w:rFonts w:hint="default" w:eastAsia="宋体"/>
                <w:color w:val="auto"/>
                <w:szCs w:val="21"/>
              </w:rPr>
              <w:drawing>
                <wp:inline distT="0" distB="0" distL="0" distR="0">
                  <wp:extent cx="1009015" cy="241300"/>
                  <wp:effectExtent l="0" t="0" r="635" b="5715"/>
                  <wp:docPr id="41" name="图片 41"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wps11"/>
                          <pic:cNvPicPr>
                            <a:picLocks noChangeAspect="1" noChangeArrowheads="1"/>
                          </pic:cNvPicPr>
                        </pic:nvPicPr>
                        <pic:blipFill>
                          <a:blip r:embed="rId26"/>
                          <a:srcRect/>
                          <a:stretch>
                            <a:fillRect/>
                          </a:stretch>
                        </pic:blipFill>
                        <pic:spPr>
                          <a:xfrm>
                            <a:off x="0" y="0"/>
                            <a:ext cx="1009015" cy="241300"/>
                          </a:xfrm>
                          <a:prstGeom prst="rect">
                            <a:avLst/>
                          </a:prstGeom>
                          <a:noFill/>
                          <a:ln w="9525">
                            <a:noFill/>
                            <a:miter lim="800000"/>
                            <a:headEnd/>
                            <a:tailEnd/>
                          </a:ln>
                        </pic:spPr>
                      </pic:pic>
                    </a:graphicData>
                  </a:graphic>
                </wp:inline>
              </w:drawing>
            </w:r>
            <w:r>
              <w:rPr>
                <w:rFonts w:hint="default" w:eastAsia="宋体"/>
                <w:color w:val="auto"/>
                <w:szCs w:val="21"/>
              </w:rPr>
              <w:t>是指对收集系统范围内不同罐组或装置分别计算V1+V2-V3，取其中最大值。</w:t>
            </w:r>
          </w:p>
          <w:p w14:paraId="1A96DBCC">
            <w:pPr>
              <w:spacing w:line="360" w:lineRule="auto"/>
              <w:ind w:firstLine="420" w:firstLineChars="200"/>
              <w:rPr>
                <w:rFonts w:hint="default" w:eastAsia="宋体"/>
                <w:color w:val="auto"/>
                <w:szCs w:val="21"/>
              </w:rPr>
            </w:pPr>
            <w:r>
              <w:rPr>
                <w:rFonts w:hint="default" w:eastAsia="宋体"/>
                <w:color w:val="auto"/>
                <w:szCs w:val="21"/>
                <w:lang w:val="en-US" w:eastAsia="zh-CN"/>
              </w:rPr>
              <w:t>V1</w:t>
            </w:r>
            <w:r>
              <w:rPr>
                <w:rFonts w:hint="default" w:eastAsia="宋体"/>
                <w:color w:val="auto"/>
                <w:szCs w:val="21"/>
              </w:rPr>
              <w:t>—收集系统范围内发生事故的一个罐组或一套装置的物料量（注：储存相同物料的罐组按一个最大储罐计，装置物料量按存留最大物料量的一台反应器或中间储罐计）；</w:t>
            </w:r>
          </w:p>
          <w:p w14:paraId="287AE931">
            <w:pPr>
              <w:spacing w:line="360" w:lineRule="auto"/>
              <w:ind w:firstLine="420" w:firstLineChars="200"/>
              <w:rPr>
                <w:rFonts w:hint="default" w:eastAsia="宋体"/>
                <w:color w:val="auto"/>
                <w:szCs w:val="21"/>
              </w:rPr>
            </w:pPr>
            <w:r>
              <w:rPr>
                <w:rFonts w:hint="default" w:eastAsia="宋体"/>
                <w:color w:val="auto"/>
                <w:szCs w:val="21"/>
                <w:lang w:val="en-US" w:eastAsia="zh-CN"/>
              </w:rPr>
              <w:t>V2</w:t>
            </w:r>
            <w:r>
              <w:rPr>
                <w:rFonts w:hint="default" w:eastAsia="宋体"/>
                <w:color w:val="auto"/>
                <w:szCs w:val="21"/>
              </w:rPr>
              <w:t>—发生事故的储罐或装置的消防水量，m</w:t>
            </w:r>
            <w:r>
              <w:rPr>
                <w:rFonts w:hint="default" w:eastAsia="宋体"/>
                <w:color w:val="auto"/>
                <w:szCs w:val="21"/>
                <w:vertAlign w:val="superscript"/>
              </w:rPr>
              <w:t>3</w:t>
            </w:r>
            <w:r>
              <w:rPr>
                <w:rFonts w:hint="default" w:eastAsia="宋体"/>
                <w:color w:val="auto"/>
                <w:szCs w:val="21"/>
              </w:rPr>
              <w:t>；</w:t>
            </w:r>
          </w:p>
          <w:p w14:paraId="0E50CC9A">
            <w:pPr>
              <w:spacing w:line="360" w:lineRule="auto"/>
              <w:ind w:firstLine="420" w:firstLineChars="200"/>
              <w:rPr>
                <w:rFonts w:hint="default" w:eastAsia="宋体"/>
                <w:color w:val="auto"/>
                <w:szCs w:val="21"/>
              </w:rPr>
            </w:pPr>
            <w:r>
              <w:rPr>
                <w:rFonts w:hint="default" w:eastAsia="宋体"/>
                <w:color w:val="auto"/>
                <w:szCs w:val="21"/>
                <w:lang w:val="en-US" w:eastAsia="zh-CN"/>
              </w:rPr>
              <w:t>V3</w:t>
            </w:r>
            <w:r>
              <w:rPr>
                <w:rFonts w:hint="default" w:eastAsia="宋体"/>
                <w:color w:val="auto"/>
                <w:szCs w:val="21"/>
              </w:rPr>
              <w:t>—发生事故时可以</w:t>
            </w:r>
            <w:r>
              <w:rPr>
                <w:rFonts w:hint="eastAsia" w:eastAsia="宋体"/>
                <w:color w:val="auto"/>
                <w:szCs w:val="21"/>
                <w:lang w:eastAsia="zh-CN"/>
              </w:rPr>
              <w:t>传输</w:t>
            </w:r>
            <w:r>
              <w:rPr>
                <w:rFonts w:hint="default" w:eastAsia="宋体"/>
                <w:color w:val="auto"/>
                <w:szCs w:val="21"/>
              </w:rPr>
              <w:t>到其他储存或处理设施的物料量，m</w:t>
            </w:r>
            <w:r>
              <w:rPr>
                <w:rFonts w:hint="default" w:eastAsia="宋体"/>
                <w:color w:val="auto"/>
                <w:szCs w:val="21"/>
                <w:vertAlign w:val="superscript"/>
              </w:rPr>
              <w:t>3</w:t>
            </w:r>
            <w:r>
              <w:rPr>
                <w:rFonts w:hint="default" w:eastAsia="宋体"/>
                <w:color w:val="auto"/>
                <w:szCs w:val="21"/>
              </w:rPr>
              <w:t>；</w:t>
            </w:r>
          </w:p>
          <w:p w14:paraId="4CC5F494">
            <w:pPr>
              <w:spacing w:line="360" w:lineRule="auto"/>
              <w:ind w:firstLine="420" w:firstLineChars="200"/>
              <w:rPr>
                <w:rFonts w:hint="default" w:eastAsia="宋体"/>
                <w:color w:val="auto"/>
                <w:szCs w:val="21"/>
              </w:rPr>
            </w:pPr>
            <w:r>
              <w:rPr>
                <w:rFonts w:hint="default" w:eastAsia="宋体"/>
                <w:color w:val="auto"/>
                <w:szCs w:val="21"/>
                <w:lang w:val="en-US" w:eastAsia="zh-CN"/>
              </w:rPr>
              <w:t>V4</w:t>
            </w:r>
            <w:r>
              <w:rPr>
                <w:rFonts w:hint="default" w:eastAsia="宋体"/>
                <w:color w:val="auto"/>
                <w:szCs w:val="21"/>
              </w:rPr>
              <w:t>—发生事故时仍必须进入该收集系统的生产废水量，m</w:t>
            </w:r>
            <w:r>
              <w:rPr>
                <w:rFonts w:hint="default" w:eastAsia="宋体"/>
                <w:color w:val="auto"/>
                <w:szCs w:val="21"/>
                <w:vertAlign w:val="superscript"/>
              </w:rPr>
              <w:t>3</w:t>
            </w:r>
            <w:r>
              <w:rPr>
                <w:rFonts w:hint="default" w:eastAsia="宋体"/>
                <w:color w:val="auto"/>
                <w:szCs w:val="21"/>
              </w:rPr>
              <w:t>；</w:t>
            </w:r>
          </w:p>
          <w:p w14:paraId="6144BA4A">
            <w:pPr>
              <w:spacing w:line="360" w:lineRule="auto"/>
              <w:ind w:firstLine="420" w:firstLineChars="200"/>
              <w:rPr>
                <w:rFonts w:hint="default" w:eastAsia="宋体"/>
                <w:color w:val="auto"/>
                <w:szCs w:val="21"/>
              </w:rPr>
            </w:pPr>
            <w:r>
              <w:rPr>
                <w:rFonts w:hint="default" w:eastAsia="宋体"/>
                <w:color w:val="auto"/>
                <w:szCs w:val="21"/>
                <w:lang w:val="en-US" w:eastAsia="zh-CN"/>
              </w:rPr>
              <w:t>V5</w:t>
            </w:r>
            <w:r>
              <w:rPr>
                <w:rFonts w:hint="default" w:eastAsia="宋体"/>
                <w:color w:val="auto"/>
                <w:szCs w:val="21"/>
              </w:rPr>
              <w:t>—发生事故时可能进入该收集系统的降雨量，m</w:t>
            </w:r>
            <w:r>
              <w:rPr>
                <w:rFonts w:hint="default" w:eastAsia="宋体"/>
                <w:color w:val="auto"/>
                <w:szCs w:val="21"/>
                <w:vertAlign w:val="superscript"/>
              </w:rPr>
              <w:t>3</w:t>
            </w:r>
            <w:r>
              <w:rPr>
                <w:rFonts w:hint="default" w:eastAsia="宋体"/>
                <w:color w:val="auto"/>
                <w:szCs w:val="21"/>
              </w:rPr>
              <w:t>；</w:t>
            </w:r>
          </w:p>
          <w:p w14:paraId="24AB91A2">
            <w:pPr>
              <w:spacing w:line="360" w:lineRule="auto"/>
              <w:ind w:firstLine="420" w:firstLineChars="200"/>
              <w:rPr>
                <w:rFonts w:hint="default" w:eastAsia="宋体"/>
                <w:color w:val="auto"/>
                <w:szCs w:val="21"/>
              </w:rPr>
            </w:pPr>
            <w:r>
              <w:rPr>
                <w:rFonts w:hint="default" w:eastAsia="宋体"/>
                <w:color w:val="auto"/>
                <w:szCs w:val="21"/>
              </w:rPr>
              <w:t>因此V1</w:t>
            </w:r>
            <w:r>
              <w:rPr>
                <w:rFonts w:hint="default" w:eastAsia="宋体"/>
                <w:color w:val="auto"/>
                <w:szCs w:val="21"/>
                <w:lang w:val="en-US" w:eastAsia="zh-CN"/>
              </w:rPr>
              <w:t>按最大</w:t>
            </w:r>
            <w:r>
              <w:rPr>
                <w:rFonts w:hint="eastAsia" w:eastAsia="宋体"/>
                <w:color w:val="auto"/>
                <w:szCs w:val="21"/>
                <w:lang w:val="en-US" w:eastAsia="zh-CN"/>
              </w:rPr>
              <w:t>搅拌罐</w:t>
            </w:r>
            <w:r>
              <w:rPr>
                <w:rFonts w:hint="default" w:eastAsia="宋体"/>
                <w:color w:val="auto"/>
                <w:szCs w:val="21"/>
                <w:lang w:val="en-US" w:eastAsia="zh-CN"/>
              </w:rPr>
              <w:t>（</w:t>
            </w:r>
            <w:r>
              <w:rPr>
                <w:rFonts w:hint="eastAsia" w:eastAsia="宋体"/>
                <w:color w:val="auto"/>
                <w:szCs w:val="21"/>
                <w:lang w:val="en-US" w:eastAsia="zh-CN"/>
              </w:rPr>
              <w:t>20m</w:t>
            </w:r>
            <w:r>
              <w:rPr>
                <w:rFonts w:hint="eastAsia" w:eastAsia="宋体"/>
                <w:color w:val="auto"/>
                <w:szCs w:val="21"/>
                <w:vertAlign w:val="superscript"/>
                <w:lang w:val="en-US" w:eastAsia="zh-CN"/>
              </w:rPr>
              <w:t>3</w:t>
            </w:r>
            <w:r>
              <w:rPr>
                <w:rFonts w:hint="default" w:eastAsia="宋体"/>
                <w:color w:val="auto"/>
                <w:szCs w:val="21"/>
                <w:lang w:val="en-US" w:eastAsia="zh-CN"/>
              </w:rPr>
              <w:t>）</w:t>
            </w:r>
            <w:r>
              <w:rPr>
                <w:rFonts w:hint="default" w:eastAsia="宋体"/>
                <w:color w:val="auto"/>
                <w:szCs w:val="21"/>
              </w:rPr>
              <w:t>。</w:t>
            </w:r>
          </w:p>
          <w:p w14:paraId="64FECB24">
            <w:pPr>
              <w:spacing w:line="360" w:lineRule="auto"/>
              <w:ind w:firstLine="420" w:firstLineChars="200"/>
              <w:rPr>
                <w:rFonts w:hint="default" w:eastAsia="宋体"/>
                <w:color w:val="auto"/>
                <w:szCs w:val="21"/>
              </w:rPr>
            </w:pPr>
            <w:r>
              <w:rPr>
                <w:rFonts w:hint="default" w:eastAsia="宋体"/>
                <w:color w:val="auto"/>
                <w:szCs w:val="21"/>
              </w:rPr>
              <w:t>本项目生产区内的液态原料均不属于易燃液体，因此，本评价仅计算厂区的消防用水。厂内同一时间内的火灾次数1处，设计消防用水量为</w:t>
            </w:r>
            <w:r>
              <w:rPr>
                <w:rFonts w:hint="eastAsia" w:eastAsia="宋体"/>
                <w:color w:val="auto"/>
                <w:szCs w:val="21"/>
                <w:lang w:val="en-US" w:eastAsia="zh-CN"/>
              </w:rPr>
              <w:t>10</w:t>
            </w:r>
            <w:r>
              <w:rPr>
                <w:rFonts w:hint="default" w:eastAsia="宋体"/>
                <w:color w:val="auto"/>
                <w:szCs w:val="21"/>
              </w:rPr>
              <w:t>L/s，历时为</w:t>
            </w:r>
            <w:r>
              <w:rPr>
                <w:rFonts w:hint="eastAsia" w:eastAsia="宋体"/>
                <w:color w:val="auto"/>
                <w:szCs w:val="21"/>
                <w:lang w:val="en-US" w:eastAsia="zh-CN"/>
              </w:rPr>
              <w:t>2</w:t>
            </w:r>
            <w:r>
              <w:rPr>
                <w:rFonts w:hint="default" w:eastAsia="宋体"/>
                <w:color w:val="auto"/>
                <w:szCs w:val="21"/>
              </w:rPr>
              <w:t>小时，则厂区一次消防用水总量V2约为</w:t>
            </w:r>
            <w:r>
              <w:rPr>
                <w:rFonts w:hint="eastAsia" w:eastAsia="宋体"/>
                <w:color w:val="auto"/>
                <w:szCs w:val="21"/>
                <w:lang w:val="en-US" w:eastAsia="zh-CN"/>
              </w:rPr>
              <w:t>72</w:t>
            </w:r>
            <w:r>
              <w:rPr>
                <w:rFonts w:hint="default" w:eastAsia="宋体"/>
                <w:color w:val="auto"/>
                <w:szCs w:val="21"/>
              </w:rPr>
              <w:t>m</w:t>
            </w:r>
            <w:r>
              <w:rPr>
                <w:rFonts w:hint="default" w:eastAsia="宋体"/>
                <w:color w:val="auto"/>
                <w:szCs w:val="21"/>
                <w:vertAlign w:val="superscript"/>
              </w:rPr>
              <w:t>3</w:t>
            </w:r>
            <w:r>
              <w:rPr>
                <w:rFonts w:hint="default" w:eastAsia="宋体"/>
                <w:color w:val="auto"/>
                <w:szCs w:val="21"/>
              </w:rPr>
              <w:t>。</w:t>
            </w:r>
          </w:p>
          <w:p w14:paraId="1DC4155F">
            <w:pPr>
              <w:spacing w:line="360" w:lineRule="auto"/>
              <w:ind w:firstLine="420" w:firstLineChars="200"/>
              <w:rPr>
                <w:rFonts w:hint="default" w:eastAsia="宋体"/>
                <w:color w:val="auto"/>
                <w:szCs w:val="21"/>
              </w:rPr>
            </w:pPr>
            <w:r>
              <w:rPr>
                <w:rFonts w:hint="default" w:eastAsia="宋体"/>
                <w:color w:val="auto"/>
                <w:szCs w:val="21"/>
              </w:rPr>
              <w:t>根据设计方案，本项目不设置备用倒罐，因此本评价V3取0。</w:t>
            </w:r>
          </w:p>
          <w:p w14:paraId="0674A991">
            <w:pPr>
              <w:spacing w:line="360" w:lineRule="auto"/>
              <w:ind w:firstLine="420" w:firstLineChars="200"/>
              <w:rPr>
                <w:rFonts w:hint="default" w:eastAsia="宋体"/>
                <w:color w:val="auto"/>
                <w:szCs w:val="21"/>
              </w:rPr>
            </w:pPr>
            <w:r>
              <w:rPr>
                <w:rFonts w:hint="default" w:eastAsia="宋体"/>
                <w:color w:val="auto"/>
                <w:szCs w:val="21"/>
              </w:rPr>
              <w:t>根据设计方案，本项目事故状况下的全厂生产废水产生量</w:t>
            </w:r>
            <w:r>
              <w:rPr>
                <w:rFonts w:hint="eastAsia" w:eastAsia="宋体"/>
                <w:color w:val="auto"/>
                <w:szCs w:val="21"/>
                <w:lang w:val="en-US" w:eastAsia="zh-CN"/>
              </w:rPr>
              <w:t>7.867</w:t>
            </w:r>
            <w:r>
              <w:rPr>
                <w:rFonts w:hint="default" w:eastAsia="宋体"/>
                <w:color w:val="auto"/>
                <w:szCs w:val="21"/>
              </w:rPr>
              <w:t>m</w:t>
            </w:r>
            <w:r>
              <w:rPr>
                <w:rFonts w:hint="default" w:eastAsia="宋体"/>
                <w:color w:val="auto"/>
                <w:szCs w:val="21"/>
                <w:vertAlign w:val="superscript"/>
              </w:rPr>
              <w:t>3</w:t>
            </w:r>
            <w:r>
              <w:rPr>
                <w:rFonts w:hint="default" w:eastAsia="宋体"/>
                <w:color w:val="auto"/>
                <w:szCs w:val="21"/>
              </w:rPr>
              <w:t>/d，事故后一般会立即停止生产，故按延迟时间15min考虑，则发生事故时仍必须进入事故废水收集系统的生产废水量V4取值</w:t>
            </w:r>
            <w:r>
              <w:rPr>
                <w:rFonts w:hint="eastAsia" w:eastAsia="宋体"/>
                <w:color w:val="auto"/>
                <w:szCs w:val="21"/>
                <w:lang w:val="en-US" w:eastAsia="zh-CN"/>
              </w:rPr>
              <w:t>0.08</w:t>
            </w:r>
            <w:r>
              <w:rPr>
                <w:rFonts w:hint="default" w:eastAsia="宋体"/>
                <w:color w:val="auto"/>
                <w:szCs w:val="21"/>
              </w:rPr>
              <w:t>m</w:t>
            </w:r>
            <w:r>
              <w:rPr>
                <w:rFonts w:hint="default" w:eastAsia="宋体"/>
                <w:color w:val="auto"/>
                <w:szCs w:val="21"/>
                <w:vertAlign w:val="superscript"/>
              </w:rPr>
              <w:t>3</w:t>
            </w:r>
            <w:r>
              <w:rPr>
                <w:rFonts w:hint="default" w:eastAsia="宋体"/>
                <w:color w:val="auto"/>
                <w:szCs w:val="21"/>
              </w:rPr>
              <w:t>。</w:t>
            </w:r>
          </w:p>
          <w:p w14:paraId="4499E12A">
            <w:pPr>
              <w:spacing w:line="360" w:lineRule="auto"/>
              <w:ind w:firstLine="420" w:firstLineChars="200"/>
              <w:rPr>
                <w:rFonts w:hint="default" w:eastAsia="宋体"/>
                <w:color w:val="auto"/>
                <w:szCs w:val="21"/>
              </w:rPr>
            </w:pPr>
            <w:r>
              <w:rPr>
                <w:rFonts w:hint="default" w:eastAsia="宋体"/>
                <w:color w:val="auto"/>
                <w:szCs w:val="21"/>
              </w:rPr>
              <w:t>V5—发生事故时可能进入该收集系统的降雨量，m</w:t>
            </w:r>
            <w:r>
              <w:rPr>
                <w:rFonts w:hint="default" w:eastAsia="宋体"/>
                <w:color w:val="auto"/>
                <w:szCs w:val="21"/>
                <w:vertAlign w:val="superscript"/>
              </w:rPr>
              <w:t>3</w:t>
            </w:r>
            <w:r>
              <w:rPr>
                <w:rFonts w:hint="default" w:eastAsia="宋体"/>
                <w:color w:val="auto"/>
                <w:szCs w:val="21"/>
              </w:rPr>
              <w:t>；</w:t>
            </w:r>
          </w:p>
          <w:p w14:paraId="5E5FD8A8">
            <w:pPr>
              <w:spacing w:line="360" w:lineRule="auto"/>
              <w:ind w:firstLine="420" w:firstLineChars="200"/>
              <w:rPr>
                <w:rFonts w:hint="default" w:eastAsia="宋体"/>
                <w:color w:val="auto"/>
                <w:szCs w:val="21"/>
              </w:rPr>
            </w:pPr>
            <w:r>
              <w:rPr>
                <w:rFonts w:hint="default" w:eastAsia="宋体"/>
                <w:color w:val="auto"/>
                <w:szCs w:val="21"/>
              </w:rPr>
              <w:t>由于本项目生产及物料存储均在室内</w:t>
            </w:r>
            <w:r>
              <w:rPr>
                <w:rFonts w:hint="eastAsia" w:eastAsia="宋体"/>
                <w:color w:val="auto"/>
                <w:szCs w:val="21"/>
                <w:lang w:val="en-US" w:eastAsia="zh-CN"/>
              </w:rPr>
              <w:t>，</w:t>
            </w:r>
            <w:r>
              <w:rPr>
                <w:rFonts w:hint="default" w:eastAsia="宋体"/>
                <w:color w:val="auto"/>
                <w:szCs w:val="21"/>
              </w:rPr>
              <w:t>故评价不考虑雨水影响，V5取值为0。</w:t>
            </w:r>
          </w:p>
          <w:p w14:paraId="1E077B0D">
            <w:pPr>
              <w:spacing w:line="360" w:lineRule="auto"/>
              <w:ind w:firstLine="420" w:firstLineChars="200"/>
              <w:rPr>
                <w:rFonts w:hint="default" w:eastAsia="宋体"/>
                <w:color w:val="auto"/>
                <w:szCs w:val="21"/>
              </w:rPr>
            </w:pPr>
            <w:r>
              <w:rPr>
                <w:rFonts w:hint="default" w:eastAsia="宋体"/>
                <w:color w:val="auto"/>
                <w:szCs w:val="21"/>
              </w:rPr>
              <w:t>根据以上计算V总＝（V1＋V2－V3）max＋V4+V5=</w:t>
            </w:r>
            <w:r>
              <w:rPr>
                <w:rFonts w:hint="eastAsia" w:eastAsia="宋体"/>
                <w:color w:val="auto"/>
                <w:szCs w:val="21"/>
                <w:lang w:val="en-US" w:eastAsia="zh-CN"/>
              </w:rPr>
              <w:t>20</w:t>
            </w:r>
            <w:r>
              <w:rPr>
                <w:rFonts w:hint="default" w:eastAsia="宋体"/>
                <w:color w:val="auto"/>
                <w:szCs w:val="21"/>
              </w:rPr>
              <w:t>+</w:t>
            </w:r>
            <w:r>
              <w:rPr>
                <w:rFonts w:hint="eastAsia" w:eastAsia="宋体"/>
                <w:color w:val="auto"/>
                <w:szCs w:val="21"/>
                <w:lang w:val="en-US" w:eastAsia="zh-CN"/>
              </w:rPr>
              <w:t>72</w:t>
            </w:r>
            <w:r>
              <w:rPr>
                <w:rFonts w:hint="default" w:eastAsia="宋体"/>
                <w:color w:val="auto"/>
                <w:szCs w:val="21"/>
              </w:rPr>
              <w:t>+</w:t>
            </w:r>
            <w:r>
              <w:rPr>
                <w:rFonts w:hint="eastAsia" w:eastAsia="宋体"/>
                <w:color w:val="auto"/>
                <w:szCs w:val="21"/>
                <w:lang w:val="en-US" w:eastAsia="zh-CN"/>
              </w:rPr>
              <w:t>0.08</w:t>
            </w:r>
            <w:r>
              <w:rPr>
                <w:rFonts w:hint="default" w:eastAsia="宋体"/>
                <w:color w:val="auto"/>
                <w:szCs w:val="21"/>
              </w:rPr>
              <w:t>=</w:t>
            </w:r>
            <w:r>
              <w:rPr>
                <w:rFonts w:hint="eastAsia" w:eastAsia="宋体"/>
                <w:color w:val="auto"/>
                <w:szCs w:val="21"/>
                <w:lang w:val="en-US" w:eastAsia="zh-CN"/>
              </w:rPr>
              <w:t>92.08</w:t>
            </w:r>
            <w:r>
              <w:rPr>
                <w:rFonts w:hint="default" w:eastAsia="宋体"/>
                <w:color w:val="auto"/>
                <w:szCs w:val="21"/>
              </w:rPr>
              <w:t>m</w:t>
            </w:r>
            <w:r>
              <w:rPr>
                <w:rFonts w:hint="default" w:eastAsia="宋体"/>
                <w:color w:val="auto"/>
                <w:szCs w:val="21"/>
                <w:vertAlign w:val="superscript"/>
              </w:rPr>
              <w:t>3</w:t>
            </w:r>
            <w:r>
              <w:rPr>
                <w:rFonts w:hint="default" w:eastAsia="宋体"/>
                <w:color w:val="auto"/>
                <w:szCs w:val="21"/>
              </w:rPr>
              <w:t>。建设单位拟在</w:t>
            </w:r>
            <w:r>
              <w:rPr>
                <w:rFonts w:hint="eastAsia" w:eastAsia="宋体"/>
                <w:color w:val="auto"/>
                <w:szCs w:val="21"/>
                <w:lang w:val="en-US" w:eastAsia="zh-CN"/>
              </w:rPr>
              <w:t>厂区地势低的西北侧</w:t>
            </w:r>
            <w:r>
              <w:rPr>
                <w:rFonts w:hint="default" w:eastAsia="宋体"/>
                <w:color w:val="auto"/>
                <w:szCs w:val="21"/>
              </w:rPr>
              <w:t>设置</w:t>
            </w:r>
            <w:r>
              <w:rPr>
                <w:rFonts w:hint="eastAsia" w:eastAsia="宋体"/>
                <w:color w:val="auto"/>
                <w:szCs w:val="21"/>
                <w:lang w:val="en-US" w:eastAsia="zh-CN"/>
              </w:rPr>
              <w:t>187</w:t>
            </w:r>
            <w:r>
              <w:rPr>
                <w:rFonts w:hint="default" w:eastAsia="宋体"/>
                <w:color w:val="auto"/>
                <w:szCs w:val="21"/>
              </w:rPr>
              <w:t>m</w:t>
            </w:r>
            <w:r>
              <w:rPr>
                <w:rFonts w:hint="default" w:eastAsia="宋体"/>
                <w:color w:val="auto"/>
                <w:szCs w:val="21"/>
                <w:vertAlign w:val="superscript"/>
              </w:rPr>
              <w:t>3</w:t>
            </w:r>
            <w:r>
              <w:rPr>
                <w:rFonts w:hint="default" w:eastAsia="宋体"/>
                <w:color w:val="auto"/>
                <w:szCs w:val="21"/>
              </w:rPr>
              <w:t>事故池，可以满足事故状况下废水收集需求。鉴于项目厂区内地势变化不大，评价要求企业应配备必要的自发电机设施和提升泵，确保事故断电情况下事故废水能顺利输送至事故池。</w:t>
            </w:r>
          </w:p>
          <w:p w14:paraId="20086948">
            <w:pPr>
              <w:spacing w:line="360" w:lineRule="auto"/>
              <w:ind w:firstLine="420" w:firstLineChars="200"/>
              <w:rPr>
                <w:rFonts w:hint="default" w:eastAsia="宋体"/>
                <w:color w:val="auto"/>
                <w:szCs w:val="21"/>
              </w:rPr>
            </w:pPr>
            <w:r>
              <w:rPr>
                <w:rFonts w:hint="default" w:eastAsia="宋体"/>
                <w:color w:val="auto"/>
                <w:szCs w:val="21"/>
              </w:rPr>
              <w:t>根据相关统计，多个存储桶及输送管线同时发生破裂造成大量物料</w:t>
            </w:r>
            <w:r>
              <w:rPr>
                <w:rFonts w:hint="eastAsia" w:eastAsia="宋体"/>
                <w:color w:val="auto"/>
                <w:szCs w:val="21"/>
                <w:lang w:eastAsia="zh-CN"/>
              </w:rPr>
              <w:t>泄漏</w:t>
            </w:r>
            <w:r>
              <w:rPr>
                <w:rFonts w:hint="default" w:eastAsia="宋体"/>
                <w:color w:val="auto"/>
                <w:szCs w:val="21"/>
              </w:rPr>
              <w:t>的概率低于10</w:t>
            </w:r>
            <w:r>
              <w:rPr>
                <w:rFonts w:hint="default" w:eastAsia="宋体"/>
                <w:color w:val="auto"/>
                <w:szCs w:val="21"/>
                <w:vertAlign w:val="superscript"/>
              </w:rPr>
              <w:t>-6</w:t>
            </w:r>
            <w:r>
              <w:rPr>
                <w:rFonts w:hint="default" w:eastAsia="宋体"/>
                <w:color w:val="auto"/>
                <w:szCs w:val="21"/>
              </w:rPr>
              <w:t>/年；且为防止消防废水等从雨排口或清下水排口直接排出，本次评价要求建设单位在排水管网（包括雨水管网、清下水管网、污水管网）全部设置切断装置，必要时立即切断所有排水管网（包括雨水管网、清下水管网、污水管网），保证未经处理的事故废水不外排。</w:t>
            </w:r>
          </w:p>
          <w:p w14:paraId="361C2E87">
            <w:pPr>
              <w:spacing w:line="360" w:lineRule="auto"/>
              <w:ind w:firstLine="420" w:firstLineChars="200"/>
              <w:rPr>
                <w:rFonts w:hint="eastAsia" w:eastAsia="宋体"/>
                <w:color w:val="auto"/>
                <w:szCs w:val="21"/>
              </w:rPr>
            </w:pPr>
            <w:r>
              <w:rPr>
                <w:rFonts w:hint="default" w:eastAsia="宋体"/>
                <w:color w:val="auto"/>
                <w:szCs w:val="21"/>
              </w:rPr>
              <w:t>项目事故废水与外部水体具体切断措施如下：厂区所有清下水管道的进口均设置截留阀，一旦发生泄漏事故，如果溢出的物料四处流散，进入清下水管网，则立即启动泄漏源与雨水管网之间的切换阀。将事故污水及时截留在厂区内，切断被污染的消防水或</w:t>
            </w:r>
            <w:r>
              <w:rPr>
                <w:rFonts w:hint="eastAsia" w:eastAsia="宋体"/>
                <w:color w:val="auto"/>
                <w:szCs w:val="21"/>
                <w:lang w:eastAsia="zh-CN"/>
              </w:rPr>
              <w:t>地下</w:t>
            </w:r>
            <w:r>
              <w:rPr>
                <w:rFonts w:hint="default" w:eastAsia="宋体"/>
                <w:color w:val="auto"/>
                <w:szCs w:val="21"/>
              </w:rPr>
              <w:t>水排入外部水环境的途径。事故状态下，厂区内所有事故废水必须全部收集。</w:t>
            </w:r>
          </w:p>
          <w:p w14:paraId="4443715C">
            <w:pPr>
              <w:spacing w:line="360" w:lineRule="auto"/>
              <w:ind w:firstLine="422" w:firstLineChars="200"/>
              <w:rPr>
                <w:b/>
                <w:bCs/>
                <w:color w:val="auto"/>
                <w:szCs w:val="21"/>
              </w:rPr>
            </w:pPr>
            <w:r>
              <w:rPr>
                <w:rFonts w:hint="eastAsia"/>
                <w:b/>
                <w:bCs/>
                <w:color w:val="auto"/>
                <w:szCs w:val="21"/>
              </w:rPr>
              <w:t>4）火灾风险防范措施</w:t>
            </w:r>
          </w:p>
          <w:p w14:paraId="20F948F7">
            <w:pPr>
              <w:spacing w:line="360" w:lineRule="auto"/>
              <w:ind w:firstLine="420" w:firstLineChars="200"/>
              <w:rPr>
                <w:color w:val="auto"/>
                <w:szCs w:val="21"/>
              </w:rPr>
            </w:pPr>
            <w:r>
              <w:rPr>
                <w:rFonts w:hint="eastAsia"/>
                <w:color w:val="auto"/>
                <w:szCs w:val="21"/>
              </w:rPr>
              <w:t>①设立专门的环境管理机构，制定日常管理措施、消防措施和应急预案。对工作人员进行火灾事态时的报警培训，已成立环境风险事故应急救援领导小组和应急救援专业队伍。</w:t>
            </w:r>
          </w:p>
          <w:p w14:paraId="34151FE8">
            <w:pPr>
              <w:spacing w:line="360" w:lineRule="auto"/>
              <w:ind w:firstLine="420" w:firstLineChars="200"/>
              <w:rPr>
                <w:color w:val="auto"/>
                <w:szCs w:val="21"/>
              </w:rPr>
            </w:pPr>
            <w:r>
              <w:rPr>
                <w:rFonts w:hint="eastAsia"/>
                <w:color w:val="auto"/>
                <w:szCs w:val="21"/>
              </w:rPr>
              <w:t>②加强厂区消防设施的日常管理，确保事故时消防设施能够正常使用，针对厂区等可能出现的火灾事故三个月进行一次消防演练。</w:t>
            </w:r>
          </w:p>
          <w:p w14:paraId="47A49AED">
            <w:pPr>
              <w:spacing w:line="360" w:lineRule="auto"/>
              <w:ind w:firstLine="420" w:firstLineChars="200"/>
              <w:rPr>
                <w:color w:val="auto"/>
                <w:szCs w:val="21"/>
              </w:rPr>
            </w:pPr>
            <w:r>
              <w:rPr>
                <w:rFonts w:hint="eastAsia"/>
                <w:color w:val="auto"/>
                <w:szCs w:val="21"/>
              </w:rPr>
              <w:t>③严格明火管理。严格按照《中华人民共和国爆炸危险场所安全规程》和现行有关标准、规程及要求执行。</w:t>
            </w:r>
          </w:p>
          <w:p w14:paraId="37D7B035">
            <w:pPr>
              <w:spacing w:line="360" w:lineRule="auto"/>
              <w:ind w:firstLine="420" w:firstLineChars="200"/>
              <w:rPr>
                <w:color w:val="auto"/>
                <w:szCs w:val="21"/>
              </w:rPr>
            </w:pPr>
            <w:r>
              <w:rPr>
                <w:rFonts w:hint="eastAsia"/>
                <w:color w:val="auto"/>
                <w:szCs w:val="21"/>
              </w:rPr>
              <w:t>④厂房设置地上消火栓和干粉灭火器，报警设施，并加强厂区消防设施的日常管理，确保事故时消防设施能够正常使用。</w:t>
            </w:r>
          </w:p>
          <w:p w14:paraId="7ED52AB8">
            <w:pPr>
              <w:spacing w:line="360" w:lineRule="auto"/>
              <w:ind w:firstLine="420" w:firstLineChars="200"/>
              <w:rPr>
                <w:color w:val="auto"/>
                <w:szCs w:val="21"/>
              </w:rPr>
            </w:pPr>
            <w:r>
              <w:rPr>
                <w:rFonts w:hint="eastAsia"/>
                <w:color w:val="auto"/>
                <w:szCs w:val="21"/>
              </w:rPr>
              <w:t>⑤消防器材设置在明显和便于取用的地点，周围未堆放物品和杂物。消防设施、器材，由专人管理，负责检查、维修、保养、更换和添置，保证完好有效，严禁圈占、埋压和挪用。配备消防器材（如干粉灭火器等）和消防设施；标识明确，使用方便。</w:t>
            </w:r>
          </w:p>
          <w:p w14:paraId="1F9FCB30">
            <w:pPr>
              <w:spacing w:line="360" w:lineRule="auto"/>
              <w:ind w:firstLine="420" w:firstLineChars="200"/>
              <w:rPr>
                <w:color w:val="auto"/>
                <w:szCs w:val="21"/>
              </w:rPr>
            </w:pPr>
            <w:r>
              <w:rPr>
                <w:rFonts w:hint="eastAsia"/>
                <w:color w:val="auto"/>
                <w:szCs w:val="21"/>
              </w:rPr>
              <w:t>⑥易燃、可燃物（封口胶等）堆放远离火种、热源。设备及仓库保证良好接地，杜绝静电火花的产生。</w:t>
            </w:r>
          </w:p>
          <w:p w14:paraId="2707AD12">
            <w:pPr>
              <w:spacing w:line="360" w:lineRule="auto"/>
              <w:ind w:firstLine="422" w:firstLineChars="200"/>
              <w:rPr>
                <w:b/>
                <w:bCs/>
                <w:color w:val="auto"/>
                <w:szCs w:val="21"/>
              </w:rPr>
            </w:pPr>
            <w:r>
              <w:rPr>
                <w:rFonts w:hint="eastAsia"/>
                <w:b/>
                <w:bCs/>
                <w:color w:val="auto"/>
                <w:szCs w:val="21"/>
              </w:rPr>
              <w:t>4）其他风险防范措施</w:t>
            </w:r>
          </w:p>
          <w:p w14:paraId="130FE6E0">
            <w:pPr>
              <w:spacing w:line="360" w:lineRule="auto"/>
              <w:ind w:firstLine="420" w:firstLineChars="200"/>
              <w:rPr>
                <w:color w:val="auto"/>
                <w:szCs w:val="21"/>
              </w:rPr>
            </w:pPr>
            <w:r>
              <w:rPr>
                <w:rFonts w:hint="eastAsia"/>
                <w:color w:val="auto"/>
                <w:szCs w:val="21"/>
              </w:rPr>
              <w:t>①企业必须建立完善安全卫生管理体系。应按职业安全卫生管理体系的需要，设置必要的安全卫生管理机构，配备相应的专（兼）职管理、检查、安全卫生教育、检测人员。企业必须建立健全各种安全管理制度和规程，建立各种安全管理台账和记录。</w:t>
            </w:r>
          </w:p>
          <w:p w14:paraId="43CF951D">
            <w:pPr>
              <w:spacing w:line="360" w:lineRule="auto"/>
              <w:ind w:firstLine="420" w:firstLineChars="200"/>
              <w:rPr>
                <w:color w:val="auto"/>
                <w:szCs w:val="21"/>
              </w:rPr>
            </w:pPr>
            <w:r>
              <w:rPr>
                <w:rFonts w:hint="eastAsia"/>
                <w:color w:val="auto"/>
                <w:szCs w:val="21"/>
              </w:rPr>
              <w:t>②按照有关规定配备劳动防护设施，发放劳动防护用品。劳动防护设施和用品应定期检查、更换。</w:t>
            </w:r>
          </w:p>
          <w:p w14:paraId="23F91B7F">
            <w:pPr>
              <w:spacing w:line="360" w:lineRule="auto"/>
              <w:ind w:firstLine="420" w:firstLineChars="200"/>
              <w:rPr>
                <w:color w:val="auto"/>
                <w:szCs w:val="21"/>
              </w:rPr>
            </w:pPr>
            <w:r>
              <w:rPr>
                <w:rFonts w:hint="eastAsia"/>
                <w:color w:val="auto"/>
                <w:szCs w:val="21"/>
              </w:rPr>
              <w:t>③制定完善事故应急预案，发生灾害后按有关规定第一时间上报，如发生泄漏事故，及时处理，将灾害损失降至最低。</w:t>
            </w:r>
          </w:p>
          <w:p w14:paraId="296F81CC">
            <w:pPr>
              <w:spacing w:line="360" w:lineRule="auto"/>
              <w:ind w:firstLine="420" w:firstLineChars="200"/>
              <w:rPr>
                <w:color w:val="auto"/>
                <w:szCs w:val="21"/>
              </w:rPr>
            </w:pPr>
            <w:r>
              <w:rPr>
                <w:rFonts w:hint="eastAsia"/>
                <w:color w:val="auto"/>
                <w:szCs w:val="21"/>
              </w:rPr>
              <w:t>④成立应急安全领导小组，明确分工，在出现事故时，及时消除事故隐患。</w:t>
            </w:r>
          </w:p>
          <w:p w14:paraId="00488DAF">
            <w:pPr>
              <w:spacing w:line="360" w:lineRule="auto"/>
              <w:ind w:firstLine="420" w:firstLineChars="200"/>
              <w:rPr>
                <w:rFonts w:ascii="宋体" w:hAnsi="宋体" w:cs="宋体"/>
                <w:color w:val="auto"/>
                <w:szCs w:val="21"/>
              </w:rPr>
            </w:pPr>
            <w:r>
              <w:rPr>
                <w:rFonts w:hint="eastAsia" w:ascii="宋体" w:hAnsi="宋体" w:cs="宋体"/>
                <w:color w:val="auto"/>
                <w:szCs w:val="21"/>
              </w:rPr>
              <w:t>⑤采用现代化安全管理方法，推行安全科学管理，不断提高安全管理水平和预控能力，防止各种事故的发生。</w:t>
            </w:r>
          </w:p>
          <w:p w14:paraId="24C33405">
            <w:pPr>
              <w:spacing w:line="360" w:lineRule="auto"/>
              <w:ind w:firstLine="420" w:firstLineChars="200"/>
              <w:rPr>
                <w:rFonts w:ascii="宋体" w:hAnsi="宋体" w:cs="宋体"/>
                <w:color w:val="auto"/>
                <w:szCs w:val="21"/>
              </w:rPr>
            </w:pPr>
            <w:r>
              <w:rPr>
                <w:rFonts w:hint="eastAsia" w:ascii="宋体" w:hAnsi="宋体" w:cs="宋体"/>
                <w:color w:val="auto"/>
                <w:szCs w:val="21"/>
              </w:rPr>
              <w:t>⑥加强职工管理，进行必要的安全消防教育，并做好个人防护，加强职工培训，提高应急处理能力。</w:t>
            </w:r>
          </w:p>
          <w:p w14:paraId="5D44172F">
            <w:pPr>
              <w:spacing w:line="360" w:lineRule="auto"/>
              <w:ind w:firstLine="420" w:firstLineChars="200"/>
              <w:rPr>
                <w:color w:val="auto"/>
                <w:szCs w:val="21"/>
              </w:rPr>
            </w:pPr>
            <w:r>
              <w:rPr>
                <w:rFonts w:hint="eastAsia" w:ascii="宋体" w:hAnsi="宋体"/>
                <w:color w:val="auto"/>
                <w:szCs w:val="21"/>
              </w:rPr>
              <w:t>⑦</w:t>
            </w:r>
            <w:r>
              <w:rPr>
                <w:rFonts w:hint="eastAsia"/>
                <w:color w:val="auto"/>
                <w:szCs w:val="21"/>
              </w:rPr>
              <w:t>厂区雨水排放管网末端设置截止阀</w:t>
            </w:r>
            <w:r>
              <w:rPr>
                <w:rFonts w:hint="eastAsia"/>
                <w:color w:val="auto"/>
                <w:szCs w:val="21"/>
                <w:lang w:eastAsia="zh-CN"/>
              </w:rPr>
              <w:t>，在</w:t>
            </w:r>
            <w:r>
              <w:rPr>
                <w:rFonts w:hint="eastAsia"/>
                <w:color w:val="auto"/>
                <w:szCs w:val="21"/>
              </w:rPr>
              <w:t>事故状态下，立即关闭截止阀，确保事故状态下各类废水不外排；加强环保设施日常检修和管理，若生产过程中出现事故性排放或废气处理设施故障，应停车检修。</w:t>
            </w:r>
          </w:p>
          <w:p w14:paraId="0F4D098E">
            <w:pPr>
              <w:spacing w:line="360" w:lineRule="auto"/>
              <w:ind w:firstLine="422" w:firstLineChars="200"/>
              <w:rPr>
                <w:rFonts w:ascii="宋体" w:hAnsi="宋体" w:cs="宋体"/>
                <w:b/>
                <w:bCs/>
                <w:color w:val="auto"/>
                <w:szCs w:val="21"/>
              </w:rPr>
            </w:pPr>
            <w:r>
              <w:rPr>
                <w:rFonts w:hint="eastAsia"/>
                <w:b/>
                <w:bCs/>
                <w:color w:val="auto"/>
                <w:szCs w:val="21"/>
              </w:rPr>
              <w:t>（7）建立环境风险</w:t>
            </w:r>
            <w:r>
              <w:rPr>
                <w:b/>
                <w:bCs/>
                <w:color w:val="auto"/>
                <w:szCs w:val="21"/>
              </w:rPr>
              <w:t>应急预案</w:t>
            </w:r>
          </w:p>
          <w:p w14:paraId="22086CBF">
            <w:pPr>
              <w:spacing w:line="360" w:lineRule="auto"/>
              <w:ind w:firstLine="420" w:firstLineChars="200"/>
              <w:rPr>
                <w:color w:val="auto"/>
                <w:szCs w:val="21"/>
              </w:rPr>
            </w:pPr>
            <w:r>
              <w:rPr>
                <w:color w:val="auto"/>
                <w:szCs w:val="21"/>
              </w:rPr>
              <w:t>应急预案是在贯彻预防为主原则的前提下，为能对建设项目可能出现的事故，控制危害源，抢救受害人员，指导居民防护和组织撤离，消除危害后果而组织的救援活动的预想方案。根据国家相关规定，为进一步减轻项目环境风险，环评建议：建设单位应根据其</w:t>
            </w:r>
            <w:r>
              <w:rPr>
                <w:rFonts w:hint="eastAsia"/>
                <w:color w:val="auto"/>
                <w:szCs w:val="21"/>
              </w:rPr>
              <w:t>开展</w:t>
            </w:r>
            <w:r>
              <w:rPr>
                <w:color w:val="auto"/>
                <w:szCs w:val="21"/>
              </w:rPr>
              <w:t>的检测实验，结合其可能存在的各种潜在环境风险，建立企业环境风险应急预案，并配备相应的必要措施。</w:t>
            </w:r>
            <w:r>
              <w:rPr>
                <w:rFonts w:hint="eastAsia"/>
                <w:color w:val="auto"/>
                <w:szCs w:val="21"/>
              </w:rPr>
              <w:t>制定</w:t>
            </w:r>
            <w:r>
              <w:rPr>
                <w:color w:val="auto"/>
                <w:szCs w:val="21"/>
              </w:rPr>
              <w:t>应急预案的原则如下：</w:t>
            </w:r>
          </w:p>
          <w:p w14:paraId="0CBDA0E4">
            <w:pPr>
              <w:spacing w:line="360" w:lineRule="auto"/>
              <w:ind w:firstLine="420" w:firstLineChars="200"/>
              <w:rPr>
                <w:color w:val="auto"/>
                <w:szCs w:val="21"/>
              </w:rPr>
            </w:pPr>
            <w:r>
              <w:rPr>
                <w:color w:val="auto"/>
                <w:szCs w:val="21"/>
              </w:rPr>
              <w:t>1）确定救援组织、队伍和联络方式；</w:t>
            </w:r>
          </w:p>
          <w:p w14:paraId="3AC47A57">
            <w:pPr>
              <w:spacing w:line="360" w:lineRule="auto"/>
              <w:ind w:firstLine="420" w:firstLineChars="200"/>
              <w:rPr>
                <w:color w:val="auto"/>
                <w:szCs w:val="21"/>
              </w:rPr>
            </w:pPr>
            <w:r>
              <w:rPr>
                <w:color w:val="auto"/>
                <w:szCs w:val="21"/>
              </w:rPr>
              <w:t>2）制定事故类型、等级和相应的应急响应程序；</w:t>
            </w:r>
          </w:p>
          <w:p w14:paraId="47F27EBD">
            <w:pPr>
              <w:spacing w:line="360" w:lineRule="auto"/>
              <w:ind w:firstLine="420" w:firstLineChars="200"/>
              <w:rPr>
                <w:color w:val="auto"/>
                <w:szCs w:val="21"/>
              </w:rPr>
            </w:pPr>
            <w:r>
              <w:rPr>
                <w:color w:val="auto"/>
                <w:szCs w:val="21"/>
              </w:rPr>
              <w:t>3）配备必要的救灾防毒器具及防护用品；</w:t>
            </w:r>
          </w:p>
          <w:p w14:paraId="27CAC57B">
            <w:pPr>
              <w:spacing w:line="360" w:lineRule="auto"/>
              <w:ind w:firstLine="420" w:firstLineChars="200"/>
              <w:rPr>
                <w:color w:val="auto"/>
                <w:szCs w:val="21"/>
              </w:rPr>
            </w:pPr>
            <w:r>
              <w:rPr>
                <w:color w:val="auto"/>
                <w:szCs w:val="21"/>
              </w:rPr>
              <w:t>4）对生产系统制定应急状态切断终止或自动报警</w:t>
            </w:r>
            <w:r>
              <w:rPr>
                <w:rFonts w:hint="eastAsia"/>
                <w:color w:val="auto"/>
                <w:szCs w:val="21"/>
                <w:lang w:eastAsia="zh-CN"/>
              </w:rPr>
              <w:t>联锁</w:t>
            </w:r>
            <w:r>
              <w:rPr>
                <w:color w:val="auto"/>
                <w:szCs w:val="21"/>
              </w:rPr>
              <w:t>保护程序；</w:t>
            </w:r>
          </w:p>
          <w:p w14:paraId="3217585B">
            <w:pPr>
              <w:spacing w:line="360" w:lineRule="auto"/>
              <w:ind w:firstLine="420" w:firstLineChars="200"/>
              <w:rPr>
                <w:color w:val="auto"/>
                <w:szCs w:val="21"/>
              </w:rPr>
            </w:pPr>
            <w:r>
              <w:rPr>
                <w:color w:val="auto"/>
                <w:szCs w:val="21"/>
              </w:rPr>
              <w:t>5）岗位培训和演习，设置事故</w:t>
            </w:r>
            <w:r>
              <w:rPr>
                <w:rFonts w:hint="eastAsia"/>
                <w:color w:val="auto"/>
                <w:szCs w:val="21"/>
              </w:rPr>
              <w:t>应急演习</w:t>
            </w:r>
            <w:r>
              <w:rPr>
                <w:color w:val="auto"/>
                <w:szCs w:val="21"/>
              </w:rPr>
              <w:t>手册及报告、记录和评估；</w:t>
            </w:r>
          </w:p>
          <w:p w14:paraId="6F58FBF8">
            <w:pPr>
              <w:spacing w:line="360" w:lineRule="auto"/>
              <w:ind w:firstLine="420" w:firstLineChars="200"/>
              <w:rPr>
                <w:color w:val="auto"/>
                <w:szCs w:val="21"/>
              </w:rPr>
            </w:pPr>
            <w:r>
              <w:rPr>
                <w:color w:val="auto"/>
                <w:szCs w:val="21"/>
              </w:rPr>
              <w:t>6）制定区域防灾救援方案，项目区域外受影响人群的疏散、撤离方案，与当地政府、消防、环保和医疗救助等部门加强联系，以便风险事故发生时得到及时救援。</w:t>
            </w:r>
          </w:p>
          <w:p w14:paraId="7C8FCAD1">
            <w:pPr>
              <w:spacing w:line="360" w:lineRule="auto"/>
              <w:ind w:firstLine="422" w:firstLineChars="200"/>
              <w:rPr>
                <w:b/>
                <w:bCs/>
                <w:color w:val="auto"/>
                <w:szCs w:val="21"/>
              </w:rPr>
            </w:pPr>
            <w:r>
              <w:rPr>
                <w:b/>
                <w:bCs/>
                <w:color w:val="auto"/>
                <w:szCs w:val="21"/>
              </w:rPr>
              <w:t>（8）环境风险分析结论</w:t>
            </w:r>
          </w:p>
          <w:p w14:paraId="219BE3D1">
            <w:pPr>
              <w:spacing w:line="360" w:lineRule="auto"/>
              <w:ind w:firstLine="420" w:firstLineChars="200"/>
              <w:rPr>
                <w:color w:val="auto"/>
                <w:szCs w:val="21"/>
              </w:rPr>
            </w:pPr>
            <w:r>
              <w:rPr>
                <w:rFonts w:hint="eastAsia"/>
                <w:color w:val="auto"/>
                <w:szCs w:val="21"/>
              </w:rPr>
              <w:t>综上所述，项目运营过</w:t>
            </w:r>
            <w:r>
              <w:rPr>
                <w:rFonts w:hint="eastAsia"/>
                <w:color w:val="auto"/>
                <w:szCs w:val="21"/>
                <w:lang w:eastAsia="zh-CN"/>
              </w:rPr>
              <w:t>程中</w:t>
            </w:r>
            <w:r>
              <w:rPr>
                <w:rFonts w:hint="eastAsia"/>
                <w:color w:val="auto"/>
                <w:szCs w:val="21"/>
              </w:rPr>
              <w:t>存在着一定的环境风险，但只要加强管理，建立健全相应的风险防范管理、应急措施，并在设计、实施、管理及运行中认真落实安全措施和相关安全生产管理规定、消防规定和相关环保规定，制定相应的事故应急预案，一旦发生事故，将环境污染降至最低程度。</w:t>
            </w:r>
          </w:p>
          <w:p w14:paraId="03470068">
            <w:pPr>
              <w:spacing w:line="360" w:lineRule="auto"/>
              <w:ind w:firstLine="420" w:firstLineChars="200"/>
              <w:rPr>
                <w:color w:val="auto"/>
                <w:szCs w:val="21"/>
              </w:rPr>
            </w:pPr>
            <w:r>
              <w:rPr>
                <w:rFonts w:hint="eastAsia"/>
                <w:color w:val="auto"/>
                <w:szCs w:val="21"/>
              </w:rPr>
              <w:t>本项目风险评价结论：项目存在一定风险隐患，但风险较小，处于环境可接受的水平，项目的风险防范措施可行。</w:t>
            </w:r>
          </w:p>
          <w:p w14:paraId="43C0235D">
            <w:pPr>
              <w:spacing w:line="360" w:lineRule="auto"/>
              <w:ind w:firstLine="420" w:firstLineChars="200"/>
              <w:rPr>
                <w:color w:val="auto"/>
                <w:szCs w:val="21"/>
              </w:rPr>
            </w:pPr>
            <w:r>
              <w:rPr>
                <w:color w:val="auto"/>
                <w:szCs w:val="21"/>
              </w:rPr>
              <w:t>本项目环境风险简单分析内容见表4-2</w:t>
            </w:r>
            <w:r>
              <w:rPr>
                <w:rFonts w:hint="eastAsia"/>
                <w:color w:val="auto"/>
                <w:szCs w:val="21"/>
                <w:lang w:val="en-US" w:eastAsia="zh-CN"/>
              </w:rPr>
              <w:t>4</w:t>
            </w:r>
            <w:r>
              <w:rPr>
                <w:color w:val="auto"/>
                <w:szCs w:val="21"/>
              </w:rPr>
              <w:t>。</w:t>
            </w:r>
          </w:p>
          <w:p w14:paraId="3B6D3518">
            <w:pPr>
              <w:autoSpaceDE w:val="0"/>
              <w:autoSpaceDN w:val="0"/>
              <w:adjustRightInd w:val="0"/>
              <w:snapToGrid w:val="0"/>
              <w:jc w:val="center"/>
              <w:rPr>
                <w:b/>
                <w:bCs/>
                <w:color w:val="auto"/>
                <w:kern w:val="0"/>
                <w:szCs w:val="21"/>
              </w:rPr>
            </w:pPr>
            <w:r>
              <w:rPr>
                <w:b/>
                <w:bCs/>
                <w:color w:val="auto"/>
                <w:kern w:val="0"/>
                <w:szCs w:val="21"/>
              </w:rPr>
              <w:t>表4-2</w:t>
            </w:r>
            <w:r>
              <w:rPr>
                <w:rFonts w:hint="eastAsia"/>
                <w:b/>
                <w:bCs/>
                <w:color w:val="auto"/>
                <w:kern w:val="0"/>
                <w:szCs w:val="21"/>
                <w:lang w:val="en-US" w:eastAsia="zh-CN"/>
              </w:rPr>
              <w:t>4</w:t>
            </w:r>
            <w:r>
              <w:rPr>
                <w:b/>
                <w:bCs/>
                <w:color w:val="auto"/>
                <w:kern w:val="0"/>
                <w:szCs w:val="21"/>
              </w:rPr>
              <w:t>建设项目环境风险简单分析内容表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1210"/>
              <w:gridCol w:w="1529"/>
              <w:gridCol w:w="1775"/>
              <w:gridCol w:w="1759"/>
            </w:tblGrid>
            <w:tr w14:paraId="323AD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89" w:type="dxa"/>
                  <w:vAlign w:val="center"/>
                </w:tcPr>
                <w:p w14:paraId="72607C72">
                  <w:pPr>
                    <w:widowControl/>
                    <w:jc w:val="center"/>
                    <w:textAlignment w:val="center"/>
                    <w:rPr>
                      <w:color w:val="auto"/>
                      <w:szCs w:val="21"/>
                    </w:rPr>
                  </w:pPr>
                  <w:r>
                    <w:rPr>
                      <w:color w:val="auto"/>
                      <w:kern w:val="0"/>
                      <w:szCs w:val="21"/>
                      <w:lang w:bidi="ar"/>
                    </w:rPr>
                    <w:t>建设项目名称</w:t>
                  </w:r>
                </w:p>
              </w:tc>
              <w:tc>
                <w:tcPr>
                  <w:tcW w:w="6273" w:type="dxa"/>
                  <w:gridSpan w:val="4"/>
                  <w:vAlign w:val="center"/>
                </w:tcPr>
                <w:p w14:paraId="29A80BCA">
                  <w:pPr>
                    <w:widowControl/>
                    <w:jc w:val="center"/>
                    <w:textAlignment w:val="center"/>
                    <w:rPr>
                      <w:color w:val="auto"/>
                      <w:szCs w:val="21"/>
                    </w:rPr>
                  </w:pPr>
                  <w:r>
                    <w:rPr>
                      <w:rFonts w:hint="eastAsia"/>
                      <w:color w:val="auto"/>
                      <w:szCs w:val="21"/>
                    </w:rPr>
                    <w:t>新疆晟地沃丰生物科技有限公司年产3500吨环保安全型复配农药加工项目</w:t>
                  </w:r>
                </w:p>
              </w:tc>
            </w:tr>
            <w:tr w14:paraId="1350B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89" w:type="dxa"/>
                  <w:vAlign w:val="center"/>
                </w:tcPr>
                <w:p w14:paraId="5FC9C2E5">
                  <w:pPr>
                    <w:widowControl/>
                    <w:jc w:val="center"/>
                    <w:textAlignment w:val="center"/>
                    <w:rPr>
                      <w:rFonts w:hint="eastAsia"/>
                      <w:color w:val="auto"/>
                      <w:kern w:val="0"/>
                      <w:szCs w:val="21"/>
                      <w:lang w:bidi="ar"/>
                    </w:rPr>
                  </w:pPr>
                  <w:r>
                    <w:rPr>
                      <w:rFonts w:hint="eastAsia"/>
                      <w:color w:val="auto"/>
                      <w:kern w:val="0"/>
                      <w:szCs w:val="21"/>
                      <w:lang w:bidi="ar"/>
                    </w:rPr>
                    <w:t>建设地点</w:t>
                  </w:r>
                </w:p>
              </w:tc>
              <w:tc>
                <w:tcPr>
                  <w:tcW w:w="1210" w:type="dxa"/>
                  <w:vAlign w:val="center"/>
                </w:tcPr>
                <w:p w14:paraId="3F9FAF98">
                  <w:pPr>
                    <w:widowControl/>
                    <w:jc w:val="center"/>
                    <w:textAlignment w:val="center"/>
                    <w:rPr>
                      <w:rFonts w:hint="eastAsia"/>
                      <w:color w:val="auto"/>
                      <w:kern w:val="0"/>
                      <w:szCs w:val="21"/>
                      <w:lang w:bidi="ar"/>
                    </w:rPr>
                  </w:pPr>
                  <w:r>
                    <w:rPr>
                      <w:rFonts w:hint="eastAsia"/>
                      <w:color w:val="auto"/>
                      <w:kern w:val="0"/>
                      <w:szCs w:val="21"/>
                      <w:lang w:val="en-US" w:eastAsia="zh-CN" w:bidi="ar"/>
                    </w:rPr>
                    <w:t>新疆生产建设兵团</w:t>
                  </w:r>
                </w:p>
              </w:tc>
              <w:tc>
                <w:tcPr>
                  <w:tcW w:w="1529" w:type="dxa"/>
                  <w:vAlign w:val="center"/>
                </w:tcPr>
                <w:p w14:paraId="0121CC8C">
                  <w:pPr>
                    <w:widowControl/>
                    <w:jc w:val="center"/>
                    <w:textAlignment w:val="center"/>
                    <w:rPr>
                      <w:rFonts w:hint="eastAsia"/>
                      <w:color w:val="auto"/>
                      <w:kern w:val="0"/>
                      <w:szCs w:val="21"/>
                      <w:lang w:bidi="ar"/>
                    </w:rPr>
                  </w:pPr>
                  <w:r>
                    <w:rPr>
                      <w:rFonts w:hint="eastAsia"/>
                      <w:color w:val="auto"/>
                      <w:kern w:val="0"/>
                      <w:szCs w:val="21"/>
                      <w:lang w:bidi="ar"/>
                    </w:rPr>
                    <w:t>第七师</w:t>
                  </w:r>
                </w:p>
              </w:tc>
              <w:tc>
                <w:tcPr>
                  <w:tcW w:w="1775" w:type="dxa"/>
                  <w:vAlign w:val="center"/>
                </w:tcPr>
                <w:p w14:paraId="379B3E37">
                  <w:pPr>
                    <w:widowControl/>
                    <w:jc w:val="center"/>
                    <w:textAlignment w:val="center"/>
                    <w:rPr>
                      <w:rFonts w:hint="eastAsia"/>
                      <w:color w:val="auto"/>
                      <w:kern w:val="0"/>
                      <w:szCs w:val="21"/>
                      <w:lang w:bidi="ar"/>
                    </w:rPr>
                  </w:pPr>
                  <w:r>
                    <w:rPr>
                      <w:rFonts w:hint="eastAsia"/>
                      <w:color w:val="auto"/>
                      <w:kern w:val="0"/>
                      <w:szCs w:val="21"/>
                      <w:lang w:bidi="ar"/>
                    </w:rPr>
                    <w:t>胡杨河经济技术开发区</w:t>
                  </w:r>
                </w:p>
              </w:tc>
              <w:tc>
                <w:tcPr>
                  <w:tcW w:w="1759" w:type="dxa"/>
                  <w:vAlign w:val="center"/>
                </w:tcPr>
                <w:p w14:paraId="6CF1F34A">
                  <w:pPr>
                    <w:widowControl/>
                    <w:jc w:val="center"/>
                    <w:textAlignment w:val="center"/>
                    <w:rPr>
                      <w:rFonts w:hint="eastAsia"/>
                      <w:color w:val="auto"/>
                      <w:kern w:val="0"/>
                      <w:szCs w:val="21"/>
                      <w:lang w:bidi="ar"/>
                    </w:rPr>
                  </w:pPr>
                  <w:r>
                    <w:rPr>
                      <w:rFonts w:hint="eastAsia"/>
                      <w:color w:val="auto"/>
                      <w:kern w:val="0"/>
                      <w:szCs w:val="21"/>
                      <w:lang w:bidi="ar"/>
                    </w:rPr>
                    <w:t>西环路以东、高泉西路以北</w:t>
                  </w:r>
                </w:p>
              </w:tc>
            </w:tr>
            <w:tr w14:paraId="4F070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89" w:type="dxa"/>
                  <w:vAlign w:val="center"/>
                </w:tcPr>
                <w:p w14:paraId="44304D62">
                  <w:pPr>
                    <w:widowControl/>
                    <w:jc w:val="center"/>
                    <w:textAlignment w:val="center"/>
                    <w:rPr>
                      <w:rFonts w:hint="eastAsia"/>
                      <w:color w:val="auto"/>
                      <w:kern w:val="0"/>
                      <w:szCs w:val="21"/>
                      <w:lang w:bidi="ar"/>
                    </w:rPr>
                  </w:pPr>
                  <w:r>
                    <w:rPr>
                      <w:rFonts w:hint="eastAsia"/>
                      <w:color w:val="auto"/>
                      <w:kern w:val="0"/>
                      <w:szCs w:val="21"/>
                      <w:lang w:bidi="ar"/>
                    </w:rPr>
                    <w:t>地理坐标</w:t>
                  </w:r>
                </w:p>
              </w:tc>
              <w:tc>
                <w:tcPr>
                  <w:tcW w:w="1210" w:type="dxa"/>
                  <w:vAlign w:val="center"/>
                </w:tcPr>
                <w:p w14:paraId="5071BC74">
                  <w:pPr>
                    <w:widowControl/>
                    <w:jc w:val="center"/>
                    <w:textAlignment w:val="center"/>
                    <w:rPr>
                      <w:rFonts w:hint="eastAsia"/>
                      <w:color w:val="auto"/>
                      <w:kern w:val="0"/>
                      <w:szCs w:val="21"/>
                      <w:lang w:bidi="ar"/>
                    </w:rPr>
                  </w:pPr>
                  <w:r>
                    <w:rPr>
                      <w:rFonts w:hint="eastAsia"/>
                      <w:color w:val="auto"/>
                      <w:kern w:val="0"/>
                      <w:szCs w:val="21"/>
                      <w:lang w:bidi="ar"/>
                    </w:rPr>
                    <w:t>经度</w:t>
                  </w:r>
                </w:p>
              </w:tc>
              <w:tc>
                <w:tcPr>
                  <w:tcW w:w="1529" w:type="dxa"/>
                  <w:vAlign w:val="center"/>
                </w:tcPr>
                <w:p w14:paraId="1341C13C">
                  <w:pPr>
                    <w:widowControl/>
                    <w:jc w:val="center"/>
                    <w:textAlignment w:val="center"/>
                    <w:rPr>
                      <w:rFonts w:hint="eastAsia"/>
                      <w:color w:val="auto"/>
                      <w:kern w:val="0"/>
                      <w:szCs w:val="21"/>
                      <w:lang w:bidi="ar"/>
                    </w:rPr>
                  </w:pPr>
                  <w:r>
                    <w:rPr>
                      <w:rFonts w:hint="eastAsia"/>
                      <w:color w:val="auto"/>
                      <w:kern w:val="0"/>
                      <w:szCs w:val="21"/>
                      <w:lang w:bidi="ar"/>
                    </w:rPr>
                    <w:t>东经84度</w:t>
                  </w:r>
                  <w:r>
                    <w:rPr>
                      <w:rFonts w:hint="eastAsia"/>
                      <w:color w:val="auto"/>
                      <w:kern w:val="0"/>
                      <w:szCs w:val="21"/>
                      <w:lang w:val="en-US" w:eastAsia="zh-CN" w:bidi="ar"/>
                    </w:rPr>
                    <w:t>51</w:t>
                  </w:r>
                  <w:r>
                    <w:rPr>
                      <w:rFonts w:hint="eastAsia"/>
                      <w:color w:val="auto"/>
                      <w:kern w:val="0"/>
                      <w:szCs w:val="21"/>
                      <w:lang w:bidi="ar"/>
                    </w:rPr>
                    <w:t>分29.307秒</w:t>
                  </w:r>
                </w:p>
              </w:tc>
              <w:tc>
                <w:tcPr>
                  <w:tcW w:w="1775" w:type="dxa"/>
                  <w:vAlign w:val="center"/>
                </w:tcPr>
                <w:p w14:paraId="49519FC2">
                  <w:pPr>
                    <w:widowControl/>
                    <w:jc w:val="center"/>
                    <w:textAlignment w:val="center"/>
                    <w:rPr>
                      <w:rFonts w:hint="eastAsia"/>
                      <w:color w:val="auto"/>
                      <w:kern w:val="0"/>
                      <w:szCs w:val="21"/>
                      <w:lang w:bidi="ar"/>
                    </w:rPr>
                  </w:pPr>
                  <w:r>
                    <w:rPr>
                      <w:rFonts w:hint="eastAsia"/>
                      <w:color w:val="auto"/>
                      <w:kern w:val="0"/>
                      <w:szCs w:val="21"/>
                      <w:lang w:bidi="ar"/>
                    </w:rPr>
                    <w:t>纬度</w:t>
                  </w:r>
                </w:p>
              </w:tc>
              <w:tc>
                <w:tcPr>
                  <w:tcW w:w="1759" w:type="dxa"/>
                  <w:vAlign w:val="center"/>
                </w:tcPr>
                <w:p w14:paraId="5568D244">
                  <w:pPr>
                    <w:widowControl/>
                    <w:jc w:val="center"/>
                    <w:textAlignment w:val="center"/>
                    <w:rPr>
                      <w:rFonts w:hint="eastAsia"/>
                      <w:color w:val="auto"/>
                      <w:kern w:val="0"/>
                      <w:szCs w:val="21"/>
                      <w:lang w:bidi="ar"/>
                    </w:rPr>
                  </w:pPr>
                  <w:r>
                    <w:rPr>
                      <w:rFonts w:hint="eastAsia"/>
                      <w:color w:val="auto"/>
                      <w:kern w:val="0"/>
                      <w:szCs w:val="21"/>
                      <w:lang w:bidi="ar"/>
                    </w:rPr>
                    <w:t>北纬44度</w:t>
                  </w:r>
                  <w:r>
                    <w:rPr>
                      <w:rFonts w:hint="eastAsia"/>
                      <w:color w:val="auto"/>
                      <w:kern w:val="0"/>
                      <w:szCs w:val="21"/>
                      <w:lang w:val="en-US" w:eastAsia="zh-CN" w:bidi="ar"/>
                    </w:rPr>
                    <w:t>50</w:t>
                  </w:r>
                  <w:r>
                    <w:rPr>
                      <w:rFonts w:hint="eastAsia"/>
                      <w:color w:val="auto"/>
                      <w:kern w:val="0"/>
                      <w:szCs w:val="21"/>
                      <w:lang w:bidi="ar"/>
                    </w:rPr>
                    <w:t>分11.680秒</w:t>
                  </w:r>
                </w:p>
              </w:tc>
            </w:tr>
            <w:tr w14:paraId="066FD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89" w:type="dxa"/>
                  <w:vAlign w:val="center"/>
                </w:tcPr>
                <w:p w14:paraId="6E33B2C4">
                  <w:pPr>
                    <w:widowControl/>
                    <w:jc w:val="center"/>
                    <w:textAlignment w:val="center"/>
                    <w:rPr>
                      <w:color w:val="auto"/>
                      <w:szCs w:val="21"/>
                    </w:rPr>
                  </w:pPr>
                  <w:r>
                    <w:rPr>
                      <w:color w:val="auto"/>
                      <w:kern w:val="0"/>
                      <w:szCs w:val="21"/>
                      <w:lang w:bidi="ar"/>
                    </w:rPr>
                    <w:t>主要危险物质及分布</w:t>
                  </w:r>
                </w:p>
              </w:tc>
              <w:tc>
                <w:tcPr>
                  <w:tcW w:w="6273" w:type="dxa"/>
                  <w:gridSpan w:val="4"/>
                  <w:vAlign w:val="center"/>
                </w:tcPr>
                <w:p w14:paraId="2F46383D">
                  <w:pPr>
                    <w:widowControl/>
                    <w:jc w:val="left"/>
                    <w:textAlignment w:val="center"/>
                    <w:rPr>
                      <w:color w:val="auto"/>
                      <w:kern w:val="0"/>
                      <w:szCs w:val="21"/>
                      <w:lang w:bidi="ar"/>
                    </w:rPr>
                  </w:pPr>
                  <w:r>
                    <w:rPr>
                      <w:color w:val="auto"/>
                      <w:kern w:val="0"/>
                      <w:szCs w:val="21"/>
                      <w:lang w:bidi="ar"/>
                    </w:rPr>
                    <w:t>主要危险物质：</w:t>
                  </w:r>
                  <w:r>
                    <w:rPr>
                      <w:rStyle w:val="40"/>
                      <w:rFonts w:hint="eastAsia"/>
                      <w:color w:val="auto"/>
                      <w:sz w:val="21"/>
                      <w:szCs w:val="21"/>
                    </w:rPr>
                    <w:t>废机油</w:t>
                  </w:r>
                </w:p>
                <w:p w14:paraId="28DB3C87">
                  <w:pPr>
                    <w:widowControl/>
                    <w:jc w:val="left"/>
                    <w:textAlignment w:val="center"/>
                    <w:rPr>
                      <w:color w:val="auto"/>
                      <w:szCs w:val="21"/>
                    </w:rPr>
                  </w:pPr>
                  <w:r>
                    <w:rPr>
                      <w:color w:val="auto"/>
                      <w:kern w:val="0"/>
                      <w:szCs w:val="21"/>
                      <w:lang w:bidi="ar"/>
                    </w:rPr>
                    <w:t>分布位置：主要在</w:t>
                  </w:r>
                  <w:r>
                    <w:rPr>
                      <w:rFonts w:hint="eastAsia"/>
                      <w:color w:val="auto"/>
                      <w:kern w:val="0"/>
                      <w:szCs w:val="21"/>
                      <w:lang w:bidi="ar"/>
                    </w:rPr>
                    <w:t>库房</w:t>
                  </w:r>
                  <w:r>
                    <w:rPr>
                      <w:rFonts w:hint="eastAsia"/>
                      <w:color w:val="auto"/>
                      <w:kern w:val="0"/>
                      <w:szCs w:val="21"/>
                      <w:lang w:eastAsia="zh-CN" w:bidi="ar"/>
                    </w:rPr>
                    <w:t>、</w:t>
                  </w:r>
                  <w:r>
                    <w:rPr>
                      <w:color w:val="auto"/>
                      <w:sz w:val="21"/>
                      <w:szCs w:val="21"/>
                    </w:rPr>
                    <w:t>危废贮存</w:t>
                  </w:r>
                  <w:r>
                    <w:rPr>
                      <w:rFonts w:hint="eastAsia"/>
                      <w:color w:val="auto"/>
                      <w:sz w:val="21"/>
                      <w:szCs w:val="21"/>
                      <w:lang w:val="en-US" w:eastAsia="zh-CN"/>
                    </w:rPr>
                    <w:t>库</w:t>
                  </w:r>
                  <w:r>
                    <w:rPr>
                      <w:rFonts w:hint="eastAsia"/>
                      <w:color w:val="auto"/>
                      <w:kern w:val="0"/>
                      <w:szCs w:val="21"/>
                      <w:lang w:bidi="ar"/>
                    </w:rPr>
                    <w:t>等</w:t>
                  </w:r>
                </w:p>
              </w:tc>
            </w:tr>
            <w:tr w14:paraId="1028F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1989" w:type="dxa"/>
                  <w:vAlign w:val="center"/>
                </w:tcPr>
                <w:p w14:paraId="64DDC366">
                  <w:pPr>
                    <w:widowControl/>
                    <w:jc w:val="center"/>
                    <w:textAlignment w:val="center"/>
                    <w:rPr>
                      <w:color w:val="auto"/>
                      <w:szCs w:val="21"/>
                    </w:rPr>
                  </w:pPr>
                  <w:r>
                    <w:rPr>
                      <w:color w:val="auto"/>
                      <w:kern w:val="0"/>
                      <w:szCs w:val="21"/>
                      <w:lang w:bidi="ar"/>
                    </w:rPr>
                    <w:t>环境影响途径及危害后果（大气、地表水、地下水等）</w:t>
                  </w:r>
                </w:p>
              </w:tc>
              <w:tc>
                <w:tcPr>
                  <w:tcW w:w="6273" w:type="dxa"/>
                  <w:gridSpan w:val="4"/>
                  <w:vAlign w:val="center"/>
                </w:tcPr>
                <w:p w14:paraId="729A2E40">
                  <w:pPr>
                    <w:widowControl/>
                    <w:textAlignment w:val="center"/>
                    <w:rPr>
                      <w:color w:val="auto"/>
                      <w:kern w:val="0"/>
                      <w:szCs w:val="21"/>
                      <w:highlight w:val="none"/>
                      <w:lang w:bidi="ar"/>
                    </w:rPr>
                  </w:pPr>
                  <w:r>
                    <w:rPr>
                      <w:color w:val="auto"/>
                      <w:kern w:val="0"/>
                      <w:szCs w:val="21"/>
                      <w:highlight w:val="none"/>
                      <w:lang w:bidi="ar"/>
                    </w:rPr>
                    <w:t>大气环境：</w:t>
                  </w:r>
                  <w:r>
                    <w:rPr>
                      <w:rFonts w:hint="eastAsia"/>
                      <w:color w:val="auto"/>
                      <w:kern w:val="0"/>
                      <w:szCs w:val="21"/>
                      <w:highlight w:val="none"/>
                      <w:lang w:bidi="ar"/>
                    </w:rPr>
                    <w:t>生产过程中废气处理设备发生故障，各类废气超标排放。发生火灾产生的次生/伴生污染物将对空气造成污染。</w:t>
                  </w:r>
                </w:p>
                <w:p w14:paraId="054BD94C">
                  <w:pPr>
                    <w:widowControl/>
                    <w:textAlignment w:val="center"/>
                    <w:rPr>
                      <w:color w:val="auto"/>
                      <w:szCs w:val="21"/>
                    </w:rPr>
                  </w:pPr>
                  <w:r>
                    <w:rPr>
                      <w:color w:val="auto"/>
                      <w:kern w:val="0"/>
                      <w:szCs w:val="21"/>
                      <w:highlight w:val="none"/>
                      <w:lang w:bidi="ar"/>
                    </w:rPr>
                    <w:t>地表水</w:t>
                  </w:r>
                  <w:r>
                    <w:rPr>
                      <w:rFonts w:hint="eastAsia"/>
                      <w:color w:val="auto"/>
                      <w:kern w:val="0"/>
                      <w:szCs w:val="21"/>
                      <w:highlight w:val="none"/>
                      <w:lang w:bidi="ar"/>
                    </w:rPr>
                    <w:t>、地下水、土壤</w:t>
                  </w:r>
                  <w:r>
                    <w:rPr>
                      <w:color w:val="auto"/>
                      <w:kern w:val="0"/>
                      <w:szCs w:val="21"/>
                      <w:highlight w:val="none"/>
                      <w:lang w:bidi="ar"/>
                    </w:rPr>
                    <w:t>环境：</w:t>
                  </w:r>
                  <w:r>
                    <w:rPr>
                      <w:rFonts w:hint="eastAsia"/>
                      <w:color w:val="auto"/>
                      <w:szCs w:val="21"/>
                      <w:highlight w:val="none"/>
                      <w:lang w:eastAsia="zh-CN"/>
                    </w:rPr>
                    <w:t>危废贮存库</w:t>
                  </w:r>
                  <w:r>
                    <w:rPr>
                      <w:rFonts w:hint="eastAsia"/>
                      <w:color w:val="auto"/>
                      <w:szCs w:val="21"/>
                      <w:highlight w:val="none"/>
                    </w:rPr>
                    <w:t>发生泄漏，将会对其造成污染。</w:t>
                  </w:r>
                </w:p>
              </w:tc>
            </w:tr>
            <w:tr w14:paraId="11474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989" w:type="dxa"/>
                  <w:vAlign w:val="center"/>
                </w:tcPr>
                <w:p w14:paraId="371333C3">
                  <w:pPr>
                    <w:widowControl/>
                    <w:jc w:val="center"/>
                    <w:textAlignment w:val="center"/>
                    <w:rPr>
                      <w:color w:val="auto"/>
                      <w:szCs w:val="21"/>
                    </w:rPr>
                  </w:pPr>
                  <w:r>
                    <w:rPr>
                      <w:color w:val="auto"/>
                      <w:kern w:val="0"/>
                      <w:szCs w:val="21"/>
                      <w:lang w:bidi="ar"/>
                    </w:rPr>
                    <w:t>风险防范措施要求</w:t>
                  </w:r>
                </w:p>
              </w:tc>
              <w:tc>
                <w:tcPr>
                  <w:tcW w:w="6273" w:type="dxa"/>
                  <w:gridSpan w:val="4"/>
                  <w:vAlign w:val="center"/>
                </w:tcPr>
                <w:p w14:paraId="6F2D901F">
                  <w:pPr>
                    <w:widowControl/>
                    <w:textAlignment w:val="center"/>
                    <w:rPr>
                      <w:color w:val="auto"/>
                      <w:kern w:val="0"/>
                      <w:szCs w:val="21"/>
                      <w:lang w:bidi="ar"/>
                    </w:rPr>
                  </w:pPr>
                  <w:r>
                    <w:rPr>
                      <w:rFonts w:hint="eastAsia" w:ascii="宋体" w:hAnsi="宋体" w:cs="宋体"/>
                      <w:color w:val="auto"/>
                      <w:kern w:val="0"/>
                      <w:szCs w:val="21"/>
                      <w:lang w:bidi="ar"/>
                    </w:rPr>
                    <w:t>①厂区分区进行防渗</w:t>
                  </w:r>
                  <w:r>
                    <w:rPr>
                      <w:rFonts w:hint="eastAsia" w:ascii="宋体" w:hAnsi="宋体" w:cs="宋体"/>
                      <w:color w:val="auto"/>
                      <w:kern w:val="0"/>
                      <w:szCs w:val="21"/>
                      <w:lang w:eastAsia="zh-CN" w:bidi="ar"/>
                    </w:rPr>
                    <w:t>，对</w:t>
                  </w:r>
                  <w:r>
                    <w:rPr>
                      <w:rFonts w:hint="eastAsia"/>
                      <w:color w:val="auto"/>
                      <w:kern w:val="0"/>
                      <w:szCs w:val="21"/>
                      <w:lang w:eastAsia="zh-CN" w:bidi="ar"/>
                    </w:rPr>
                    <w:t>危废贮存库</w:t>
                  </w:r>
                  <w:r>
                    <w:rPr>
                      <w:rFonts w:hint="eastAsia"/>
                      <w:color w:val="auto"/>
                      <w:kern w:val="0"/>
                      <w:szCs w:val="21"/>
                      <w:lang w:bidi="ar"/>
                    </w:rPr>
                    <w:t>进行重点防渗</w:t>
                  </w:r>
                </w:p>
                <w:p w14:paraId="1C75E9EF">
                  <w:pPr>
                    <w:widowControl/>
                    <w:textAlignment w:val="center"/>
                    <w:rPr>
                      <w:color w:val="auto"/>
                      <w:kern w:val="0"/>
                      <w:szCs w:val="21"/>
                      <w:lang w:bidi="ar"/>
                    </w:rPr>
                  </w:pPr>
                  <w:r>
                    <w:rPr>
                      <w:rFonts w:hint="eastAsia" w:ascii="宋体" w:hAnsi="宋体" w:cs="宋体"/>
                      <w:color w:val="auto"/>
                      <w:kern w:val="0"/>
                      <w:szCs w:val="21"/>
                      <w:lang w:bidi="ar"/>
                    </w:rPr>
                    <w:t>②</w:t>
                  </w:r>
                  <w:r>
                    <w:rPr>
                      <w:rFonts w:hint="eastAsia"/>
                      <w:color w:val="auto"/>
                      <w:kern w:val="0"/>
                      <w:szCs w:val="21"/>
                      <w:lang w:bidi="ar"/>
                    </w:rPr>
                    <w:t>建立安全管理制度</w:t>
                  </w:r>
                  <w:r>
                    <w:rPr>
                      <w:color w:val="auto"/>
                      <w:kern w:val="0"/>
                      <w:szCs w:val="21"/>
                      <w:lang w:bidi="ar"/>
                    </w:rPr>
                    <w:t>，</w:t>
                  </w:r>
                  <w:r>
                    <w:rPr>
                      <w:rFonts w:hint="eastAsia"/>
                      <w:color w:val="auto"/>
                      <w:kern w:val="0"/>
                      <w:szCs w:val="21"/>
                      <w:lang w:bidi="ar"/>
                    </w:rPr>
                    <w:t>各类原辅料和危险废物按要求分类存放并设置警示标识</w:t>
                  </w:r>
                  <w:r>
                    <w:rPr>
                      <w:color w:val="auto"/>
                      <w:kern w:val="0"/>
                      <w:szCs w:val="21"/>
                      <w:lang w:bidi="ar"/>
                    </w:rPr>
                    <w:t>，配备相应数量灭火器，开展员工安全培训；加强污染防治设施管理和维护；</w:t>
                  </w:r>
                </w:p>
                <w:p w14:paraId="5E264F96">
                  <w:pPr>
                    <w:widowControl/>
                    <w:textAlignment w:val="center"/>
                    <w:rPr>
                      <w:color w:val="auto"/>
                      <w:kern w:val="0"/>
                      <w:szCs w:val="21"/>
                      <w:lang w:bidi="ar"/>
                    </w:rPr>
                  </w:pPr>
                  <w:r>
                    <w:rPr>
                      <w:rFonts w:hint="eastAsia" w:ascii="宋体" w:hAnsi="宋体" w:cs="宋体"/>
                      <w:color w:val="auto"/>
                      <w:kern w:val="0"/>
                      <w:szCs w:val="21"/>
                      <w:lang w:bidi="ar"/>
                    </w:rPr>
                    <w:t>③生产设备、废气、废水处置设施发生故障时，立即关闭设备，停止生产。</w:t>
                  </w:r>
                </w:p>
                <w:p w14:paraId="182B3AE3">
                  <w:pPr>
                    <w:widowControl/>
                    <w:textAlignment w:val="center"/>
                    <w:rPr>
                      <w:color w:val="auto"/>
                      <w:szCs w:val="21"/>
                    </w:rPr>
                  </w:pPr>
                  <w:r>
                    <w:rPr>
                      <w:rFonts w:hint="eastAsia"/>
                      <w:color w:val="auto"/>
                      <w:kern w:val="0"/>
                      <w:szCs w:val="21"/>
                      <w:lang w:bidi="ar"/>
                    </w:rPr>
                    <w:t>④</w:t>
                  </w:r>
                  <w:r>
                    <w:rPr>
                      <w:color w:val="auto"/>
                      <w:kern w:val="0"/>
                      <w:szCs w:val="21"/>
                      <w:lang w:bidi="ar"/>
                    </w:rPr>
                    <w:t>严格执行环评及相关法律法规要求，制定环境风险应急预案</w:t>
                  </w:r>
                  <w:r>
                    <w:rPr>
                      <w:rFonts w:hint="eastAsia"/>
                      <w:color w:val="auto"/>
                      <w:kern w:val="0"/>
                      <w:szCs w:val="21"/>
                      <w:lang w:bidi="ar"/>
                    </w:rPr>
                    <w:t>、定期组织演练</w:t>
                  </w:r>
                  <w:r>
                    <w:rPr>
                      <w:color w:val="auto"/>
                      <w:kern w:val="0"/>
                      <w:szCs w:val="21"/>
                      <w:lang w:bidi="ar"/>
                    </w:rPr>
                    <w:t>。</w:t>
                  </w:r>
                </w:p>
              </w:tc>
            </w:tr>
            <w:tr w14:paraId="16ED7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262" w:type="dxa"/>
                  <w:gridSpan w:val="5"/>
                  <w:vAlign w:val="center"/>
                </w:tcPr>
                <w:p w14:paraId="06D8D787">
                  <w:pPr>
                    <w:widowControl/>
                    <w:jc w:val="left"/>
                    <w:textAlignment w:val="center"/>
                    <w:rPr>
                      <w:color w:val="auto"/>
                      <w:kern w:val="0"/>
                      <w:szCs w:val="21"/>
                      <w:lang w:bidi="ar"/>
                    </w:rPr>
                  </w:pPr>
                  <w:r>
                    <w:rPr>
                      <w:color w:val="auto"/>
                      <w:kern w:val="0"/>
                      <w:szCs w:val="21"/>
                      <w:lang w:bidi="ar"/>
                    </w:rPr>
                    <w:t>填表说明（列出项目相关信息与评价说明）：</w:t>
                  </w:r>
                </w:p>
                <w:p w14:paraId="7D8DDAB3">
                  <w:pPr>
                    <w:widowControl/>
                    <w:jc w:val="left"/>
                    <w:textAlignment w:val="center"/>
                    <w:rPr>
                      <w:color w:val="auto"/>
                      <w:szCs w:val="21"/>
                    </w:rPr>
                  </w:pPr>
                  <w:r>
                    <w:rPr>
                      <w:color w:val="auto"/>
                      <w:kern w:val="0"/>
                      <w:szCs w:val="21"/>
                      <w:lang w:bidi="ar"/>
                    </w:rPr>
                    <w:t>本项目主要危险物质为</w:t>
                  </w:r>
                  <w:r>
                    <w:rPr>
                      <w:rFonts w:hint="eastAsia"/>
                      <w:color w:val="auto"/>
                      <w:kern w:val="0"/>
                      <w:szCs w:val="21"/>
                      <w:lang w:bidi="ar"/>
                    </w:rPr>
                    <w:t>废油</w:t>
                  </w:r>
                  <w:r>
                    <w:rPr>
                      <w:color w:val="auto"/>
                      <w:kern w:val="0"/>
                      <w:szCs w:val="21"/>
                      <w:lang w:bidi="ar"/>
                    </w:rPr>
                    <w:t>，</w:t>
                  </w:r>
                  <w:r>
                    <w:rPr>
                      <w:rFonts w:hint="eastAsia"/>
                      <w:color w:val="auto"/>
                      <w:kern w:val="0"/>
                      <w:szCs w:val="21"/>
                      <w:lang w:bidi="ar"/>
                    </w:rPr>
                    <w:t>主要在</w:t>
                  </w:r>
                  <w:r>
                    <w:rPr>
                      <w:rFonts w:hint="eastAsia"/>
                      <w:color w:val="auto"/>
                      <w:kern w:val="0"/>
                      <w:szCs w:val="21"/>
                      <w:lang w:eastAsia="zh-CN" w:bidi="ar"/>
                    </w:rPr>
                    <w:t>危废贮存库</w:t>
                  </w:r>
                  <w:r>
                    <w:rPr>
                      <w:color w:val="auto"/>
                      <w:kern w:val="0"/>
                      <w:szCs w:val="21"/>
                      <w:lang w:bidi="ar"/>
                    </w:rPr>
                    <w:t>，项目环境风险潜势为I，评价等级为简单分析，在落实环评提出的风险防范措施后，环境风险可控。</w:t>
                  </w:r>
                </w:p>
              </w:tc>
            </w:tr>
          </w:tbl>
          <w:p w14:paraId="3F5032E8">
            <w:pPr>
              <w:pStyle w:val="18"/>
              <w:rPr>
                <w:color w:val="auto"/>
              </w:rPr>
            </w:pPr>
            <w:r>
              <w:rPr>
                <w:color w:val="auto"/>
              </w:rPr>
              <w:t>综上所述，本项目环境风险潜势为I，评价等级为简单分析，项目</w:t>
            </w:r>
            <w:r>
              <w:rPr>
                <w:rFonts w:hint="eastAsia"/>
                <w:color w:val="auto"/>
              </w:rPr>
              <w:t>运营</w:t>
            </w:r>
            <w:r>
              <w:rPr>
                <w:color w:val="auto"/>
              </w:rPr>
              <w:t>过程中存在着泄漏、火灾和爆炸风险等风险</w:t>
            </w:r>
            <w:r>
              <w:rPr>
                <w:rFonts w:hint="eastAsia"/>
                <w:color w:val="auto"/>
                <w:lang w:eastAsia="zh-CN"/>
              </w:rPr>
              <w:t>，在</w:t>
            </w:r>
            <w:r>
              <w:rPr>
                <w:color w:val="auto"/>
              </w:rPr>
              <w:t>运营期加强管理，建立健全相应的防范应急措施，在设计、施工、管理及运行中认真落实工程拟采取的安全措施、评价所提出相关对策并进一步完善企业风险应急预案，同时在经过安监、消防等相关主管部门同意后再营运，则上述</w:t>
            </w:r>
            <w:r>
              <w:rPr>
                <w:rFonts w:hint="eastAsia"/>
                <w:color w:val="auto"/>
              </w:rPr>
              <w:t>风险</w:t>
            </w:r>
            <w:r>
              <w:rPr>
                <w:color w:val="auto"/>
              </w:rPr>
              <w:t>隐患可降至最低，其环境风险可接受。</w:t>
            </w:r>
          </w:p>
          <w:p w14:paraId="7D975B7C">
            <w:pPr>
              <w:pStyle w:val="18"/>
              <w:ind w:firstLine="422"/>
              <w:rPr>
                <w:b/>
                <w:bCs/>
                <w:color w:val="auto"/>
              </w:rPr>
            </w:pPr>
            <w:r>
              <w:rPr>
                <w:rFonts w:hint="eastAsia"/>
                <w:b/>
                <w:bCs/>
                <w:color w:val="auto"/>
              </w:rPr>
              <w:t>7、物料运输车辆废气、噪声对沿途敏感点的影响</w:t>
            </w:r>
          </w:p>
          <w:p w14:paraId="1C1CC5B7">
            <w:pPr>
              <w:pStyle w:val="18"/>
              <w:rPr>
                <w:color w:val="auto"/>
              </w:rPr>
            </w:pPr>
            <w:r>
              <w:rPr>
                <w:rFonts w:hint="eastAsia"/>
                <w:color w:val="auto"/>
              </w:rPr>
              <w:t>本项目物料采用汽车运输方式，汽车运输时产生的扬尘和噪声对道路两侧敏感点会产生一定范围</w:t>
            </w:r>
            <w:r>
              <w:rPr>
                <w:rFonts w:hint="eastAsia"/>
                <w:color w:val="auto"/>
                <w:lang w:eastAsia="zh-CN"/>
              </w:rPr>
              <w:t>内</w:t>
            </w:r>
            <w:r>
              <w:rPr>
                <w:rFonts w:hint="eastAsia"/>
                <w:color w:val="auto"/>
              </w:rPr>
              <w:t>造成影响。扬尘量的大小与车流量、道路状况、气候条件、汽车行驶速度等均有关系。因此，要做好运输途中的扬尘和噪声对敏感点的防护措施。</w:t>
            </w:r>
          </w:p>
          <w:p w14:paraId="306BD90C">
            <w:pPr>
              <w:pStyle w:val="18"/>
              <w:rPr>
                <w:color w:val="auto"/>
              </w:rPr>
            </w:pPr>
            <w:r>
              <w:rPr>
                <w:rFonts w:hint="eastAsia"/>
                <w:color w:val="auto"/>
              </w:rPr>
              <w:t>为了减少物料运输给沿途敏感点、农作物带来的不利影响，应采取如下措施：</w:t>
            </w:r>
          </w:p>
          <w:p w14:paraId="2E7F9D0A">
            <w:pPr>
              <w:pStyle w:val="18"/>
              <w:rPr>
                <w:color w:val="auto"/>
              </w:rPr>
            </w:pPr>
            <w:r>
              <w:rPr>
                <w:rFonts w:hint="eastAsia"/>
                <w:color w:val="auto"/>
              </w:rPr>
              <w:t>（1）及时对场区内及沿途道路敏感点较多的地面进行定时洒水降尘；</w:t>
            </w:r>
          </w:p>
          <w:p w14:paraId="176F00C2">
            <w:pPr>
              <w:pStyle w:val="18"/>
              <w:rPr>
                <w:color w:val="auto"/>
              </w:rPr>
            </w:pPr>
            <w:r>
              <w:rPr>
                <w:rFonts w:hint="eastAsia"/>
                <w:color w:val="auto"/>
              </w:rPr>
              <w:t>（2）运输车辆要严密遮盖，以减少物料的散落；</w:t>
            </w:r>
          </w:p>
          <w:p w14:paraId="2A82B568">
            <w:pPr>
              <w:pStyle w:val="18"/>
              <w:rPr>
                <w:color w:val="auto"/>
              </w:rPr>
            </w:pPr>
            <w:r>
              <w:rPr>
                <w:rFonts w:hint="eastAsia"/>
                <w:color w:val="auto"/>
              </w:rPr>
              <w:t>（3）对原料进行洒水，保证原料的表面湿润，以减少原料中细小颗粒的扬起；</w:t>
            </w:r>
          </w:p>
          <w:p w14:paraId="61958813">
            <w:pPr>
              <w:pStyle w:val="18"/>
              <w:rPr>
                <w:color w:val="auto"/>
              </w:rPr>
            </w:pPr>
            <w:r>
              <w:rPr>
                <w:rFonts w:hint="eastAsia"/>
                <w:color w:val="auto"/>
              </w:rPr>
              <w:t>（4）物料运输单位应采用合格的车辆，运输途经敏感点应降低车速，禁止鸣笛，减少噪声对沿途居民的影响；</w:t>
            </w:r>
          </w:p>
          <w:p w14:paraId="101188CF">
            <w:pPr>
              <w:pStyle w:val="18"/>
              <w:rPr>
                <w:color w:val="auto"/>
              </w:rPr>
            </w:pPr>
            <w:r>
              <w:rPr>
                <w:rFonts w:hint="eastAsia"/>
                <w:color w:val="auto"/>
              </w:rPr>
              <w:t>（5）合理选择运输车辆的行驶路线，尽量绕开沿途居民点；</w:t>
            </w:r>
          </w:p>
          <w:p w14:paraId="2EB74DCA">
            <w:pPr>
              <w:pStyle w:val="18"/>
              <w:rPr>
                <w:color w:val="auto"/>
              </w:rPr>
            </w:pPr>
            <w:r>
              <w:rPr>
                <w:rFonts w:hint="eastAsia"/>
                <w:color w:val="auto"/>
              </w:rPr>
              <w:t>（6）合理安排运输时间，尽量避开在夜间（22:00至次日凌晨6：00），午休（12:00至14:30）进行运输，尽量避开经过居民密集的路段，以防发生噪声扰民现象。</w:t>
            </w:r>
          </w:p>
          <w:p w14:paraId="52ACE83F">
            <w:pPr>
              <w:pStyle w:val="18"/>
              <w:rPr>
                <w:color w:val="auto"/>
              </w:rPr>
            </w:pPr>
            <w:r>
              <w:rPr>
                <w:rFonts w:hint="eastAsia"/>
                <w:color w:val="auto"/>
              </w:rPr>
              <w:t>经采取抑尘措施后，运输扬尘量少，噪声小，对沿途居民及周边环境影响较小。</w:t>
            </w:r>
          </w:p>
          <w:p w14:paraId="084FBA3B">
            <w:pPr>
              <w:pStyle w:val="18"/>
              <w:ind w:firstLine="422"/>
              <w:rPr>
                <w:b/>
                <w:bCs/>
                <w:color w:val="auto"/>
              </w:rPr>
            </w:pPr>
            <w:r>
              <w:rPr>
                <w:b/>
                <w:bCs/>
                <w:color w:val="auto"/>
              </w:rPr>
              <w:t>8、环保投资</w:t>
            </w:r>
          </w:p>
          <w:p w14:paraId="2577621D">
            <w:pPr>
              <w:pStyle w:val="18"/>
              <w:rPr>
                <w:snapToGrid w:val="0"/>
                <w:color w:val="auto"/>
              </w:rPr>
            </w:pPr>
            <w:r>
              <w:rPr>
                <w:snapToGrid w:val="0"/>
                <w:color w:val="auto"/>
              </w:rPr>
              <w:t>本项目总投资</w:t>
            </w:r>
            <w:r>
              <w:rPr>
                <w:rFonts w:hint="eastAsia"/>
                <w:snapToGrid w:val="0"/>
                <w:color w:val="auto"/>
                <w:lang w:val="en-US" w:eastAsia="zh-CN"/>
              </w:rPr>
              <w:t>35644.17</w:t>
            </w:r>
            <w:r>
              <w:rPr>
                <w:snapToGrid w:val="0"/>
                <w:color w:val="auto"/>
              </w:rPr>
              <w:t>万元，其中环保投资约115万元，占总投资的</w:t>
            </w:r>
            <w:r>
              <w:rPr>
                <w:rFonts w:hint="eastAsia"/>
                <w:snapToGrid w:val="0"/>
                <w:color w:val="auto"/>
                <w:lang w:val="en-US" w:eastAsia="zh-CN"/>
              </w:rPr>
              <w:t>0.32</w:t>
            </w:r>
            <w:r>
              <w:rPr>
                <w:snapToGrid w:val="0"/>
                <w:color w:val="auto"/>
              </w:rPr>
              <w:t>%，环保设施（措施）及投资估算一览表见下表。</w:t>
            </w:r>
          </w:p>
          <w:p w14:paraId="074A054D">
            <w:pPr>
              <w:autoSpaceDE w:val="0"/>
              <w:autoSpaceDN w:val="0"/>
              <w:adjustRightInd w:val="0"/>
              <w:snapToGrid w:val="0"/>
              <w:jc w:val="center"/>
              <w:rPr>
                <w:b/>
                <w:bCs/>
                <w:color w:val="auto"/>
                <w:kern w:val="0"/>
                <w:szCs w:val="21"/>
              </w:rPr>
            </w:pPr>
            <w:r>
              <w:rPr>
                <w:b/>
                <w:bCs/>
                <w:color w:val="auto"/>
                <w:kern w:val="0"/>
                <w:szCs w:val="21"/>
              </w:rPr>
              <w:t>表4-2</w:t>
            </w:r>
            <w:r>
              <w:rPr>
                <w:rFonts w:hint="eastAsia"/>
                <w:b/>
                <w:bCs/>
                <w:color w:val="auto"/>
                <w:kern w:val="0"/>
                <w:szCs w:val="21"/>
                <w:lang w:val="en-US" w:eastAsia="zh-CN"/>
              </w:rPr>
              <w:t xml:space="preserve">5 </w:t>
            </w:r>
            <w:r>
              <w:rPr>
                <w:b/>
                <w:bCs/>
                <w:color w:val="auto"/>
                <w:kern w:val="0"/>
                <w:szCs w:val="21"/>
              </w:rPr>
              <w:t>环保投资一览表</w:t>
            </w:r>
          </w:p>
          <w:tbl>
            <w:tblPr>
              <w:tblStyle w:val="19"/>
              <w:tblW w:w="802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40"/>
              <w:gridCol w:w="889"/>
              <w:gridCol w:w="5605"/>
              <w:gridCol w:w="1093"/>
            </w:tblGrid>
            <w:tr w14:paraId="79DD0F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1329" w:type="dxa"/>
                  <w:gridSpan w:val="2"/>
                  <w:vAlign w:val="center"/>
                </w:tcPr>
                <w:p w14:paraId="03DBFB9D">
                  <w:pPr>
                    <w:widowControl/>
                    <w:jc w:val="center"/>
                    <w:textAlignment w:val="top"/>
                    <w:rPr>
                      <w:b/>
                      <w:bCs/>
                      <w:color w:val="auto"/>
                      <w:szCs w:val="21"/>
                    </w:rPr>
                  </w:pPr>
                  <w:r>
                    <w:rPr>
                      <w:b/>
                      <w:bCs/>
                      <w:color w:val="auto"/>
                      <w:kern w:val="0"/>
                      <w:szCs w:val="21"/>
                      <w:lang w:bidi="ar"/>
                    </w:rPr>
                    <w:t>项目</w:t>
                  </w:r>
                </w:p>
              </w:tc>
              <w:tc>
                <w:tcPr>
                  <w:tcW w:w="5605" w:type="dxa"/>
                  <w:vAlign w:val="center"/>
                </w:tcPr>
                <w:p w14:paraId="4BA5F034">
                  <w:pPr>
                    <w:widowControl/>
                    <w:jc w:val="center"/>
                    <w:textAlignment w:val="top"/>
                    <w:rPr>
                      <w:b/>
                      <w:bCs/>
                      <w:color w:val="auto"/>
                      <w:szCs w:val="21"/>
                    </w:rPr>
                  </w:pPr>
                  <w:r>
                    <w:rPr>
                      <w:b/>
                      <w:bCs/>
                      <w:color w:val="auto"/>
                      <w:kern w:val="0"/>
                      <w:szCs w:val="21"/>
                      <w:lang w:bidi="ar"/>
                    </w:rPr>
                    <w:t>内容</w:t>
                  </w:r>
                </w:p>
              </w:tc>
              <w:tc>
                <w:tcPr>
                  <w:tcW w:w="1093" w:type="dxa"/>
                  <w:vAlign w:val="center"/>
                </w:tcPr>
                <w:p w14:paraId="3268AFC4">
                  <w:pPr>
                    <w:widowControl/>
                    <w:jc w:val="center"/>
                    <w:textAlignment w:val="top"/>
                    <w:rPr>
                      <w:b/>
                      <w:bCs/>
                      <w:color w:val="auto"/>
                      <w:szCs w:val="21"/>
                    </w:rPr>
                  </w:pPr>
                  <w:r>
                    <w:rPr>
                      <w:b/>
                      <w:bCs/>
                      <w:color w:val="auto"/>
                      <w:kern w:val="0"/>
                      <w:szCs w:val="21"/>
                      <w:lang w:bidi="ar"/>
                    </w:rPr>
                    <w:t>投资（万元）</w:t>
                  </w:r>
                </w:p>
              </w:tc>
            </w:tr>
            <w:tr w14:paraId="4182BA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440" w:type="dxa"/>
                  <w:vMerge w:val="restart"/>
                  <w:vAlign w:val="center"/>
                </w:tcPr>
                <w:p w14:paraId="49F19F07">
                  <w:pPr>
                    <w:widowControl/>
                    <w:jc w:val="center"/>
                    <w:textAlignment w:val="center"/>
                    <w:rPr>
                      <w:color w:val="auto"/>
                      <w:kern w:val="0"/>
                      <w:szCs w:val="21"/>
                      <w:lang w:bidi="ar"/>
                    </w:rPr>
                  </w:pPr>
                  <w:r>
                    <w:rPr>
                      <w:color w:val="auto"/>
                      <w:kern w:val="0"/>
                      <w:szCs w:val="21"/>
                      <w:lang w:bidi="ar"/>
                    </w:rPr>
                    <w:t>施工期</w:t>
                  </w:r>
                </w:p>
              </w:tc>
              <w:tc>
                <w:tcPr>
                  <w:tcW w:w="889" w:type="dxa"/>
                  <w:vAlign w:val="center"/>
                </w:tcPr>
                <w:p w14:paraId="16688A06">
                  <w:pPr>
                    <w:widowControl/>
                    <w:jc w:val="center"/>
                    <w:textAlignment w:val="center"/>
                    <w:rPr>
                      <w:color w:val="auto"/>
                      <w:kern w:val="0"/>
                      <w:szCs w:val="21"/>
                      <w:lang w:bidi="ar"/>
                    </w:rPr>
                  </w:pPr>
                  <w:r>
                    <w:rPr>
                      <w:color w:val="auto"/>
                      <w:kern w:val="0"/>
                      <w:szCs w:val="21"/>
                      <w:lang w:bidi="ar"/>
                    </w:rPr>
                    <w:t>废水</w:t>
                  </w:r>
                </w:p>
              </w:tc>
              <w:tc>
                <w:tcPr>
                  <w:tcW w:w="5605" w:type="dxa"/>
                  <w:vAlign w:val="center"/>
                </w:tcPr>
                <w:p w14:paraId="1351BCC5">
                  <w:pPr>
                    <w:widowControl/>
                    <w:jc w:val="left"/>
                    <w:textAlignment w:val="top"/>
                    <w:rPr>
                      <w:color w:val="auto"/>
                      <w:kern w:val="0"/>
                      <w:szCs w:val="21"/>
                      <w:lang w:bidi="ar"/>
                    </w:rPr>
                  </w:pPr>
                  <w:r>
                    <w:rPr>
                      <w:color w:val="auto"/>
                      <w:kern w:val="0"/>
                      <w:szCs w:val="21"/>
                      <w:lang w:bidi="ar"/>
                    </w:rPr>
                    <w:t>施工人员产生的生活污水</w:t>
                  </w:r>
                  <w:r>
                    <w:rPr>
                      <w:rFonts w:hint="eastAsia"/>
                      <w:color w:val="auto"/>
                      <w:kern w:val="0"/>
                      <w:szCs w:val="21"/>
                      <w:lang w:bidi="ar"/>
                    </w:rPr>
                    <w:t>依托区域居民设施</w:t>
                  </w:r>
                  <w:r>
                    <w:rPr>
                      <w:color w:val="auto"/>
                      <w:kern w:val="0"/>
                      <w:szCs w:val="21"/>
                      <w:lang w:bidi="ar"/>
                    </w:rPr>
                    <w:t>；</w:t>
                  </w:r>
                </w:p>
              </w:tc>
              <w:tc>
                <w:tcPr>
                  <w:tcW w:w="1093" w:type="dxa"/>
                  <w:vAlign w:val="center"/>
                </w:tcPr>
                <w:p w14:paraId="44777B67">
                  <w:pPr>
                    <w:widowControl/>
                    <w:jc w:val="center"/>
                    <w:textAlignment w:val="top"/>
                    <w:rPr>
                      <w:color w:val="auto"/>
                      <w:kern w:val="0"/>
                      <w:szCs w:val="21"/>
                      <w:lang w:bidi="ar"/>
                    </w:rPr>
                  </w:pPr>
                  <w:r>
                    <w:rPr>
                      <w:color w:val="auto"/>
                      <w:kern w:val="0"/>
                      <w:szCs w:val="21"/>
                      <w:lang w:bidi="ar"/>
                    </w:rPr>
                    <w:t>10</w:t>
                  </w:r>
                </w:p>
              </w:tc>
            </w:tr>
            <w:tr w14:paraId="4104AD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440" w:type="dxa"/>
                  <w:vMerge w:val="continue"/>
                  <w:vAlign w:val="center"/>
                </w:tcPr>
                <w:p w14:paraId="1AFB8EF5">
                  <w:pPr>
                    <w:widowControl/>
                    <w:jc w:val="center"/>
                    <w:textAlignment w:val="center"/>
                    <w:rPr>
                      <w:color w:val="auto"/>
                      <w:kern w:val="0"/>
                      <w:szCs w:val="21"/>
                      <w:lang w:bidi="ar"/>
                    </w:rPr>
                  </w:pPr>
                </w:p>
              </w:tc>
              <w:tc>
                <w:tcPr>
                  <w:tcW w:w="889" w:type="dxa"/>
                  <w:vAlign w:val="center"/>
                </w:tcPr>
                <w:p w14:paraId="747B0E05">
                  <w:pPr>
                    <w:widowControl/>
                    <w:jc w:val="center"/>
                    <w:textAlignment w:val="center"/>
                    <w:rPr>
                      <w:color w:val="auto"/>
                      <w:kern w:val="0"/>
                      <w:szCs w:val="21"/>
                      <w:lang w:bidi="ar"/>
                    </w:rPr>
                  </w:pPr>
                  <w:r>
                    <w:rPr>
                      <w:color w:val="auto"/>
                      <w:kern w:val="0"/>
                      <w:szCs w:val="21"/>
                      <w:lang w:bidi="ar"/>
                    </w:rPr>
                    <w:t>废气</w:t>
                  </w:r>
                </w:p>
              </w:tc>
              <w:tc>
                <w:tcPr>
                  <w:tcW w:w="5605" w:type="dxa"/>
                  <w:vAlign w:val="center"/>
                </w:tcPr>
                <w:p w14:paraId="7D467DCF">
                  <w:pPr>
                    <w:widowControl/>
                    <w:jc w:val="left"/>
                    <w:textAlignment w:val="top"/>
                    <w:rPr>
                      <w:color w:val="auto"/>
                      <w:kern w:val="0"/>
                      <w:szCs w:val="21"/>
                      <w:lang w:bidi="ar"/>
                    </w:rPr>
                  </w:pPr>
                  <w:r>
                    <w:rPr>
                      <w:rFonts w:hint="eastAsia"/>
                      <w:color w:val="auto"/>
                      <w:kern w:val="0"/>
                      <w:szCs w:val="21"/>
                      <w:lang w:bidi="ar"/>
                    </w:rPr>
                    <w:t>对场内的废包装材料等垃圾要及时清运，严禁随意抛撒垃圾等行为</w:t>
                  </w:r>
                  <w:r>
                    <w:rPr>
                      <w:color w:val="auto"/>
                      <w:kern w:val="0"/>
                      <w:szCs w:val="21"/>
                      <w:lang w:bidi="ar"/>
                    </w:rPr>
                    <w:t>，</w:t>
                  </w:r>
                </w:p>
              </w:tc>
              <w:tc>
                <w:tcPr>
                  <w:tcW w:w="1093" w:type="dxa"/>
                  <w:vAlign w:val="center"/>
                </w:tcPr>
                <w:p w14:paraId="73B7CC0D">
                  <w:pPr>
                    <w:widowControl/>
                    <w:jc w:val="center"/>
                    <w:textAlignment w:val="top"/>
                    <w:rPr>
                      <w:color w:val="auto"/>
                      <w:kern w:val="0"/>
                      <w:szCs w:val="21"/>
                      <w:lang w:bidi="ar"/>
                    </w:rPr>
                  </w:pPr>
                  <w:r>
                    <w:rPr>
                      <w:color w:val="auto"/>
                      <w:kern w:val="0"/>
                      <w:szCs w:val="21"/>
                      <w:lang w:bidi="ar"/>
                    </w:rPr>
                    <w:t>5</w:t>
                  </w:r>
                </w:p>
              </w:tc>
            </w:tr>
            <w:tr w14:paraId="6BF6B42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440" w:type="dxa"/>
                  <w:vMerge w:val="continue"/>
                  <w:vAlign w:val="center"/>
                </w:tcPr>
                <w:p w14:paraId="024E90AC">
                  <w:pPr>
                    <w:widowControl/>
                    <w:jc w:val="center"/>
                    <w:textAlignment w:val="center"/>
                    <w:rPr>
                      <w:color w:val="auto"/>
                      <w:kern w:val="0"/>
                      <w:szCs w:val="21"/>
                      <w:lang w:bidi="ar"/>
                    </w:rPr>
                  </w:pPr>
                </w:p>
              </w:tc>
              <w:tc>
                <w:tcPr>
                  <w:tcW w:w="889" w:type="dxa"/>
                  <w:vAlign w:val="center"/>
                </w:tcPr>
                <w:p w14:paraId="60B6670E">
                  <w:pPr>
                    <w:widowControl/>
                    <w:jc w:val="center"/>
                    <w:textAlignment w:val="center"/>
                    <w:rPr>
                      <w:color w:val="auto"/>
                      <w:kern w:val="0"/>
                      <w:szCs w:val="21"/>
                      <w:lang w:bidi="ar"/>
                    </w:rPr>
                  </w:pPr>
                  <w:r>
                    <w:rPr>
                      <w:color w:val="auto"/>
                      <w:kern w:val="0"/>
                      <w:szCs w:val="21"/>
                      <w:lang w:bidi="ar"/>
                    </w:rPr>
                    <w:t>固废</w:t>
                  </w:r>
                </w:p>
              </w:tc>
              <w:tc>
                <w:tcPr>
                  <w:tcW w:w="5605" w:type="dxa"/>
                  <w:vAlign w:val="center"/>
                </w:tcPr>
                <w:p w14:paraId="33ABB891">
                  <w:pPr>
                    <w:widowControl/>
                    <w:jc w:val="left"/>
                    <w:textAlignment w:val="top"/>
                    <w:rPr>
                      <w:color w:val="auto"/>
                      <w:kern w:val="0"/>
                      <w:szCs w:val="21"/>
                      <w:lang w:bidi="ar"/>
                    </w:rPr>
                  </w:pPr>
                  <w:r>
                    <w:rPr>
                      <w:color w:val="auto"/>
                      <w:kern w:val="0"/>
                      <w:szCs w:val="21"/>
                      <w:lang w:bidi="ar"/>
                    </w:rPr>
                    <w:t>生活垃圾交由环卫部门清运处置，建筑垃圾由建筑单位清运处置，土石方场地平衡。</w:t>
                  </w:r>
                </w:p>
              </w:tc>
              <w:tc>
                <w:tcPr>
                  <w:tcW w:w="1093" w:type="dxa"/>
                  <w:vAlign w:val="center"/>
                </w:tcPr>
                <w:p w14:paraId="3971DA9A">
                  <w:pPr>
                    <w:widowControl/>
                    <w:jc w:val="center"/>
                    <w:textAlignment w:val="top"/>
                    <w:rPr>
                      <w:color w:val="auto"/>
                      <w:kern w:val="0"/>
                      <w:szCs w:val="21"/>
                      <w:lang w:bidi="ar"/>
                    </w:rPr>
                  </w:pPr>
                  <w:r>
                    <w:rPr>
                      <w:color w:val="auto"/>
                      <w:kern w:val="0"/>
                      <w:szCs w:val="21"/>
                      <w:lang w:bidi="ar"/>
                    </w:rPr>
                    <w:t>10</w:t>
                  </w:r>
                </w:p>
              </w:tc>
            </w:tr>
            <w:tr w14:paraId="00C01E6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440" w:type="dxa"/>
                  <w:vMerge w:val="continue"/>
                  <w:vAlign w:val="center"/>
                </w:tcPr>
                <w:p w14:paraId="656A9F82">
                  <w:pPr>
                    <w:widowControl/>
                    <w:jc w:val="center"/>
                    <w:textAlignment w:val="center"/>
                    <w:rPr>
                      <w:color w:val="auto"/>
                      <w:kern w:val="0"/>
                      <w:szCs w:val="21"/>
                      <w:lang w:bidi="ar"/>
                    </w:rPr>
                  </w:pPr>
                </w:p>
              </w:tc>
              <w:tc>
                <w:tcPr>
                  <w:tcW w:w="889" w:type="dxa"/>
                  <w:vAlign w:val="center"/>
                </w:tcPr>
                <w:p w14:paraId="6C487D2D">
                  <w:pPr>
                    <w:widowControl/>
                    <w:jc w:val="center"/>
                    <w:textAlignment w:val="center"/>
                    <w:rPr>
                      <w:color w:val="auto"/>
                      <w:kern w:val="0"/>
                      <w:szCs w:val="21"/>
                      <w:lang w:bidi="ar"/>
                    </w:rPr>
                  </w:pPr>
                  <w:r>
                    <w:rPr>
                      <w:color w:val="auto"/>
                      <w:kern w:val="0"/>
                      <w:szCs w:val="21"/>
                      <w:lang w:bidi="ar"/>
                    </w:rPr>
                    <w:t>噪声</w:t>
                  </w:r>
                </w:p>
              </w:tc>
              <w:tc>
                <w:tcPr>
                  <w:tcW w:w="5605" w:type="dxa"/>
                  <w:vAlign w:val="center"/>
                </w:tcPr>
                <w:p w14:paraId="53E1B384">
                  <w:pPr>
                    <w:widowControl/>
                    <w:jc w:val="left"/>
                    <w:textAlignment w:val="top"/>
                    <w:rPr>
                      <w:color w:val="auto"/>
                      <w:kern w:val="0"/>
                      <w:szCs w:val="21"/>
                      <w:lang w:bidi="ar"/>
                    </w:rPr>
                  </w:pPr>
                  <w:r>
                    <w:rPr>
                      <w:color w:val="auto"/>
                      <w:kern w:val="0"/>
                      <w:szCs w:val="21"/>
                      <w:lang w:bidi="ar"/>
                    </w:rPr>
                    <w:t>选择低噪声设备和先进施工技术等形式减少对周围影响。</w:t>
                  </w:r>
                </w:p>
              </w:tc>
              <w:tc>
                <w:tcPr>
                  <w:tcW w:w="1093" w:type="dxa"/>
                  <w:vAlign w:val="center"/>
                </w:tcPr>
                <w:p w14:paraId="5DFEF6F4">
                  <w:pPr>
                    <w:widowControl/>
                    <w:jc w:val="center"/>
                    <w:textAlignment w:val="top"/>
                    <w:rPr>
                      <w:color w:val="auto"/>
                      <w:kern w:val="0"/>
                      <w:szCs w:val="21"/>
                      <w:lang w:bidi="ar"/>
                    </w:rPr>
                  </w:pPr>
                  <w:r>
                    <w:rPr>
                      <w:color w:val="auto"/>
                      <w:kern w:val="0"/>
                      <w:szCs w:val="21"/>
                      <w:lang w:bidi="ar"/>
                    </w:rPr>
                    <w:t>10</w:t>
                  </w:r>
                </w:p>
              </w:tc>
            </w:tr>
            <w:tr w14:paraId="4540F2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440" w:type="dxa"/>
                  <w:vMerge w:val="continue"/>
                  <w:vAlign w:val="center"/>
                </w:tcPr>
                <w:p w14:paraId="1D1E9536">
                  <w:pPr>
                    <w:widowControl/>
                    <w:jc w:val="center"/>
                    <w:textAlignment w:val="center"/>
                    <w:rPr>
                      <w:color w:val="auto"/>
                      <w:kern w:val="0"/>
                      <w:szCs w:val="21"/>
                      <w:lang w:bidi="ar"/>
                    </w:rPr>
                  </w:pPr>
                </w:p>
              </w:tc>
              <w:tc>
                <w:tcPr>
                  <w:tcW w:w="889" w:type="dxa"/>
                  <w:vAlign w:val="center"/>
                </w:tcPr>
                <w:p w14:paraId="31DB8872">
                  <w:pPr>
                    <w:widowControl/>
                    <w:jc w:val="center"/>
                    <w:textAlignment w:val="center"/>
                    <w:rPr>
                      <w:color w:val="auto"/>
                      <w:kern w:val="0"/>
                      <w:szCs w:val="21"/>
                      <w:lang w:bidi="ar"/>
                    </w:rPr>
                  </w:pPr>
                  <w:r>
                    <w:rPr>
                      <w:color w:val="auto"/>
                      <w:kern w:val="0"/>
                      <w:szCs w:val="21"/>
                      <w:lang w:bidi="ar"/>
                    </w:rPr>
                    <w:t>环境管理</w:t>
                  </w:r>
                </w:p>
              </w:tc>
              <w:tc>
                <w:tcPr>
                  <w:tcW w:w="5605" w:type="dxa"/>
                  <w:vAlign w:val="center"/>
                </w:tcPr>
                <w:p w14:paraId="012C2B43">
                  <w:pPr>
                    <w:widowControl/>
                    <w:jc w:val="left"/>
                    <w:textAlignment w:val="top"/>
                    <w:rPr>
                      <w:color w:val="auto"/>
                      <w:kern w:val="0"/>
                      <w:szCs w:val="21"/>
                      <w:lang w:bidi="ar"/>
                    </w:rPr>
                  </w:pPr>
                  <w:r>
                    <w:rPr>
                      <w:color w:val="auto"/>
                      <w:kern w:val="0"/>
                      <w:szCs w:val="21"/>
                      <w:lang w:bidi="ar"/>
                    </w:rPr>
                    <w:t>加强施工期</w:t>
                  </w:r>
                  <w:r>
                    <w:rPr>
                      <w:rFonts w:hint="eastAsia"/>
                      <w:color w:val="auto"/>
                      <w:kern w:val="0"/>
                      <w:szCs w:val="21"/>
                      <w:lang w:bidi="ar"/>
                    </w:rPr>
                    <w:t>管理</w:t>
                  </w:r>
                  <w:r>
                    <w:rPr>
                      <w:color w:val="auto"/>
                      <w:kern w:val="0"/>
                      <w:szCs w:val="21"/>
                      <w:lang w:bidi="ar"/>
                    </w:rPr>
                    <w:t>、人员管理。</w:t>
                  </w:r>
                </w:p>
              </w:tc>
              <w:tc>
                <w:tcPr>
                  <w:tcW w:w="1093" w:type="dxa"/>
                  <w:vAlign w:val="center"/>
                </w:tcPr>
                <w:p w14:paraId="24307338">
                  <w:pPr>
                    <w:widowControl/>
                    <w:jc w:val="center"/>
                    <w:textAlignment w:val="top"/>
                    <w:rPr>
                      <w:color w:val="auto"/>
                      <w:kern w:val="0"/>
                      <w:szCs w:val="21"/>
                      <w:lang w:bidi="ar"/>
                    </w:rPr>
                  </w:pPr>
                  <w:r>
                    <w:rPr>
                      <w:color w:val="auto"/>
                      <w:kern w:val="0"/>
                      <w:szCs w:val="21"/>
                      <w:lang w:bidi="ar"/>
                    </w:rPr>
                    <w:t>5</w:t>
                  </w:r>
                </w:p>
              </w:tc>
            </w:tr>
            <w:tr w14:paraId="303AAB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440" w:type="dxa"/>
                  <w:vMerge w:val="restart"/>
                  <w:vAlign w:val="center"/>
                </w:tcPr>
                <w:p w14:paraId="5C9A969A">
                  <w:pPr>
                    <w:widowControl/>
                    <w:jc w:val="center"/>
                    <w:textAlignment w:val="center"/>
                    <w:rPr>
                      <w:color w:val="auto"/>
                      <w:kern w:val="0"/>
                      <w:szCs w:val="21"/>
                      <w:lang w:bidi="ar"/>
                    </w:rPr>
                  </w:pPr>
                  <w:r>
                    <w:rPr>
                      <w:color w:val="auto"/>
                      <w:kern w:val="0"/>
                      <w:szCs w:val="21"/>
                      <w:lang w:bidi="ar"/>
                    </w:rPr>
                    <w:t>运营期</w:t>
                  </w:r>
                </w:p>
              </w:tc>
              <w:tc>
                <w:tcPr>
                  <w:tcW w:w="889" w:type="dxa"/>
                  <w:vAlign w:val="center"/>
                </w:tcPr>
                <w:p w14:paraId="00DEE7E5">
                  <w:pPr>
                    <w:widowControl/>
                    <w:jc w:val="center"/>
                    <w:textAlignment w:val="center"/>
                    <w:rPr>
                      <w:color w:val="auto"/>
                      <w:szCs w:val="21"/>
                    </w:rPr>
                  </w:pPr>
                  <w:r>
                    <w:rPr>
                      <w:color w:val="auto"/>
                      <w:kern w:val="0"/>
                      <w:szCs w:val="21"/>
                      <w:lang w:bidi="ar"/>
                    </w:rPr>
                    <w:t>废气</w:t>
                  </w:r>
                </w:p>
              </w:tc>
              <w:tc>
                <w:tcPr>
                  <w:tcW w:w="5605" w:type="dxa"/>
                  <w:vAlign w:val="center"/>
                </w:tcPr>
                <w:p w14:paraId="2FD47F73">
                  <w:pPr>
                    <w:widowControl/>
                    <w:jc w:val="left"/>
                    <w:textAlignment w:val="top"/>
                    <w:rPr>
                      <w:rFonts w:hint="eastAsia"/>
                      <w:color w:val="auto"/>
                      <w:kern w:val="0"/>
                      <w:szCs w:val="21"/>
                      <w:lang w:val="en-US" w:eastAsia="zh-CN" w:bidi="ar"/>
                    </w:rPr>
                  </w:pPr>
                  <w:r>
                    <w:rPr>
                      <w:rFonts w:hint="eastAsia"/>
                      <w:color w:val="auto"/>
                      <w:kern w:val="0"/>
                      <w:szCs w:val="21"/>
                      <w:lang w:bidi="ar"/>
                    </w:rPr>
                    <w:t>悬浮剂生产线废气（2#车间）</w:t>
                  </w:r>
                  <w:r>
                    <w:rPr>
                      <w:rFonts w:hint="eastAsia"/>
                      <w:color w:val="auto"/>
                      <w:kern w:val="0"/>
                      <w:szCs w:val="21"/>
                      <w:lang w:eastAsia="zh-CN" w:bidi="ar"/>
                    </w:rPr>
                    <w:t>、</w:t>
                  </w:r>
                  <w:r>
                    <w:rPr>
                      <w:rFonts w:hint="eastAsia"/>
                      <w:color w:val="auto"/>
                      <w:kern w:val="0"/>
                      <w:szCs w:val="21"/>
                      <w:lang w:bidi="ar"/>
                    </w:rPr>
                    <w:t>水乳剂生产线废气（3#车间）</w:t>
                  </w:r>
                  <w:r>
                    <w:rPr>
                      <w:rFonts w:hint="eastAsia"/>
                      <w:color w:val="auto"/>
                      <w:kern w:val="0"/>
                      <w:szCs w:val="21"/>
                      <w:lang w:eastAsia="zh-CN" w:bidi="ar"/>
                    </w:rPr>
                    <w:t>、</w:t>
                  </w:r>
                  <w:r>
                    <w:rPr>
                      <w:rFonts w:hint="eastAsia"/>
                      <w:color w:val="auto"/>
                      <w:kern w:val="0"/>
                      <w:szCs w:val="21"/>
                      <w:lang w:bidi="ar"/>
                    </w:rPr>
                    <w:t>水剂生产线废气（4#车间）</w:t>
                  </w:r>
                  <w:r>
                    <w:rPr>
                      <w:rFonts w:hint="eastAsia"/>
                      <w:color w:val="auto"/>
                      <w:kern w:val="0"/>
                      <w:szCs w:val="21"/>
                      <w:lang w:val="en-US" w:eastAsia="zh-CN" w:bidi="ar"/>
                    </w:rPr>
                    <w:t>投料粉尘：在投料口设置三面围挡，投料口减少落差等方式，减少无组织排放</w:t>
                  </w:r>
                </w:p>
                <w:p w14:paraId="0FAAC5E3">
                  <w:pPr>
                    <w:widowControl/>
                    <w:jc w:val="left"/>
                    <w:textAlignment w:val="top"/>
                    <w:rPr>
                      <w:rFonts w:hint="default"/>
                      <w:color w:val="auto"/>
                      <w:kern w:val="0"/>
                      <w:szCs w:val="21"/>
                      <w:lang w:val="en-US" w:eastAsia="zh-CN" w:bidi="ar"/>
                    </w:rPr>
                  </w:pPr>
                  <w:r>
                    <w:rPr>
                      <w:rFonts w:hint="default"/>
                      <w:color w:val="auto"/>
                      <w:kern w:val="0"/>
                      <w:szCs w:val="21"/>
                      <w:lang w:val="en-US" w:eastAsia="zh-CN" w:bidi="ar"/>
                    </w:rPr>
                    <w:t>可湿性粉剂生产线废气（1#车间）投料、包装、粉碎</w:t>
                  </w:r>
                  <w:r>
                    <w:rPr>
                      <w:rFonts w:hint="eastAsia"/>
                      <w:color w:val="auto"/>
                      <w:kern w:val="0"/>
                      <w:szCs w:val="21"/>
                      <w:lang w:val="en-US" w:eastAsia="zh-CN" w:bidi="ar"/>
                    </w:rPr>
                    <w:t>粉尘由设备上方设置的集气罩收集后（粉尘收集率为30%）经生产线配备的布袋除尘器处理，处理效率99%，15m排气筒排放（DA001）</w:t>
                  </w:r>
                </w:p>
                <w:p w14:paraId="50E65D53">
                  <w:pPr>
                    <w:widowControl/>
                    <w:jc w:val="left"/>
                    <w:textAlignment w:val="top"/>
                    <w:rPr>
                      <w:rFonts w:hint="eastAsia"/>
                      <w:color w:val="auto"/>
                      <w:lang w:val="en-US" w:eastAsia="zh-CN"/>
                    </w:rPr>
                  </w:pPr>
                  <w:r>
                    <w:rPr>
                      <w:rFonts w:hint="default"/>
                      <w:color w:val="auto"/>
                      <w:kern w:val="0"/>
                      <w:szCs w:val="21"/>
                      <w:lang w:val="en-US" w:eastAsia="zh-CN" w:bidi="ar"/>
                    </w:rPr>
                    <w:t>水乳剂生产线废气（3#车间）搅拌、配制</w:t>
                  </w:r>
                  <w:r>
                    <w:rPr>
                      <w:rFonts w:hint="eastAsia"/>
                      <w:color w:val="auto"/>
                      <w:kern w:val="0"/>
                      <w:szCs w:val="21"/>
                      <w:lang w:val="en-US" w:eastAsia="zh-CN" w:bidi="ar"/>
                    </w:rPr>
                    <w:t>有机废气：</w:t>
                  </w:r>
                  <w:r>
                    <w:rPr>
                      <w:rFonts w:hint="eastAsia"/>
                      <w:color w:val="auto"/>
                      <w:lang w:val="en-US" w:eastAsia="zh-CN"/>
                    </w:rPr>
                    <w:t>通过管道（收集效率95%）收集“二级活性炭”（5000m</w:t>
                  </w:r>
                  <w:r>
                    <w:rPr>
                      <w:rFonts w:hint="eastAsia"/>
                      <w:color w:val="auto"/>
                      <w:vertAlign w:val="superscript"/>
                      <w:lang w:val="en-US" w:eastAsia="zh-CN"/>
                    </w:rPr>
                    <w:t>3</w:t>
                  </w:r>
                  <w:r>
                    <w:rPr>
                      <w:rFonts w:hint="eastAsia"/>
                      <w:color w:val="auto"/>
                      <w:lang w:val="en-US" w:eastAsia="zh-CN"/>
                    </w:rPr>
                    <w:t>/h）处理后15m排放（DA002）</w:t>
                  </w:r>
                </w:p>
                <w:p w14:paraId="69140020">
                  <w:pPr>
                    <w:widowControl/>
                    <w:jc w:val="left"/>
                    <w:textAlignment w:val="top"/>
                    <w:rPr>
                      <w:rFonts w:hint="eastAsia"/>
                      <w:color w:val="auto"/>
                      <w:lang w:val="en-US" w:eastAsia="zh-CN"/>
                    </w:rPr>
                  </w:pPr>
                  <w:r>
                    <w:rPr>
                      <w:rFonts w:hint="default"/>
                      <w:color w:val="auto"/>
                      <w:lang w:val="en-US" w:eastAsia="zh-CN"/>
                    </w:rPr>
                    <w:t>农药生产异味</w:t>
                  </w:r>
                  <w:r>
                    <w:rPr>
                      <w:rFonts w:hint="eastAsia"/>
                      <w:color w:val="auto"/>
                      <w:lang w:val="en-US" w:eastAsia="zh-CN"/>
                    </w:rPr>
                    <w:t>：水乳剂生产线（3#车间）异味气体两级活性炭吸附装置处理后引至排气筒高空排放，其余生产线无组织排放的异味经车间强制通风换气外排</w:t>
                  </w:r>
                </w:p>
                <w:p w14:paraId="305623EC">
                  <w:pPr>
                    <w:widowControl/>
                    <w:jc w:val="left"/>
                    <w:textAlignment w:val="top"/>
                    <w:rPr>
                      <w:rFonts w:hint="eastAsia"/>
                      <w:color w:val="auto"/>
                    </w:rPr>
                  </w:pPr>
                  <w:r>
                    <w:rPr>
                      <w:rFonts w:hint="eastAsia"/>
                      <w:color w:val="auto"/>
                    </w:rPr>
                    <w:t>实验废气设置通风橱，有机废气经收集后由管道通入活性炭吸附装置处理后排放。</w:t>
                  </w:r>
                </w:p>
                <w:p w14:paraId="2CE416DE">
                  <w:pPr>
                    <w:widowControl/>
                    <w:jc w:val="left"/>
                    <w:textAlignment w:val="top"/>
                    <w:rPr>
                      <w:rFonts w:hint="eastAsia" w:eastAsia="宋体"/>
                      <w:color w:val="auto"/>
                      <w:lang w:val="en-US" w:eastAsia="zh-CN"/>
                    </w:rPr>
                  </w:pPr>
                  <w:r>
                    <w:rPr>
                      <w:rFonts w:hint="eastAsia"/>
                      <w:color w:val="auto"/>
                    </w:rPr>
                    <w:t>厨房油烟</w:t>
                  </w:r>
                  <w:r>
                    <w:rPr>
                      <w:rFonts w:hint="eastAsia"/>
                      <w:color w:val="auto"/>
                      <w:lang w:eastAsia="zh-CN"/>
                    </w:rPr>
                    <w:t>：</w:t>
                  </w:r>
                  <w:r>
                    <w:rPr>
                      <w:rFonts w:hint="eastAsia"/>
                      <w:color w:val="auto"/>
                    </w:rPr>
                    <w:t>油烟净化装置处理油烟，油烟机排风量为2000m</w:t>
                  </w:r>
                  <w:r>
                    <w:rPr>
                      <w:rFonts w:hint="eastAsia"/>
                      <w:color w:val="auto"/>
                      <w:vertAlign w:val="superscript"/>
                    </w:rPr>
                    <w:t>3</w:t>
                  </w:r>
                  <w:r>
                    <w:rPr>
                      <w:rFonts w:hint="eastAsia"/>
                      <w:color w:val="auto"/>
                    </w:rPr>
                    <w:t>/h，处理后的油烟统一进入专用排烟管于楼顶</w:t>
                  </w:r>
                </w:p>
              </w:tc>
              <w:tc>
                <w:tcPr>
                  <w:tcW w:w="1093" w:type="dxa"/>
                  <w:vAlign w:val="center"/>
                </w:tcPr>
                <w:p w14:paraId="444190E1">
                  <w:pPr>
                    <w:widowControl/>
                    <w:jc w:val="center"/>
                    <w:textAlignment w:val="top"/>
                    <w:rPr>
                      <w:color w:val="auto"/>
                      <w:szCs w:val="21"/>
                    </w:rPr>
                  </w:pPr>
                  <w:r>
                    <w:rPr>
                      <w:color w:val="auto"/>
                      <w:szCs w:val="21"/>
                    </w:rPr>
                    <w:t>30</w:t>
                  </w:r>
                </w:p>
              </w:tc>
            </w:tr>
            <w:tr w14:paraId="48B41A6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40" w:type="dxa"/>
                  <w:vMerge w:val="continue"/>
                  <w:vAlign w:val="center"/>
                </w:tcPr>
                <w:p w14:paraId="32A61582">
                  <w:pPr>
                    <w:widowControl/>
                    <w:jc w:val="center"/>
                    <w:textAlignment w:val="top"/>
                    <w:rPr>
                      <w:color w:val="auto"/>
                      <w:kern w:val="0"/>
                      <w:szCs w:val="21"/>
                      <w:lang w:bidi="ar"/>
                    </w:rPr>
                  </w:pPr>
                </w:p>
              </w:tc>
              <w:tc>
                <w:tcPr>
                  <w:tcW w:w="889" w:type="dxa"/>
                  <w:vAlign w:val="center"/>
                </w:tcPr>
                <w:p w14:paraId="572F05E9">
                  <w:pPr>
                    <w:widowControl/>
                    <w:jc w:val="center"/>
                    <w:textAlignment w:val="top"/>
                    <w:rPr>
                      <w:color w:val="auto"/>
                      <w:szCs w:val="21"/>
                    </w:rPr>
                  </w:pPr>
                  <w:r>
                    <w:rPr>
                      <w:color w:val="auto"/>
                      <w:kern w:val="0"/>
                      <w:szCs w:val="21"/>
                      <w:lang w:bidi="ar"/>
                    </w:rPr>
                    <w:t>废水</w:t>
                  </w:r>
                </w:p>
              </w:tc>
              <w:tc>
                <w:tcPr>
                  <w:tcW w:w="5605" w:type="dxa"/>
                  <w:vAlign w:val="center"/>
                </w:tcPr>
                <w:p w14:paraId="352BC016">
                  <w:pPr>
                    <w:widowControl/>
                    <w:jc w:val="left"/>
                    <w:textAlignment w:val="top"/>
                    <w:rPr>
                      <w:color w:val="auto"/>
                      <w:kern w:val="0"/>
                      <w:szCs w:val="21"/>
                      <w:lang w:bidi="ar"/>
                    </w:rPr>
                  </w:pPr>
                  <w:r>
                    <w:rPr>
                      <w:rFonts w:hint="eastAsia"/>
                      <w:color w:val="auto"/>
                      <w:kern w:val="0"/>
                      <w:szCs w:val="21"/>
                      <w:lang w:bidi="ar"/>
                    </w:rPr>
                    <w:t>办公生活污水</w:t>
                  </w:r>
                  <w:r>
                    <w:rPr>
                      <w:rFonts w:hint="eastAsia"/>
                      <w:color w:val="auto"/>
                      <w:kern w:val="0"/>
                      <w:szCs w:val="21"/>
                      <w:lang w:val="en-US" w:eastAsia="zh-CN" w:bidi="ar"/>
                    </w:rPr>
                    <w:t>和纯水制备废水</w:t>
                  </w:r>
                  <w:r>
                    <w:rPr>
                      <w:rFonts w:hint="eastAsia"/>
                      <w:color w:val="auto"/>
                      <w:kern w:val="0"/>
                      <w:szCs w:val="21"/>
                      <w:lang w:bidi="ar"/>
                    </w:rPr>
                    <w:t>经</w:t>
                  </w:r>
                  <w:r>
                    <w:rPr>
                      <w:rFonts w:hint="eastAsia"/>
                      <w:color w:val="auto"/>
                      <w:kern w:val="0"/>
                      <w:szCs w:val="21"/>
                      <w:lang w:val="en-US" w:eastAsia="zh-CN" w:bidi="ar"/>
                    </w:rPr>
                    <w:t>预处理池</w:t>
                  </w:r>
                  <w:r>
                    <w:rPr>
                      <w:rFonts w:hint="eastAsia"/>
                      <w:color w:val="auto"/>
                      <w:kern w:val="0"/>
                      <w:szCs w:val="21"/>
                      <w:lang w:bidi="ar"/>
                    </w:rPr>
                    <w:t>（容积</w:t>
                  </w:r>
                  <w:r>
                    <w:rPr>
                      <w:rFonts w:hint="eastAsia"/>
                      <w:color w:val="auto"/>
                      <w:kern w:val="0"/>
                      <w:szCs w:val="21"/>
                      <w:lang w:val="en-US" w:eastAsia="zh-CN" w:bidi="ar"/>
                    </w:rPr>
                    <w:t>6</w:t>
                  </w:r>
                  <w:r>
                    <w:rPr>
                      <w:rFonts w:hint="eastAsia"/>
                      <w:color w:val="auto"/>
                      <w:kern w:val="0"/>
                      <w:szCs w:val="21"/>
                      <w:lang w:bidi="ar"/>
                    </w:rPr>
                    <w:t>m</w:t>
                  </w:r>
                  <w:r>
                    <w:rPr>
                      <w:rFonts w:hint="eastAsia"/>
                      <w:color w:val="auto"/>
                      <w:kern w:val="0"/>
                      <w:szCs w:val="21"/>
                      <w:vertAlign w:val="superscript"/>
                      <w:lang w:bidi="ar"/>
                    </w:rPr>
                    <w:t>3</w:t>
                  </w:r>
                  <w:r>
                    <w:rPr>
                      <w:rFonts w:hint="eastAsia"/>
                      <w:color w:val="auto"/>
                      <w:kern w:val="0"/>
                      <w:szCs w:val="21"/>
                      <w:lang w:bidi="ar"/>
                    </w:rPr>
                    <w:t>）预处理后进入市政管网。食堂废水通过隔油池（容积</w:t>
                  </w:r>
                  <w:r>
                    <w:rPr>
                      <w:rFonts w:hint="eastAsia"/>
                      <w:color w:val="auto"/>
                      <w:kern w:val="0"/>
                      <w:szCs w:val="21"/>
                      <w:lang w:val="en-US" w:eastAsia="zh-CN" w:bidi="ar"/>
                    </w:rPr>
                    <w:t>1</w:t>
                  </w:r>
                  <w:r>
                    <w:rPr>
                      <w:rFonts w:hint="eastAsia"/>
                      <w:color w:val="auto"/>
                      <w:kern w:val="0"/>
                      <w:szCs w:val="21"/>
                      <w:lang w:bidi="ar"/>
                    </w:rPr>
                    <w:t>m3）预处理后与办公生活污水一起排入预处理池处理后进入市政管网。</w:t>
                  </w:r>
                </w:p>
              </w:tc>
              <w:tc>
                <w:tcPr>
                  <w:tcW w:w="1093" w:type="dxa"/>
                  <w:vAlign w:val="center"/>
                </w:tcPr>
                <w:p w14:paraId="469F86E5">
                  <w:pPr>
                    <w:widowControl/>
                    <w:jc w:val="center"/>
                    <w:textAlignment w:val="top"/>
                    <w:rPr>
                      <w:color w:val="auto"/>
                      <w:szCs w:val="21"/>
                    </w:rPr>
                  </w:pPr>
                  <w:r>
                    <w:rPr>
                      <w:color w:val="auto"/>
                      <w:szCs w:val="21"/>
                    </w:rPr>
                    <w:t>5</w:t>
                  </w:r>
                </w:p>
              </w:tc>
            </w:tr>
            <w:tr w14:paraId="5C348D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440" w:type="dxa"/>
                  <w:vMerge w:val="continue"/>
                  <w:vAlign w:val="center"/>
                </w:tcPr>
                <w:p w14:paraId="43380E8D">
                  <w:pPr>
                    <w:widowControl/>
                    <w:jc w:val="center"/>
                    <w:textAlignment w:val="top"/>
                    <w:rPr>
                      <w:color w:val="auto"/>
                      <w:kern w:val="0"/>
                      <w:szCs w:val="21"/>
                      <w:lang w:bidi="ar"/>
                    </w:rPr>
                  </w:pPr>
                </w:p>
              </w:tc>
              <w:tc>
                <w:tcPr>
                  <w:tcW w:w="889" w:type="dxa"/>
                  <w:vAlign w:val="center"/>
                </w:tcPr>
                <w:p w14:paraId="6036F853">
                  <w:pPr>
                    <w:widowControl/>
                    <w:jc w:val="center"/>
                    <w:textAlignment w:val="top"/>
                    <w:rPr>
                      <w:color w:val="auto"/>
                      <w:szCs w:val="21"/>
                    </w:rPr>
                  </w:pPr>
                  <w:r>
                    <w:rPr>
                      <w:color w:val="auto"/>
                      <w:kern w:val="0"/>
                      <w:szCs w:val="21"/>
                      <w:lang w:bidi="ar"/>
                    </w:rPr>
                    <w:t>噪声</w:t>
                  </w:r>
                </w:p>
              </w:tc>
              <w:tc>
                <w:tcPr>
                  <w:tcW w:w="5605" w:type="dxa"/>
                  <w:vAlign w:val="center"/>
                </w:tcPr>
                <w:p w14:paraId="373449F1">
                  <w:pPr>
                    <w:widowControl/>
                    <w:jc w:val="left"/>
                    <w:textAlignment w:val="top"/>
                    <w:rPr>
                      <w:color w:val="auto"/>
                      <w:kern w:val="0"/>
                      <w:szCs w:val="21"/>
                      <w:lang w:bidi="ar"/>
                    </w:rPr>
                  </w:pPr>
                  <w:r>
                    <w:rPr>
                      <w:color w:val="auto"/>
                      <w:kern w:val="0"/>
                      <w:szCs w:val="21"/>
                      <w:lang w:bidi="ar"/>
                    </w:rPr>
                    <w:t>设备基础减振、建筑隔声，选用低噪声设备，柔性连接，安装消声器、减振，距离衰减等措施</w:t>
                  </w:r>
                </w:p>
              </w:tc>
              <w:tc>
                <w:tcPr>
                  <w:tcW w:w="1093" w:type="dxa"/>
                  <w:vAlign w:val="center"/>
                </w:tcPr>
                <w:p w14:paraId="36BDE1C2">
                  <w:pPr>
                    <w:widowControl/>
                    <w:jc w:val="center"/>
                    <w:textAlignment w:val="top"/>
                    <w:rPr>
                      <w:color w:val="auto"/>
                      <w:szCs w:val="21"/>
                    </w:rPr>
                  </w:pPr>
                  <w:r>
                    <w:rPr>
                      <w:color w:val="auto"/>
                      <w:kern w:val="0"/>
                      <w:szCs w:val="21"/>
                      <w:lang w:bidi="ar"/>
                    </w:rPr>
                    <w:t>10</w:t>
                  </w:r>
                </w:p>
              </w:tc>
            </w:tr>
            <w:tr w14:paraId="104030F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440" w:type="dxa"/>
                  <w:vMerge w:val="continue"/>
                  <w:vAlign w:val="center"/>
                </w:tcPr>
                <w:p w14:paraId="4D1500EF">
                  <w:pPr>
                    <w:widowControl/>
                    <w:jc w:val="center"/>
                    <w:textAlignment w:val="top"/>
                    <w:rPr>
                      <w:color w:val="auto"/>
                      <w:kern w:val="0"/>
                      <w:szCs w:val="21"/>
                      <w:lang w:bidi="ar"/>
                    </w:rPr>
                  </w:pPr>
                </w:p>
              </w:tc>
              <w:tc>
                <w:tcPr>
                  <w:tcW w:w="889" w:type="dxa"/>
                  <w:vMerge w:val="restart"/>
                  <w:vAlign w:val="center"/>
                </w:tcPr>
                <w:p w14:paraId="433020F6">
                  <w:pPr>
                    <w:widowControl/>
                    <w:jc w:val="center"/>
                    <w:textAlignment w:val="top"/>
                    <w:rPr>
                      <w:color w:val="auto"/>
                      <w:szCs w:val="21"/>
                    </w:rPr>
                  </w:pPr>
                  <w:r>
                    <w:rPr>
                      <w:color w:val="auto"/>
                      <w:kern w:val="0"/>
                      <w:szCs w:val="21"/>
                      <w:lang w:bidi="ar"/>
                    </w:rPr>
                    <w:t>固体废物</w:t>
                  </w:r>
                </w:p>
              </w:tc>
              <w:tc>
                <w:tcPr>
                  <w:tcW w:w="5605" w:type="dxa"/>
                  <w:vAlign w:val="center"/>
                </w:tcPr>
                <w:p w14:paraId="52AD7334">
                  <w:pPr>
                    <w:widowControl/>
                    <w:jc w:val="left"/>
                    <w:textAlignment w:val="top"/>
                    <w:rPr>
                      <w:color w:val="auto"/>
                      <w:kern w:val="0"/>
                      <w:szCs w:val="21"/>
                      <w:lang w:bidi="ar"/>
                    </w:rPr>
                  </w:pPr>
                  <w:r>
                    <w:rPr>
                      <w:color w:val="auto"/>
                      <w:kern w:val="0"/>
                      <w:szCs w:val="21"/>
                      <w:lang w:bidi="ar"/>
                    </w:rPr>
                    <w:t>一般固废：新建1个一般固废暂存间，各类固废定期清运处置。</w:t>
                  </w:r>
                </w:p>
              </w:tc>
              <w:tc>
                <w:tcPr>
                  <w:tcW w:w="1093" w:type="dxa"/>
                  <w:vAlign w:val="center"/>
                </w:tcPr>
                <w:p w14:paraId="6D2B94C2">
                  <w:pPr>
                    <w:widowControl/>
                    <w:jc w:val="center"/>
                    <w:textAlignment w:val="top"/>
                    <w:rPr>
                      <w:color w:val="auto"/>
                      <w:szCs w:val="21"/>
                    </w:rPr>
                  </w:pPr>
                  <w:r>
                    <w:rPr>
                      <w:color w:val="auto"/>
                      <w:kern w:val="0"/>
                      <w:szCs w:val="21"/>
                      <w:lang w:bidi="ar"/>
                    </w:rPr>
                    <w:t>5</w:t>
                  </w:r>
                </w:p>
              </w:tc>
            </w:tr>
            <w:tr w14:paraId="041C64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440" w:type="dxa"/>
                  <w:vMerge w:val="continue"/>
                  <w:vAlign w:val="center"/>
                </w:tcPr>
                <w:p w14:paraId="0ABEEB60">
                  <w:pPr>
                    <w:jc w:val="center"/>
                    <w:rPr>
                      <w:color w:val="auto"/>
                      <w:szCs w:val="21"/>
                    </w:rPr>
                  </w:pPr>
                </w:p>
              </w:tc>
              <w:tc>
                <w:tcPr>
                  <w:tcW w:w="889" w:type="dxa"/>
                  <w:vMerge w:val="continue"/>
                  <w:vAlign w:val="center"/>
                </w:tcPr>
                <w:p w14:paraId="458B4208">
                  <w:pPr>
                    <w:jc w:val="center"/>
                    <w:rPr>
                      <w:color w:val="auto"/>
                      <w:szCs w:val="21"/>
                    </w:rPr>
                  </w:pPr>
                </w:p>
              </w:tc>
              <w:tc>
                <w:tcPr>
                  <w:tcW w:w="5605" w:type="dxa"/>
                  <w:vAlign w:val="center"/>
                </w:tcPr>
                <w:p w14:paraId="28B4E192">
                  <w:pPr>
                    <w:widowControl/>
                    <w:jc w:val="left"/>
                    <w:textAlignment w:val="top"/>
                    <w:rPr>
                      <w:color w:val="auto"/>
                      <w:kern w:val="0"/>
                      <w:szCs w:val="21"/>
                      <w:lang w:bidi="ar"/>
                    </w:rPr>
                  </w:pPr>
                  <w:r>
                    <w:rPr>
                      <w:color w:val="auto"/>
                      <w:kern w:val="0"/>
                      <w:szCs w:val="21"/>
                      <w:lang w:bidi="ar"/>
                    </w:rPr>
                    <w:t>设置</w:t>
                  </w:r>
                  <w:r>
                    <w:rPr>
                      <w:rFonts w:hint="eastAsia"/>
                      <w:color w:val="auto"/>
                      <w:kern w:val="0"/>
                      <w:szCs w:val="21"/>
                      <w:lang w:eastAsia="zh-CN" w:bidi="ar"/>
                    </w:rPr>
                    <w:t>危废贮存库</w:t>
                  </w:r>
                  <w:r>
                    <w:rPr>
                      <w:color w:val="auto"/>
                      <w:kern w:val="0"/>
                      <w:szCs w:val="21"/>
                      <w:lang w:bidi="ar"/>
                    </w:rPr>
                    <w:t>1间，</w:t>
                  </w:r>
                  <w:r>
                    <w:rPr>
                      <w:rFonts w:hint="eastAsia"/>
                      <w:color w:val="auto"/>
                      <w:kern w:val="0"/>
                      <w:szCs w:val="21"/>
                      <w:lang w:bidi="ar"/>
                    </w:rPr>
                    <w:t>按照《危险废物贮存污染控制标准》（GB18957-2023）中有关规定设置危废贮存库</w:t>
                  </w:r>
                  <w:r>
                    <w:rPr>
                      <w:rFonts w:hint="eastAsia"/>
                      <w:color w:val="auto"/>
                      <w:kern w:val="0"/>
                      <w:szCs w:val="21"/>
                      <w:lang w:eastAsia="zh-CN" w:bidi="ar"/>
                    </w:rPr>
                    <w:t>，</w:t>
                  </w:r>
                  <w:r>
                    <w:rPr>
                      <w:color w:val="auto"/>
                      <w:kern w:val="0"/>
                      <w:szCs w:val="21"/>
                      <w:lang w:bidi="ar"/>
                    </w:rPr>
                    <w:t>进行重点防渗，各类危废分类妥善暂存于危废间，定期交由有资质单位处置。</w:t>
                  </w:r>
                </w:p>
              </w:tc>
              <w:tc>
                <w:tcPr>
                  <w:tcW w:w="1093" w:type="dxa"/>
                  <w:vAlign w:val="center"/>
                </w:tcPr>
                <w:p w14:paraId="77CF85F2">
                  <w:pPr>
                    <w:widowControl/>
                    <w:jc w:val="center"/>
                    <w:textAlignment w:val="top"/>
                    <w:rPr>
                      <w:color w:val="auto"/>
                      <w:szCs w:val="21"/>
                    </w:rPr>
                  </w:pPr>
                  <w:r>
                    <w:rPr>
                      <w:color w:val="auto"/>
                      <w:kern w:val="0"/>
                      <w:szCs w:val="21"/>
                      <w:lang w:bidi="ar"/>
                    </w:rPr>
                    <w:t>10</w:t>
                  </w:r>
                </w:p>
              </w:tc>
            </w:tr>
            <w:tr w14:paraId="1C6B50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440" w:type="dxa"/>
                  <w:vMerge w:val="continue"/>
                  <w:vAlign w:val="center"/>
                </w:tcPr>
                <w:p w14:paraId="1DB8E3DF">
                  <w:pPr>
                    <w:widowControl/>
                    <w:jc w:val="center"/>
                    <w:textAlignment w:val="top"/>
                    <w:rPr>
                      <w:color w:val="auto"/>
                      <w:kern w:val="0"/>
                      <w:szCs w:val="21"/>
                      <w:lang w:bidi="ar"/>
                    </w:rPr>
                  </w:pPr>
                </w:p>
              </w:tc>
              <w:tc>
                <w:tcPr>
                  <w:tcW w:w="889" w:type="dxa"/>
                  <w:vAlign w:val="center"/>
                </w:tcPr>
                <w:p w14:paraId="148E9A9E">
                  <w:pPr>
                    <w:widowControl/>
                    <w:jc w:val="center"/>
                    <w:textAlignment w:val="top"/>
                    <w:rPr>
                      <w:color w:val="auto"/>
                      <w:szCs w:val="21"/>
                    </w:rPr>
                  </w:pPr>
                  <w:r>
                    <w:rPr>
                      <w:color w:val="auto"/>
                      <w:kern w:val="0"/>
                      <w:szCs w:val="21"/>
                      <w:lang w:bidi="ar"/>
                    </w:rPr>
                    <w:t>环境管理</w:t>
                  </w:r>
                </w:p>
              </w:tc>
              <w:tc>
                <w:tcPr>
                  <w:tcW w:w="5605" w:type="dxa"/>
                  <w:vAlign w:val="center"/>
                </w:tcPr>
                <w:p w14:paraId="7BC21770">
                  <w:pPr>
                    <w:widowControl/>
                    <w:jc w:val="left"/>
                    <w:textAlignment w:val="top"/>
                    <w:rPr>
                      <w:color w:val="auto"/>
                      <w:kern w:val="0"/>
                      <w:szCs w:val="21"/>
                      <w:lang w:bidi="ar"/>
                    </w:rPr>
                  </w:pPr>
                  <w:r>
                    <w:rPr>
                      <w:color w:val="auto"/>
                      <w:kern w:val="0"/>
                      <w:szCs w:val="21"/>
                      <w:lang w:bidi="ar"/>
                    </w:rPr>
                    <w:t>设置环境管理制度、建立企业生产安全管理制度</w:t>
                  </w:r>
                </w:p>
              </w:tc>
              <w:tc>
                <w:tcPr>
                  <w:tcW w:w="1093" w:type="dxa"/>
                  <w:vAlign w:val="center"/>
                </w:tcPr>
                <w:p w14:paraId="5A77D521">
                  <w:pPr>
                    <w:widowControl/>
                    <w:jc w:val="center"/>
                    <w:textAlignment w:val="top"/>
                    <w:rPr>
                      <w:color w:val="auto"/>
                      <w:szCs w:val="21"/>
                    </w:rPr>
                  </w:pPr>
                  <w:r>
                    <w:rPr>
                      <w:color w:val="auto"/>
                      <w:kern w:val="0"/>
                      <w:szCs w:val="21"/>
                      <w:lang w:bidi="ar"/>
                    </w:rPr>
                    <w:t>5</w:t>
                  </w:r>
                </w:p>
              </w:tc>
            </w:tr>
            <w:tr w14:paraId="3F1D22C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40" w:type="dxa"/>
                  <w:vMerge w:val="continue"/>
                  <w:vAlign w:val="center"/>
                </w:tcPr>
                <w:p w14:paraId="2F8FCD44">
                  <w:pPr>
                    <w:widowControl/>
                    <w:jc w:val="center"/>
                    <w:textAlignment w:val="top"/>
                    <w:rPr>
                      <w:color w:val="auto"/>
                      <w:kern w:val="0"/>
                      <w:szCs w:val="21"/>
                      <w:lang w:bidi="ar"/>
                    </w:rPr>
                  </w:pPr>
                </w:p>
              </w:tc>
              <w:tc>
                <w:tcPr>
                  <w:tcW w:w="889" w:type="dxa"/>
                  <w:vAlign w:val="center"/>
                </w:tcPr>
                <w:p w14:paraId="7DC8A8A0">
                  <w:pPr>
                    <w:widowControl/>
                    <w:jc w:val="center"/>
                    <w:textAlignment w:val="top"/>
                    <w:rPr>
                      <w:color w:val="auto"/>
                      <w:szCs w:val="21"/>
                    </w:rPr>
                  </w:pPr>
                  <w:r>
                    <w:rPr>
                      <w:rFonts w:hint="eastAsia"/>
                      <w:color w:val="auto"/>
                      <w:kern w:val="0"/>
                      <w:szCs w:val="21"/>
                      <w:lang w:eastAsia="zh-CN" w:bidi="ar"/>
                    </w:rPr>
                    <w:t>其他</w:t>
                  </w:r>
                </w:p>
              </w:tc>
              <w:tc>
                <w:tcPr>
                  <w:tcW w:w="5605" w:type="dxa"/>
                  <w:vAlign w:val="center"/>
                </w:tcPr>
                <w:p w14:paraId="044998DF">
                  <w:pPr>
                    <w:widowControl/>
                    <w:jc w:val="left"/>
                    <w:textAlignment w:val="top"/>
                    <w:rPr>
                      <w:color w:val="auto"/>
                      <w:kern w:val="0"/>
                      <w:szCs w:val="21"/>
                      <w:lang w:bidi="ar"/>
                    </w:rPr>
                  </w:pPr>
                  <w:r>
                    <w:rPr>
                      <w:color w:val="auto"/>
                      <w:kern w:val="0"/>
                      <w:szCs w:val="21"/>
                      <w:lang w:bidi="ar"/>
                    </w:rPr>
                    <w:t>购置灭火器、制定风险防范措施，加强管理</w:t>
                  </w:r>
                  <w:r>
                    <w:rPr>
                      <w:rFonts w:hint="eastAsia"/>
                      <w:color w:val="auto"/>
                      <w:kern w:val="0"/>
                      <w:szCs w:val="21"/>
                      <w:lang w:bidi="ar"/>
                    </w:rPr>
                    <w:t>、环境监测</w:t>
                  </w:r>
                  <w:r>
                    <w:rPr>
                      <w:color w:val="auto"/>
                      <w:kern w:val="0"/>
                      <w:szCs w:val="21"/>
                      <w:lang w:bidi="ar"/>
                    </w:rPr>
                    <w:t>等</w:t>
                  </w:r>
                </w:p>
              </w:tc>
              <w:tc>
                <w:tcPr>
                  <w:tcW w:w="1093" w:type="dxa"/>
                  <w:vAlign w:val="center"/>
                </w:tcPr>
                <w:p w14:paraId="3166A0FA">
                  <w:pPr>
                    <w:widowControl/>
                    <w:jc w:val="center"/>
                    <w:textAlignment w:val="top"/>
                    <w:rPr>
                      <w:color w:val="auto"/>
                      <w:szCs w:val="21"/>
                    </w:rPr>
                  </w:pPr>
                  <w:r>
                    <w:rPr>
                      <w:color w:val="auto"/>
                      <w:kern w:val="0"/>
                      <w:szCs w:val="21"/>
                      <w:lang w:bidi="ar"/>
                    </w:rPr>
                    <w:t>10</w:t>
                  </w:r>
                </w:p>
              </w:tc>
            </w:tr>
            <w:tr w14:paraId="49A5614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6934" w:type="dxa"/>
                  <w:gridSpan w:val="3"/>
                  <w:vAlign w:val="center"/>
                </w:tcPr>
                <w:p w14:paraId="28788E0E">
                  <w:pPr>
                    <w:widowControl/>
                    <w:jc w:val="center"/>
                    <w:textAlignment w:val="top"/>
                    <w:rPr>
                      <w:color w:val="auto"/>
                      <w:kern w:val="0"/>
                      <w:szCs w:val="21"/>
                      <w:lang w:bidi="ar"/>
                    </w:rPr>
                  </w:pPr>
                  <w:r>
                    <w:rPr>
                      <w:color w:val="auto"/>
                      <w:kern w:val="0"/>
                      <w:szCs w:val="21"/>
                      <w:lang w:bidi="ar"/>
                    </w:rPr>
                    <w:t>合计</w:t>
                  </w:r>
                </w:p>
              </w:tc>
              <w:tc>
                <w:tcPr>
                  <w:tcW w:w="1093" w:type="dxa"/>
                  <w:vAlign w:val="center"/>
                </w:tcPr>
                <w:p w14:paraId="6A81261A">
                  <w:pPr>
                    <w:widowControl/>
                    <w:jc w:val="center"/>
                    <w:textAlignment w:val="top"/>
                    <w:rPr>
                      <w:color w:val="auto"/>
                      <w:kern w:val="0"/>
                      <w:szCs w:val="21"/>
                      <w:lang w:bidi="ar"/>
                    </w:rPr>
                  </w:pPr>
                  <w:r>
                    <w:rPr>
                      <w:color w:val="auto"/>
                      <w:kern w:val="0"/>
                      <w:szCs w:val="21"/>
                      <w:lang w:bidi="ar"/>
                    </w:rPr>
                    <w:t>115</w:t>
                  </w:r>
                </w:p>
              </w:tc>
            </w:tr>
          </w:tbl>
          <w:p w14:paraId="5E601956">
            <w:pPr>
              <w:pStyle w:val="15"/>
              <w:outlineLvl w:val="0"/>
              <w:rPr>
                <w:rFonts w:ascii="Times New Roman" w:hAnsi="Times New Roman"/>
                <w:snapToGrid w:val="0"/>
                <w:color w:val="auto"/>
                <w:sz w:val="30"/>
                <w:szCs w:val="30"/>
              </w:rPr>
            </w:pPr>
          </w:p>
        </w:tc>
      </w:tr>
    </w:tbl>
    <w:p w14:paraId="7B2646A7">
      <w:pPr>
        <w:pStyle w:val="15"/>
        <w:jc w:val="center"/>
        <w:outlineLvl w:val="0"/>
        <w:rPr>
          <w:rFonts w:ascii="Times New Roman" w:hAnsi="Times New Roman"/>
          <w:snapToGrid w:val="0"/>
          <w:sz w:val="30"/>
          <w:szCs w:val="30"/>
        </w:rPr>
        <w:sectPr>
          <w:pgSz w:w="11906" w:h="16838"/>
          <w:pgMar w:top="1701" w:right="1531" w:bottom="1701" w:left="1531" w:header="851" w:footer="851" w:gutter="0"/>
          <w:cols w:space="720" w:num="1"/>
          <w:docGrid w:linePitch="312" w:charSpace="0"/>
        </w:sectPr>
      </w:pPr>
    </w:p>
    <w:p w14:paraId="374C24C6">
      <w:pPr>
        <w:pStyle w:val="15"/>
        <w:outlineLvl w:val="0"/>
        <w:rPr>
          <w:rFonts w:ascii="Times New Roman" w:hAnsi="Times New Roman"/>
          <w:snapToGrid w:val="0"/>
          <w:sz w:val="30"/>
          <w:szCs w:val="30"/>
        </w:rPr>
      </w:pPr>
      <w:r>
        <w:rPr>
          <w:rFonts w:ascii="Times New Roman" w:hAnsi="Times New Roman"/>
          <w:snapToGrid w:val="0"/>
          <w:sz w:val="30"/>
          <w:szCs w:val="30"/>
        </w:rPr>
        <w:t>五、</w:t>
      </w:r>
      <w:bookmarkStart w:id="44" w:name="_Hlk54167917"/>
      <w:r>
        <w:rPr>
          <w:rFonts w:ascii="Times New Roman" w:hAnsi="Times New Roman"/>
          <w:snapToGrid w:val="0"/>
          <w:sz w:val="30"/>
          <w:szCs w:val="30"/>
        </w:rPr>
        <w:t>环境保护措施监督检查清单</w:t>
      </w:r>
      <w:bookmarkEnd w:id="44"/>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851"/>
        <w:gridCol w:w="850"/>
        <w:gridCol w:w="1288"/>
        <w:gridCol w:w="2410"/>
        <w:gridCol w:w="2147"/>
      </w:tblGrid>
      <w:tr w14:paraId="4E518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l2br w:val="single" w:color="auto" w:sz="4" w:space="0"/>
            </w:tcBorders>
          </w:tcPr>
          <w:p w14:paraId="6C41D281">
            <w:pPr>
              <w:pStyle w:val="42"/>
              <w:rPr>
                <w:b/>
                <w:bCs/>
              </w:rPr>
            </w:pPr>
            <w:r>
              <w:rPr>
                <w:b/>
                <w:bCs/>
              </w:rPr>
              <w:t>内容</w:t>
            </w:r>
          </w:p>
          <w:p w14:paraId="496AE3C8">
            <w:pPr>
              <w:pStyle w:val="42"/>
              <w:rPr>
                <w:b/>
                <w:bCs/>
              </w:rPr>
            </w:pPr>
            <w:r>
              <w:rPr>
                <w:b/>
                <w:bCs/>
              </w:rPr>
              <w:t>要素</w:t>
            </w:r>
          </w:p>
        </w:tc>
        <w:tc>
          <w:tcPr>
            <w:tcW w:w="1701" w:type="dxa"/>
            <w:gridSpan w:val="2"/>
            <w:vAlign w:val="center"/>
          </w:tcPr>
          <w:p w14:paraId="07283022">
            <w:pPr>
              <w:pStyle w:val="42"/>
              <w:rPr>
                <w:b/>
                <w:bCs/>
              </w:rPr>
            </w:pPr>
            <w:r>
              <w:rPr>
                <w:b/>
                <w:bCs/>
              </w:rPr>
              <w:t>排放口（编号、名称）/污染源</w:t>
            </w:r>
          </w:p>
        </w:tc>
        <w:tc>
          <w:tcPr>
            <w:tcW w:w="1288" w:type="dxa"/>
            <w:vAlign w:val="center"/>
          </w:tcPr>
          <w:p w14:paraId="60F3D5BA">
            <w:pPr>
              <w:pStyle w:val="42"/>
              <w:rPr>
                <w:b/>
                <w:bCs/>
              </w:rPr>
            </w:pPr>
            <w:r>
              <w:rPr>
                <w:b/>
                <w:bCs/>
              </w:rPr>
              <w:t>污染物项目</w:t>
            </w:r>
          </w:p>
        </w:tc>
        <w:tc>
          <w:tcPr>
            <w:tcW w:w="2410" w:type="dxa"/>
            <w:vAlign w:val="center"/>
          </w:tcPr>
          <w:p w14:paraId="625B3620">
            <w:pPr>
              <w:pStyle w:val="42"/>
              <w:rPr>
                <w:b/>
                <w:bCs/>
              </w:rPr>
            </w:pPr>
            <w:r>
              <w:rPr>
                <w:b/>
                <w:bCs/>
              </w:rPr>
              <w:t>环境保护措施</w:t>
            </w:r>
          </w:p>
        </w:tc>
        <w:tc>
          <w:tcPr>
            <w:tcW w:w="2147" w:type="dxa"/>
            <w:vAlign w:val="center"/>
          </w:tcPr>
          <w:p w14:paraId="434E722B">
            <w:pPr>
              <w:pStyle w:val="42"/>
              <w:rPr>
                <w:b/>
                <w:bCs/>
              </w:rPr>
            </w:pPr>
            <w:r>
              <w:rPr>
                <w:b/>
                <w:bCs/>
              </w:rPr>
              <w:t>执行标准</w:t>
            </w:r>
          </w:p>
        </w:tc>
      </w:tr>
      <w:tr w14:paraId="5951F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54" w:type="dxa"/>
            <w:vMerge w:val="restart"/>
            <w:vAlign w:val="center"/>
          </w:tcPr>
          <w:p w14:paraId="69493FF6">
            <w:pPr>
              <w:pStyle w:val="42"/>
              <w:rPr>
                <w:sz w:val="21"/>
                <w:szCs w:val="21"/>
              </w:rPr>
            </w:pPr>
            <w:r>
              <w:rPr>
                <w:sz w:val="21"/>
                <w:szCs w:val="21"/>
              </w:rPr>
              <w:t>大气环境</w:t>
            </w:r>
          </w:p>
        </w:tc>
        <w:tc>
          <w:tcPr>
            <w:tcW w:w="1701" w:type="dxa"/>
            <w:gridSpan w:val="2"/>
            <w:vAlign w:val="center"/>
          </w:tcPr>
          <w:p w14:paraId="48DA2701">
            <w:pPr>
              <w:widowControl/>
              <w:jc w:val="center"/>
              <w:textAlignment w:val="top"/>
              <w:rPr>
                <w:rFonts w:hint="eastAsia"/>
                <w:lang w:val="en-US" w:eastAsia="zh-CN"/>
              </w:rPr>
            </w:pPr>
            <w:r>
              <w:rPr>
                <w:rFonts w:hint="eastAsia"/>
                <w:lang w:val="en-US" w:eastAsia="zh-CN"/>
              </w:rPr>
              <w:t>DA001</w:t>
            </w:r>
          </w:p>
        </w:tc>
        <w:tc>
          <w:tcPr>
            <w:tcW w:w="1288" w:type="dxa"/>
            <w:vAlign w:val="center"/>
          </w:tcPr>
          <w:p w14:paraId="529E38ED">
            <w:pPr>
              <w:widowControl/>
              <w:jc w:val="center"/>
              <w:textAlignment w:val="top"/>
              <w:rPr>
                <w:rFonts w:hint="eastAsia"/>
                <w:lang w:val="en-US" w:eastAsia="zh-CN"/>
              </w:rPr>
            </w:pPr>
            <w:r>
              <w:rPr>
                <w:rFonts w:hint="eastAsia"/>
                <w:lang w:val="en-US" w:eastAsia="zh-CN"/>
              </w:rPr>
              <w:t>颗粒物</w:t>
            </w:r>
          </w:p>
        </w:tc>
        <w:tc>
          <w:tcPr>
            <w:tcW w:w="2410" w:type="dxa"/>
            <w:vAlign w:val="center"/>
          </w:tcPr>
          <w:p w14:paraId="0FF1AF48">
            <w:pPr>
              <w:widowControl/>
              <w:jc w:val="center"/>
              <w:textAlignment w:val="top"/>
              <w:rPr>
                <w:rFonts w:hint="eastAsia"/>
                <w:lang w:val="en-US" w:eastAsia="zh-CN"/>
              </w:rPr>
            </w:pPr>
            <w:r>
              <w:rPr>
                <w:rFonts w:hint="eastAsia"/>
                <w:lang w:val="en-US" w:eastAsia="zh-CN"/>
              </w:rPr>
              <w:t>由设备上方设置的集气罩收集后（粉尘收集率为30%）经生产线配备的布袋除尘器处理（3000m</w:t>
            </w:r>
            <w:r>
              <w:rPr>
                <w:rFonts w:hint="eastAsia"/>
                <w:vertAlign w:val="superscript"/>
                <w:lang w:val="en-US" w:eastAsia="zh-CN"/>
              </w:rPr>
              <w:t>3</w:t>
            </w:r>
            <w:r>
              <w:rPr>
                <w:rFonts w:hint="eastAsia"/>
                <w:lang w:val="en-US" w:eastAsia="zh-CN"/>
              </w:rPr>
              <w:t>/h），处理效率99%，15m排气筒排放（DA001）</w:t>
            </w:r>
          </w:p>
        </w:tc>
        <w:tc>
          <w:tcPr>
            <w:tcW w:w="2147" w:type="dxa"/>
            <w:vMerge w:val="restart"/>
            <w:vAlign w:val="center"/>
          </w:tcPr>
          <w:p w14:paraId="40D587F1">
            <w:pPr>
              <w:widowControl/>
              <w:jc w:val="center"/>
              <w:textAlignment w:val="top"/>
              <w:rPr>
                <w:rFonts w:hint="eastAsia"/>
                <w:lang w:val="en-US" w:eastAsia="zh-CN"/>
              </w:rPr>
            </w:pPr>
            <w:r>
              <w:rPr>
                <w:rFonts w:hint="eastAsia"/>
                <w:lang w:val="en-US" w:eastAsia="zh-CN"/>
              </w:rPr>
              <w:t>颗粒物、非甲烷总烃、执行《农药制造工业大气污染物排放标准》（GB39727-2020），臭气浓度执行《恶臭污染物排放标准》（GB14554-93）表2</w:t>
            </w:r>
          </w:p>
        </w:tc>
      </w:tr>
      <w:tr w14:paraId="41DF0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54" w:type="dxa"/>
            <w:vMerge w:val="continue"/>
            <w:vAlign w:val="center"/>
          </w:tcPr>
          <w:p w14:paraId="68691650">
            <w:pPr>
              <w:pStyle w:val="42"/>
              <w:rPr>
                <w:sz w:val="21"/>
                <w:szCs w:val="21"/>
              </w:rPr>
            </w:pPr>
          </w:p>
        </w:tc>
        <w:tc>
          <w:tcPr>
            <w:tcW w:w="1701" w:type="dxa"/>
            <w:gridSpan w:val="2"/>
            <w:vAlign w:val="center"/>
          </w:tcPr>
          <w:p w14:paraId="1CDAE52D">
            <w:pPr>
              <w:widowControl/>
              <w:jc w:val="center"/>
              <w:textAlignment w:val="top"/>
              <w:rPr>
                <w:rFonts w:hint="eastAsia"/>
                <w:lang w:val="en-US" w:eastAsia="zh-CN"/>
              </w:rPr>
            </w:pPr>
            <w:r>
              <w:rPr>
                <w:rFonts w:hint="eastAsia"/>
                <w:lang w:val="en-US" w:eastAsia="zh-CN"/>
              </w:rPr>
              <w:t>DA002</w:t>
            </w:r>
          </w:p>
        </w:tc>
        <w:tc>
          <w:tcPr>
            <w:tcW w:w="1288" w:type="dxa"/>
            <w:vAlign w:val="center"/>
          </w:tcPr>
          <w:p w14:paraId="288A7FF4">
            <w:pPr>
              <w:widowControl/>
              <w:jc w:val="center"/>
              <w:textAlignment w:val="top"/>
              <w:rPr>
                <w:rFonts w:hint="default"/>
                <w:lang w:val="en-US" w:eastAsia="zh-CN"/>
              </w:rPr>
            </w:pPr>
            <w:r>
              <w:rPr>
                <w:rFonts w:hint="eastAsia"/>
                <w:lang w:val="en-US" w:eastAsia="zh-CN"/>
              </w:rPr>
              <w:t>有机废气、臭气浓度</w:t>
            </w:r>
          </w:p>
        </w:tc>
        <w:tc>
          <w:tcPr>
            <w:tcW w:w="2410" w:type="dxa"/>
            <w:vAlign w:val="center"/>
          </w:tcPr>
          <w:p w14:paraId="7879FB7D">
            <w:pPr>
              <w:widowControl/>
              <w:jc w:val="center"/>
              <w:textAlignment w:val="top"/>
              <w:rPr>
                <w:rFonts w:hint="eastAsia"/>
                <w:lang w:val="en-US" w:eastAsia="zh-CN"/>
              </w:rPr>
            </w:pPr>
            <w:r>
              <w:rPr>
                <w:rFonts w:hint="eastAsia"/>
                <w:lang w:val="en-US" w:eastAsia="zh-CN"/>
              </w:rPr>
              <w:t>通过管道（收集效率95%）收集“二级活性炭”（5000m</w:t>
            </w:r>
            <w:r>
              <w:rPr>
                <w:rFonts w:hint="eastAsia"/>
                <w:vertAlign w:val="superscript"/>
                <w:lang w:val="en-US" w:eastAsia="zh-CN"/>
              </w:rPr>
              <w:t>3</w:t>
            </w:r>
            <w:r>
              <w:rPr>
                <w:rFonts w:hint="eastAsia"/>
                <w:lang w:val="en-US" w:eastAsia="zh-CN"/>
              </w:rPr>
              <w:t>/h）处理后15m排放（DA002）</w:t>
            </w:r>
          </w:p>
        </w:tc>
        <w:tc>
          <w:tcPr>
            <w:tcW w:w="2147" w:type="dxa"/>
            <w:vMerge w:val="continue"/>
            <w:vAlign w:val="center"/>
          </w:tcPr>
          <w:p w14:paraId="5E6F8D28">
            <w:pPr>
              <w:widowControl/>
              <w:jc w:val="center"/>
              <w:textAlignment w:val="top"/>
              <w:rPr>
                <w:rFonts w:hint="eastAsia"/>
                <w:lang w:val="en-US" w:eastAsia="zh-CN"/>
              </w:rPr>
            </w:pPr>
          </w:p>
        </w:tc>
      </w:tr>
      <w:tr w14:paraId="759FB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54" w:type="dxa"/>
            <w:vMerge w:val="continue"/>
            <w:vAlign w:val="center"/>
          </w:tcPr>
          <w:p w14:paraId="76AB5241">
            <w:pPr>
              <w:pStyle w:val="42"/>
              <w:rPr>
                <w:sz w:val="21"/>
                <w:szCs w:val="21"/>
              </w:rPr>
            </w:pPr>
          </w:p>
        </w:tc>
        <w:tc>
          <w:tcPr>
            <w:tcW w:w="1701" w:type="dxa"/>
            <w:gridSpan w:val="2"/>
            <w:vAlign w:val="center"/>
          </w:tcPr>
          <w:p w14:paraId="2F8EBEB3">
            <w:pPr>
              <w:widowControl/>
              <w:jc w:val="center"/>
              <w:textAlignment w:val="top"/>
              <w:rPr>
                <w:rFonts w:hint="eastAsia"/>
                <w:lang w:val="en-US" w:eastAsia="zh-CN"/>
              </w:rPr>
            </w:pPr>
            <w:r>
              <w:rPr>
                <w:rFonts w:hint="eastAsia"/>
                <w:lang w:val="en-US" w:eastAsia="zh-CN"/>
              </w:rPr>
              <w:t>/</w:t>
            </w:r>
          </w:p>
        </w:tc>
        <w:tc>
          <w:tcPr>
            <w:tcW w:w="1288" w:type="dxa"/>
            <w:vAlign w:val="center"/>
          </w:tcPr>
          <w:p w14:paraId="4BA4221E">
            <w:pPr>
              <w:widowControl/>
              <w:jc w:val="center"/>
              <w:textAlignment w:val="top"/>
              <w:rPr>
                <w:rFonts w:hint="eastAsia"/>
                <w:lang w:val="en-US" w:eastAsia="zh-CN"/>
              </w:rPr>
            </w:pPr>
            <w:r>
              <w:rPr>
                <w:rFonts w:hint="eastAsia"/>
                <w:lang w:val="en-US" w:eastAsia="zh-CN"/>
              </w:rPr>
              <w:t>食堂油烟</w:t>
            </w:r>
          </w:p>
        </w:tc>
        <w:tc>
          <w:tcPr>
            <w:tcW w:w="2410" w:type="dxa"/>
            <w:vAlign w:val="center"/>
          </w:tcPr>
          <w:p w14:paraId="77FA2A4D">
            <w:pPr>
              <w:widowControl/>
              <w:jc w:val="center"/>
              <w:textAlignment w:val="top"/>
              <w:rPr>
                <w:rFonts w:hint="eastAsia"/>
                <w:lang w:val="en-US" w:eastAsia="zh-CN"/>
              </w:rPr>
            </w:pPr>
            <w:r>
              <w:rPr>
                <w:rFonts w:hint="eastAsia"/>
                <w:lang w:val="en-US" w:eastAsia="zh-CN"/>
              </w:rPr>
              <w:t>项目食堂配套油烟净化装置处理油烟，处理后的油烟统一进入专用排烟管于楼顶排放。</w:t>
            </w:r>
          </w:p>
        </w:tc>
        <w:tc>
          <w:tcPr>
            <w:tcW w:w="2147" w:type="dxa"/>
            <w:vAlign w:val="center"/>
          </w:tcPr>
          <w:p w14:paraId="3D737B12">
            <w:pPr>
              <w:widowControl/>
              <w:jc w:val="center"/>
              <w:textAlignment w:val="top"/>
              <w:rPr>
                <w:rFonts w:hint="eastAsia"/>
                <w:lang w:val="en-US" w:eastAsia="zh-CN"/>
              </w:rPr>
            </w:pPr>
            <w:r>
              <w:rPr>
                <w:rFonts w:hint="eastAsia"/>
                <w:lang w:val="en-US" w:eastAsia="zh-CN"/>
              </w:rPr>
              <w:t>《饮食业油烟排放标准》（GB18483-2001）</w:t>
            </w:r>
          </w:p>
        </w:tc>
      </w:tr>
      <w:tr w14:paraId="6FBEB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54" w:type="dxa"/>
            <w:vAlign w:val="center"/>
          </w:tcPr>
          <w:p w14:paraId="7323AACB">
            <w:pPr>
              <w:pStyle w:val="42"/>
              <w:rPr>
                <w:sz w:val="21"/>
                <w:szCs w:val="21"/>
              </w:rPr>
            </w:pPr>
          </w:p>
        </w:tc>
        <w:tc>
          <w:tcPr>
            <w:tcW w:w="1701" w:type="dxa"/>
            <w:gridSpan w:val="2"/>
            <w:vAlign w:val="center"/>
          </w:tcPr>
          <w:p w14:paraId="395BFE96">
            <w:pPr>
              <w:widowControl/>
              <w:jc w:val="center"/>
              <w:textAlignment w:val="top"/>
              <w:rPr>
                <w:rFonts w:hint="eastAsia"/>
                <w:lang w:val="en-US" w:eastAsia="zh-CN"/>
              </w:rPr>
            </w:pPr>
            <w:r>
              <w:rPr>
                <w:rFonts w:hint="eastAsia"/>
                <w:lang w:val="en-US" w:eastAsia="zh-CN"/>
              </w:rPr>
              <w:t>厂界</w:t>
            </w:r>
          </w:p>
        </w:tc>
        <w:tc>
          <w:tcPr>
            <w:tcW w:w="1288" w:type="dxa"/>
            <w:vAlign w:val="center"/>
          </w:tcPr>
          <w:p w14:paraId="63EF6FFE">
            <w:pPr>
              <w:widowControl/>
              <w:jc w:val="center"/>
              <w:textAlignment w:val="top"/>
              <w:rPr>
                <w:rFonts w:hint="eastAsia"/>
                <w:lang w:val="en-US" w:eastAsia="zh-CN"/>
              </w:rPr>
            </w:pPr>
            <w:r>
              <w:rPr>
                <w:rFonts w:hint="eastAsia"/>
                <w:lang w:val="en-US" w:eastAsia="zh-CN"/>
              </w:rPr>
              <w:t>颗粒物、非甲烷总烃、臭气浓度</w:t>
            </w:r>
          </w:p>
        </w:tc>
        <w:tc>
          <w:tcPr>
            <w:tcW w:w="2410" w:type="dxa"/>
            <w:vAlign w:val="center"/>
          </w:tcPr>
          <w:p w14:paraId="4FA78358">
            <w:pPr>
              <w:widowControl/>
              <w:jc w:val="center"/>
              <w:textAlignment w:val="top"/>
              <w:rPr>
                <w:rFonts w:hint="eastAsia"/>
                <w:lang w:val="en-US" w:eastAsia="zh-CN"/>
              </w:rPr>
            </w:pPr>
            <w:r>
              <w:rPr>
                <w:rFonts w:hint="eastAsia"/>
                <w:lang w:val="en-US" w:eastAsia="zh-CN"/>
              </w:rPr>
              <w:t>/</w:t>
            </w:r>
          </w:p>
        </w:tc>
        <w:tc>
          <w:tcPr>
            <w:tcW w:w="2147" w:type="dxa"/>
            <w:vAlign w:val="center"/>
          </w:tcPr>
          <w:p w14:paraId="744B5BE3">
            <w:pPr>
              <w:widowControl/>
              <w:jc w:val="center"/>
              <w:textAlignment w:val="top"/>
              <w:rPr>
                <w:rFonts w:hint="eastAsia"/>
                <w:lang w:val="en-US" w:eastAsia="zh-CN"/>
              </w:rPr>
            </w:pPr>
            <w:r>
              <w:rPr>
                <w:rFonts w:hint="eastAsia"/>
                <w:lang w:val="en-US" w:eastAsia="zh-CN"/>
              </w:rPr>
              <w:t>颗粒物、非甲烷总烃执行《大气污染物综合排放标准》（GB16297-1996）表2排放要求，臭气浓度执行《恶臭污染物排放标准》（GB14554-93）表1</w:t>
            </w:r>
          </w:p>
        </w:tc>
      </w:tr>
      <w:tr w14:paraId="74DB3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1254" w:type="dxa"/>
            <w:vAlign w:val="center"/>
          </w:tcPr>
          <w:p w14:paraId="1945D424">
            <w:pPr>
              <w:pStyle w:val="42"/>
              <w:rPr>
                <w:sz w:val="21"/>
                <w:szCs w:val="21"/>
              </w:rPr>
            </w:pPr>
            <w:r>
              <w:rPr>
                <w:sz w:val="21"/>
                <w:szCs w:val="21"/>
              </w:rPr>
              <w:t>地表水环境</w:t>
            </w:r>
          </w:p>
        </w:tc>
        <w:tc>
          <w:tcPr>
            <w:tcW w:w="851" w:type="dxa"/>
            <w:vAlign w:val="center"/>
          </w:tcPr>
          <w:p w14:paraId="5D041EE1">
            <w:pPr>
              <w:pStyle w:val="42"/>
              <w:rPr>
                <w:sz w:val="21"/>
                <w:szCs w:val="21"/>
              </w:rPr>
            </w:pPr>
            <w:r>
              <w:rPr>
                <w:sz w:val="21"/>
                <w:szCs w:val="21"/>
              </w:rPr>
              <w:t>DW001</w:t>
            </w:r>
          </w:p>
        </w:tc>
        <w:tc>
          <w:tcPr>
            <w:tcW w:w="850" w:type="dxa"/>
            <w:vAlign w:val="center"/>
          </w:tcPr>
          <w:p w14:paraId="6526214B">
            <w:pPr>
              <w:pStyle w:val="42"/>
              <w:rPr>
                <w:sz w:val="21"/>
                <w:szCs w:val="21"/>
              </w:rPr>
            </w:pPr>
            <w:r>
              <w:rPr>
                <w:rFonts w:hint="eastAsia"/>
                <w:sz w:val="21"/>
                <w:szCs w:val="21"/>
                <w:lang w:val="en-US" w:eastAsia="zh-CN"/>
              </w:rPr>
              <w:t>综合</w:t>
            </w:r>
            <w:r>
              <w:rPr>
                <w:sz w:val="21"/>
                <w:szCs w:val="21"/>
              </w:rPr>
              <w:t>废水</w:t>
            </w:r>
          </w:p>
        </w:tc>
        <w:tc>
          <w:tcPr>
            <w:tcW w:w="1288" w:type="dxa"/>
            <w:vAlign w:val="center"/>
          </w:tcPr>
          <w:p w14:paraId="01F0836C">
            <w:pPr>
              <w:pStyle w:val="42"/>
              <w:rPr>
                <w:sz w:val="21"/>
                <w:szCs w:val="21"/>
              </w:rPr>
            </w:pPr>
            <w:r>
              <w:rPr>
                <w:sz w:val="21"/>
                <w:szCs w:val="21"/>
              </w:rPr>
              <w:t>pH、COD、氨氮、BOD</w:t>
            </w:r>
            <w:r>
              <w:rPr>
                <w:sz w:val="21"/>
                <w:szCs w:val="21"/>
                <w:vertAlign w:val="subscript"/>
              </w:rPr>
              <w:t>5</w:t>
            </w:r>
            <w:r>
              <w:rPr>
                <w:sz w:val="21"/>
                <w:szCs w:val="21"/>
              </w:rPr>
              <w:t>、SS、动植物油</w:t>
            </w:r>
          </w:p>
        </w:tc>
        <w:tc>
          <w:tcPr>
            <w:tcW w:w="2410" w:type="dxa"/>
            <w:vAlign w:val="center"/>
          </w:tcPr>
          <w:p w14:paraId="611FB8A7">
            <w:pPr>
              <w:pStyle w:val="42"/>
              <w:rPr>
                <w:sz w:val="21"/>
                <w:szCs w:val="21"/>
              </w:rPr>
            </w:pPr>
            <w:r>
              <w:rPr>
                <w:rFonts w:hint="eastAsia"/>
                <w:sz w:val="21"/>
                <w:szCs w:val="21"/>
                <w:lang w:val="en-US" w:eastAsia="zh-CN"/>
              </w:rPr>
              <w:t>纯水制备废水和</w:t>
            </w:r>
            <w:r>
              <w:rPr>
                <w:sz w:val="21"/>
                <w:szCs w:val="21"/>
              </w:rPr>
              <w:t>办公生活污水经化粪池（容积</w:t>
            </w:r>
            <w:r>
              <w:rPr>
                <w:rFonts w:hint="eastAsia"/>
                <w:sz w:val="21"/>
                <w:szCs w:val="21"/>
                <w:lang w:val="en-US" w:eastAsia="zh-CN"/>
              </w:rPr>
              <w:t>6</w:t>
            </w:r>
            <w:r>
              <w:rPr>
                <w:sz w:val="21"/>
                <w:szCs w:val="21"/>
              </w:rPr>
              <w:t>m</w:t>
            </w:r>
            <w:r>
              <w:rPr>
                <w:sz w:val="21"/>
                <w:szCs w:val="21"/>
                <w:vertAlign w:val="superscript"/>
              </w:rPr>
              <w:t>3</w:t>
            </w:r>
            <w:r>
              <w:rPr>
                <w:sz w:val="21"/>
                <w:szCs w:val="21"/>
              </w:rPr>
              <w:t>）预处理后</w:t>
            </w:r>
            <w:r>
              <w:rPr>
                <w:rFonts w:hint="eastAsia"/>
                <w:sz w:val="21"/>
                <w:szCs w:val="21"/>
              </w:rPr>
              <w:t>进入市政管网</w:t>
            </w:r>
            <w:r>
              <w:rPr>
                <w:sz w:val="21"/>
                <w:szCs w:val="21"/>
              </w:rPr>
              <w:t>，食堂废水通过隔油池（容积</w:t>
            </w:r>
            <w:r>
              <w:rPr>
                <w:rFonts w:hint="eastAsia"/>
                <w:sz w:val="21"/>
                <w:szCs w:val="21"/>
                <w:lang w:val="en-US" w:eastAsia="zh-CN"/>
              </w:rPr>
              <w:t>1</w:t>
            </w:r>
            <w:r>
              <w:rPr>
                <w:sz w:val="21"/>
                <w:szCs w:val="21"/>
              </w:rPr>
              <w:t>m</w:t>
            </w:r>
            <w:r>
              <w:rPr>
                <w:sz w:val="21"/>
                <w:szCs w:val="21"/>
                <w:vertAlign w:val="superscript"/>
              </w:rPr>
              <w:t>3</w:t>
            </w:r>
            <w:r>
              <w:rPr>
                <w:sz w:val="21"/>
                <w:szCs w:val="21"/>
              </w:rPr>
              <w:t>）预处理后与办公生活污水一起排入</w:t>
            </w:r>
            <w:r>
              <w:rPr>
                <w:rFonts w:hint="eastAsia"/>
                <w:sz w:val="21"/>
                <w:szCs w:val="21"/>
              </w:rPr>
              <w:t>预处理池处理后进入市政管网</w:t>
            </w:r>
          </w:p>
        </w:tc>
        <w:tc>
          <w:tcPr>
            <w:tcW w:w="2147" w:type="dxa"/>
            <w:vAlign w:val="center"/>
          </w:tcPr>
          <w:p w14:paraId="4C9DE0B8">
            <w:pPr>
              <w:pStyle w:val="42"/>
              <w:rPr>
                <w:sz w:val="21"/>
                <w:szCs w:val="21"/>
                <w:shd w:val="clear" w:color="auto" w:fill="FFFFFF"/>
              </w:rPr>
            </w:pPr>
            <w:r>
              <w:rPr>
                <w:rFonts w:hint="eastAsia"/>
                <w:sz w:val="21"/>
                <w:szCs w:val="21"/>
              </w:rPr>
              <w:t>《污水综合排放标准》（GB8978-1996）三级标准</w:t>
            </w:r>
          </w:p>
        </w:tc>
      </w:tr>
      <w:tr w14:paraId="0B149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14:paraId="5680061F">
            <w:pPr>
              <w:pStyle w:val="42"/>
              <w:rPr>
                <w:sz w:val="21"/>
                <w:szCs w:val="21"/>
              </w:rPr>
            </w:pPr>
            <w:r>
              <w:rPr>
                <w:sz w:val="21"/>
                <w:szCs w:val="21"/>
              </w:rPr>
              <w:t>声环境</w:t>
            </w:r>
          </w:p>
        </w:tc>
        <w:tc>
          <w:tcPr>
            <w:tcW w:w="1701" w:type="dxa"/>
            <w:gridSpan w:val="2"/>
            <w:vAlign w:val="center"/>
          </w:tcPr>
          <w:p w14:paraId="76FBD359">
            <w:pPr>
              <w:pStyle w:val="42"/>
              <w:rPr>
                <w:rFonts w:hint="default" w:eastAsia="宋体"/>
                <w:sz w:val="21"/>
                <w:szCs w:val="21"/>
                <w:lang w:val="en-US" w:eastAsia="zh-CN"/>
              </w:rPr>
            </w:pPr>
            <w:r>
              <w:rPr>
                <w:rFonts w:hint="eastAsia"/>
                <w:sz w:val="21"/>
                <w:szCs w:val="21"/>
                <w:lang w:val="en-US" w:eastAsia="zh-CN"/>
              </w:rPr>
              <w:t>机械设备</w:t>
            </w:r>
          </w:p>
        </w:tc>
        <w:tc>
          <w:tcPr>
            <w:tcW w:w="1288" w:type="dxa"/>
            <w:vAlign w:val="center"/>
          </w:tcPr>
          <w:p w14:paraId="3EA5F559">
            <w:pPr>
              <w:pStyle w:val="42"/>
              <w:rPr>
                <w:sz w:val="21"/>
                <w:szCs w:val="21"/>
              </w:rPr>
            </w:pPr>
            <w:r>
              <w:rPr>
                <w:sz w:val="21"/>
                <w:szCs w:val="21"/>
              </w:rPr>
              <w:t>噪声</w:t>
            </w:r>
          </w:p>
        </w:tc>
        <w:tc>
          <w:tcPr>
            <w:tcW w:w="2410" w:type="dxa"/>
            <w:vAlign w:val="center"/>
          </w:tcPr>
          <w:p w14:paraId="05F21F9F">
            <w:pPr>
              <w:pStyle w:val="42"/>
              <w:rPr>
                <w:sz w:val="21"/>
                <w:szCs w:val="21"/>
              </w:rPr>
            </w:pPr>
            <w:r>
              <w:rPr>
                <w:sz w:val="21"/>
                <w:szCs w:val="21"/>
              </w:rPr>
              <w:t>设备选型上选用</w:t>
            </w:r>
            <w:r>
              <w:rPr>
                <w:spacing w:val="-6"/>
                <w:sz w:val="21"/>
                <w:szCs w:val="21"/>
              </w:rPr>
              <w:t>先进的、</w:t>
            </w:r>
            <w:r>
              <w:rPr>
                <w:rFonts w:hint="eastAsia"/>
                <w:spacing w:val="-6"/>
                <w:sz w:val="21"/>
                <w:szCs w:val="21"/>
                <w:lang w:eastAsia="zh-CN"/>
              </w:rPr>
              <w:t>噪声</w:t>
            </w:r>
            <w:r>
              <w:rPr>
                <w:spacing w:val="-6"/>
                <w:sz w:val="21"/>
                <w:szCs w:val="21"/>
              </w:rPr>
              <w:t>低、</w:t>
            </w:r>
            <w:r>
              <w:rPr>
                <w:rFonts w:hint="eastAsia"/>
                <w:spacing w:val="-6"/>
                <w:sz w:val="21"/>
                <w:szCs w:val="21"/>
              </w:rPr>
              <w:t>振动</w:t>
            </w:r>
            <w:r>
              <w:rPr>
                <w:spacing w:val="-6"/>
                <w:sz w:val="21"/>
                <w:szCs w:val="21"/>
              </w:rPr>
              <w:t>小的生产设备，安装时采取台基减震、橡胶减震接头以及减</w:t>
            </w:r>
            <w:r>
              <w:rPr>
                <w:sz w:val="21"/>
                <w:szCs w:val="21"/>
              </w:rPr>
              <w:t>震垫、房间隔声等措施</w:t>
            </w:r>
          </w:p>
        </w:tc>
        <w:tc>
          <w:tcPr>
            <w:tcW w:w="2147" w:type="dxa"/>
            <w:vAlign w:val="center"/>
          </w:tcPr>
          <w:p w14:paraId="30ECEF52">
            <w:pPr>
              <w:pStyle w:val="42"/>
              <w:rPr>
                <w:sz w:val="21"/>
                <w:szCs w:val="21"/>
              </w:rPr>
            </w:pPr>
            <w:r>
              <w:rPr>
                <w:sz w:val="21"/>
                <w:szCs w:val="21"/>
              </w:rPr>
              <w:t>《工业企业厂界环境噪声排放标准》（GB12348-2008）3类标准</w:t>
            </w:r>
          </w:p>
        </w:tc>
      </w:tr>
      <w:tr w14:paraId="4B7E5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Align w:val="center"/>
          </w:tcPr>
          <w:p w14:paraId="54316A50">
            <w:pPr>
              <w:pStyle w:val="42"/>
              <w:rPr>
                <w:sz w:val="21"/>
                <w:szCs w:val="21"/>
              </w:rPr>
            </w:pPr>
            <w:r>
              <w:rPr>
                <w:sz w:val="21"/>
                <w:szCs w:val="21"/>
              </w:rPr>
              <w:t>电磁辐射</w:t>
            </w:r>
          </w:p>
        </w:tc>
        <w:tc>
          <w:tcPr>
            <w:tcW w:w="1701" w:type="dxa"/>
            <w:gridSpan w:val="2"/>
            <w:vAlign w:val="center"/>
          </w:tcPr>
          <w:p w14:paraId="03EC6EC1">
            <w:pPr>
              <w:pStyle w:val="42"/>
              <w:rPr>
                <w:sz w:val="21"/>
                <w:szCs w:val="21"/>
              </w:rPr>
            </w:pPr>
            <w:r>
              <w:rPr>
                <w:sz w:val="21"/>
                <w:szCs w:val="21"/>
              </w:rPr>
              <w:t>/</w:t>
            </w:r>
          </w:p>
        </w:tc>
        <w:tc>
          <w:tcPr>
            <w:tcW w:w="1288" w:type="dxa"/>
            <w:vAlign w:val="center"/>
          </w:tcPr>
          <w:p w14:paraId="40D06C16">
            <w:pPr>
              <w:pStyle w:val="42"/>
              <w:rPr>
                <w:sz w:val="21"/>
                <w:szCs w:val="21"/>
              </w:rPr>
            </w:pPr>
            <w:r>
              <w:rPr>
                <w:sz w:val="21"/>
                <w:szCs w:val="21"/>
              </w:rPr>
              <w:t>/</w:t>
            </w:r>
          </w:p>
        </w:tc>
        <w:tc>
          <w:tcPr>
            <w:tcW w:w="2410" w:type="dxa"/>
            <w:vAlign w:val="center"/>
          </w:tcPr>
          <w:p w14:paraId="07E13778">
            <w:pPr>
              <w:pStyle w:val="42"/>
              <w:rPr>
                <w:sz w:val="21"/>
                <w:szCs w:val="21"/>
              </w:rPr>
            </w:pPr>
            <w:r>
              <w:rPr>
                <w:sz w:val="21"/>
                <w:szCs w:val="21"/>
              </w:rPr>
              <w:t>/</w:t>
            </w:r>
          </w:p>
        </w:tc>
        <w:tc>
          <w:tcPr>
            <w:tcW w:w="2147" w:type="dxa"/>
            <w:vAlign w:val="center"/>
          </w:tcPr>
          <w:p w14:paraId="0262B29F">
            <w:pPr>
              <w:pStyle w:val="42"/>
              <w:rPr>
                <w:sz w:val="21"/>
                <w:szCs w:val="21"/>
              </w:rPr>
            </w:pPr>
            <w:r>
              <w:rPr>
                <w:sz w:val="21"/>
                <w:szCs w:val="21"/>
              </w:rPr>
              <w:t>/</w:t>
            </w:r>
          </w:p>
        </w:tc>
      </w:tr>
      <w:tr w14:paraId="10805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4" w:type="dxa"/>
            <w:vAlign w:val="center"/>
          </w:tcPr>
          <w:p w14:paraId="55C8B581">
            <w:pPr>
              <w:pStyle w:val="42"/>
              <w:rPr>
                <w:sz w:val="21"/>
                <w:szCs w:val="21"/>
              </w:rPr>
            </w:pPr>
            <w:r>
              <w:rPr>
                <w:sz w:val="21"/>
                <w:szCs w:val="21"/>
              </w:rPr>
              <w:t>固体废物</w:t>
            </w:r>
          </w:p>
        </w:tc>
        <w:tc>
          <w:tcPr>
            <w:tcW w:w="7546" w:type="dxa"/>
            <w:gridSpan w:val="5"/>
            <w:vAlign w:val="center"/>
          </w:tcPr>
          <w:p w14:paraId="2A984C4D">
            <w:pPr>
              <w:pStyle w:val="42"/>
              <w:jc w:val="left"/>
              <w:rPr>
                <w:sz w:val="21"/>
                <w:szCs w:val="21"/>
              </w:rPr>
            </w:pPr>
            <w:r>
              <w:rPr>
                <w:sz w:val="21"/>
                <w:szCs w:val="21"/>
              </w:rPr>
              <w:t>布袋除尘收集粉尘</w:t>
            </w:r>
            <w:r>
              <w:rPr>
                <w:rFonts w:hint="eastAsia"/>
                <w:sz w:val="21"/>
                <w:szCs w:val="21"/>
              </w:rPr>
              <w:t>回用生产</w:t>
            </w:r>
            <w:r>
              <w:rPr>
                <w:sz w:val="21"/>
                <w:szCs w:val="21"/>
              </w:rPr>
              <w:t>；</w:t>
            </w:r>
            <w:r>
              <w:rPr>
                <w:rFonts w:hint="eastAsia"/>
                <w:sz w:val="21"/>
                <w:szCs w:val="21"/>
              </w:rPr>
              <w:t>餐厨垃圾（含隔油池油脂）每日交由餐厨垃圾处理单位收运处置，并签订书面收运协议，确保日产日清</w:t>
            </w:r>
            <w:r>
              <w:rPr>
                <w:rFonts w:hint="eastAsia"/>
                <w:sz w:val="21"/>
                <w:szCs w:val="21"/>
                <w:lang w:eastAsia="zh-CN"/>
              </w:rPr>
              <w:t>；</w:t>
            </w:r>
            <w:r>
              <w:rPr>
                <w:rFonts w:hint="eastAsia"/>
                <w:sz w:val="21"/>
                <w:szCs w:val="21"/>
                <w:lang w:val="en-US" w:eastAsia="zh-CN"/>
              </w:rPr>
              <w:t>预处理池污泥</w:t>
            </w:r>
            <w:r>
              <w:rPr>
                <w:rFonts w:hint="eastAsia"/>
                <w:color w:val="000000" w:themeColor="text1"/>
                <w:sz w:val="21"/>
                <w:szCs w:val="21"/>
                <w14:textFill>
                  <w14:solidFill>
                    <w14:schemeClr w14:val="tx1"/>
                  </w14:solidFill>
                </w14:textFill>
              </w:rPr>
              <w:t>专业单位清运</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废RO膜</w:t>
            </w:r>
            <w:r>
              <w:rPr>
                <w:rFonts w:hint="eastAsia"/>
                <w:color w:val="000000" w:themeColor="text1"/>
                <w:sz w:val="21"/>
                <w:szCs w:val="21"/>
                <w:lang w:val="en-US" w:eastAsia="zh-CN"/>
                <w14:textFill>
                  <w14:solidFill>
                    <w14:schemeClr w14:val="tx1"/>
                  </w14:solidFill>
                </w14:textFill>
              </w:rPr>
              <w:t>供应商回收</w:t>
            </w:r>
            <w:r>
              <w:rPr>
                <w:sz w:val="21"/>
                <w:szCs w:val="21"/>
              </w:rPr>
              <w:t>；</w:t>
            </w:r>
            <w:r>
              <w:rPr>
                <w:rFonts w:hint="eastAsia"/>
                <w:sz w:val="21"/>
                <w:szCs w:val="21"/>
              </w:rPr>
              <w:t>检修废物（含油废棉纱、抹布及其他含油污劳保产品）</w:t>
            </w:r>
            <w:r>
              <w:rPr>
                <w:rFonts w:hint="eastAsia"/>
                <w:sz w:val="21"/>
                <w:szCs w:val="21"/>
                <w:lang w:eastAsia="zh-CN"/>
              </w:rPr>
              <w:t>、</w:t>
            </w:r>
            <w:r>
              <w:rPr>
                <w:rFonts w:hint="eastAsia"/>
                <w:sz w:val="21"/>
                <w:szCs w:val="21"/>
              </w:rPr>
              <w:t>废机油</w:t>
            </w:r>
            <w:r>
              <w:rPr>
                <w:rFonts w:hint="eastAsia"/>
                <w:sz w:val="21"/>
                <w:szCs w:val="21"/>
                <w:lang w:eastAsia="zh-CN"/>
              </w:rPr>
              <w:t>、</w:t>
            </w:r>
            <w:r>
              <w:rPr>
                <w:rFonts w:hint="eastAsia"/>
                <w:sz w:val="21"/>
                <w:szCs w:val="21"/>
              </w:rPr>
              <w:t>废包装</w:t>
            </w:r>
            <w:r>
              <w:rPr>
                <w:rFonts w:hint="eastAsia"/>
                <w:sz w:val="21"/>
                <w:szCs w:val="21"/>
                <w:lang w:eastAsia="zh-CN"/>
              </w:rPr>
              <w:t>、</w:t>
            </w:r>
            <w:r>
              <w:rPr>
                <w:rFonts w:hint="eastAsia"/>
                <w:sz w:val="21"/>
                <w:szCs w:val="21"/>
              </w:rPr>
              <w:t>废活性炭</w:t>
            </w:r>
            <w:r>
              <w:rPr>
                <w:sz w:val="21"/>
                <w:szCs w:val="21"/>
              </w:rPr>
              <w:t>设置的专用容器收集，设置1间</w:t>
            </w:r>
            <w:r>
              <w:rPr>
                <w:rFonts w:hint="eastAsia"/>
                <w:sz w:val="21"/>
                <w:szCs w:val="21"/>
                <w:lang w:val="en-US" w:eastAsia="zh-CN"/>
              </w:rPr>
              <w:t>60</w:t>
            </w:r>
            <w:r>
              <w:rPr>
                <w:sz w:val="21"/>
                <w:szCs w:val="21"/>
              </w:rPr>
              <w:t>m</w:t>
            </w:r>
            <w:r>
              <w:rPr>
                <w:sz w:val="21"/>
                <w:szCs w:val="21"/>
                <w:vertAlign w:val="superscript"/>
              </w:rPr>
              <w:t>2</w:t>
            </w:r>
            <w:r>
              <w:rPr>
                <w:rFonts w:hint="eastAsia"/>
                <w:sz w:val="21"/>
                <w:szCs w:val="21"/>
                <w:lang w:eastAsia="zh-CN"/>
              </w:rPr>
              <w:t>危废贮存库</w:t>
            </w:r>
            <w:r>
              <w:rPr>
                <w:sz w:val="21"/>
                <w:szCs w:val="21"/>
              </w:rPr>
              <w:t>进行暂存，委托有资质单位清运处置；</w:t>
            </w:r>
            <w:r>
              <w:rPr>
                <w:rFonts w:hint="eastAsia"/>
                <w:sz w:val="21"/>
                <w:szCs w:val="21"/>
                <w:lang w:eastAsia="zh-CN"/>
              </w:rPr>
              <w:t>危废贮存库</w:t>
            </w:r>
            <w:r>
              <w:rPr>
                <w:sz w:val="21"/>
                <w:szCs w:val="21"/>
              </w:rPr>
              <w:t>地面采取防渗、防漏及防扬散措施，并设立标志，建立台账、转移联单等，加强废机油管理。</w:t>
            </w:r>
          </w:p>
        </w:tc>
      </w:tr>
      <w:tr w14:paraId="33E8D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54" w:type="dxa"/>
            <w:vAlign w:val="center"/>
          </w:tcPr>
          <w:p w14:paraId="181552A3">
            <w:pPr>
              <w:pStyle w:val="42"/>
              <w:rPr>
                <w:sz w:val="21"/>
                <w:szCs w:val="21"/>
              </w:rPr>
            </w:pPr>
            <w:r>
              <w:rPr>
                <w:sz w:val="21"/>
                <w:szCs w:val="21"/>
              </w:rPr>
              <w:t>土壤及地下水污染防治措施</w:t>
            </w:r>
          </w:p>
        </w:tc>
        <w:tc>
          <w:tcPr>
            <w:tcW w:w="7546" w:type="dxa"/>
            <w:gridSpan w:val="5"/>
            <w:vAlign w:val="center"/>
          </w:tcPr>
          <w:p w14:paraId="4C631411">
            <w:pPr>
              <w:pStyle w:val="42"/>
              <w:jc w:val="left"/>
              <w:rPr>
                <w:sz w:val="21"/>
                <w:szCs w:val="21"/>
              </w:rPr>
            </w:pPr>
            <w:r>
              <w:rPr>
                <w:sz w:val="21"/>
                <w:szCs w:val="21"/>
              </w:rPr>
              <w:t>重点防渗区：</w:t>
            </w:r>
            <w:r>
              <w:rPr>
                <w:rFonts w:hint="eastAsia"/>
                <w:sz w:val="21"/>
                <w:szCs w:val="21"/>
                <w:lang w:eastAsia="zh-CN"/>
              </w:rPr>
              <w:t>危废贮存库</w:t>
            </w:r>
            <w:r>
              <w:rPr>
                <w:sz w:val="21"/>
                <w:szCs w:val="21"/>
              </w:rPr>
              <w:t>为重点防渗区。</w:t>
            </w:r>
          </w:p>
          <w:p w14:paraId="570C8F78">
            <w:pPr>
              <w:pStyle w:val="42"/>
              <w:jc w:val="left"/>
              <w:rPr>
                <w:rFonts w:hint="eastAsia" w:eastAsia="宋体"/>
                <w:sz w:val="21"/>
                <w:szCs w:val="21"/>
                <w:lang w:eastAsia="zh-CN"/>
              </w:rPr>
            </w:pPr>
            <w:r>
              <w:rPr>
                <w:sz w:val="21"/>
                <w:szCs w:val="21"/>
              </w:rPr>
              <w:t>环评建议</w:t>
            </w:r>
            <w:r>
              <w:rPr>
                <w:rFonts w:hint="eastAsia"/>
                <w:sz w:val="21"/>
                <w:szCs w:val="21"/>
                <w:lang w:eastAsia="zh-CN"/>
              </w:rPr>
              <w:t>危废贮存库</w:t>
            </w:r>
            <w:r>
              <w:rPr>
                <w:sz w:val="21"/>
                <w:szCs w:val="21"/>
              </w:rPr>
              <w:t>采用2mm厚HDPE膜+20cm厚P8等级抗渗混凝土，其他区域进行一般地面硬化</w:t>
            </w:r>
            <w:r>
              <w:rPr>
                <w:rFonts w:hint="eastAsia"/>
                <w:sz w:val="21"/>
                <w:szCs w:val="21"/>
                <w:lang w:eastAsia="zh-CN"/>
              </w:rPr>
              <w:t>。</w:t>
            </w:r>
          </w:p>
        </w:tc>
      </w:tr>
      <w:tr w14:paraId="29CA7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54" w:type="dxa"/>
            <w:vAlign w:val="center"/>
          </w:tcPr>
          <w:p w14:paraId="277A3D15">
            <w:pPr>
              <w:pStyle w:val="42"/>
              <w:rPr>
                <w:sz w:val="21"/>
                <w:szCs w:val="21"/>
              </w:rPr>
            </w:pPr>
            <w:r>
              <w:rPr>
                <w:sz w:val="21"/>
                <w:szCs w:val="21"/>
              </w:rPr>
              <w:t>生态保护措施</w:t>
            </w:r>
          </w:p>
        </w:tc>
        <w:tc>
          <w:tcPr>
            <w:tcW w:w="7546" w:type="dxa"/>
            <w:gridSpan w:val="5"/>
            <w:vAlign w:val="center"/>
          </w:tcPr>
          <w:p w14:paraId="12CFA44D">
            <w:pPr>
              <w:pStyle w:val="42"/>
              <w:jc w:val="left"/>
              <w:rPr>
                <w:sz w:val="21"/>
                <w:szCs w:val="21"/>
              </w:rPr>
            </w:pPr>
            <w:r>
              <w:rPr>
                <w:sz w:val="21"/>
                <w:szCs w:val="21"/>
              </w:rPr>
              <w:t>/</w:t>
            </w:r>
          </w:p>
        </w:tc>
      </w:tr>
      <w:tr w14:paraId="43F0E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254" w:type="dxa"/>
            <w:vAlign w:val="center"/>
          </w:tcPr>
          <w:p w14:paraId="62D27818">
            <w:pPr>
              <w:pStyle w:val="42"/>
              <w:rPr>
                <w:spacing w:val="-8"/>
                <w:sz w:val="21"/>
                <w:szCs w:val="21"/>
              </w:rPr>
            </w:pPr>
            <w:r>
              <w:rPr>
                <w:spacing w:val="-8"/>
                <w:sz w:val="21"/>
                <w:szCs w:val="21"/>
              </w:rPr>
              <w:t>环境风险防范措施</w:t>
            </w:r>
          </w:p>
        </w:tc>
        <w:tc>
          <w:tcPr>
            <w:tcW w:w="7546" w:type="dxa"/>
            <w:gridSpan w:val="5"/>
            <w:vAlign w:val="center"/>
          </w:tcPr>
          <w:p w14:paraId="44937F16">
            <w:pPr>
              <w:pStyle w:val="42"/>
              <w:jc w:val="left"/>
              <w:rPr>
                <w:sz w:val="21"/>
                <w:szCs w:val="21"/>
              </w:rPr>
            </w:pPr>
            <w:r>
              <w:rPr>
                <w:sz w:val="21"/>
                <w:szCs w:val="21"/>
              </w:rPr>
              <w:t>保持足够的防火距离，加强可燃物的管理，加强用火管理，加强电源管理，合理配备消防设施；</w:t>
            </w:r>
            <w:r>
              <w:rPr>
                <w:rFonts w:hint="eastAsia"/>
                <w:sz w:val="21"/>
                <w:szCs w:val="21"/>
                <w:lang w:eastAsia="zh-CN"/>
              </w:rPr>
              <w:t>危废贮存库</w:t>
            </w:r>
            <w:r>
              <w:rPr>
                <w:sz w:val="21"/>
                <w:szCs w:val="21"/>
              </w:rPr>
              <w:t>严格按规范进行建设；编制突发环境事件应急预案并报生态环境主管部门备案，并定期演练。</w:t>
            </w:r>
          </w:p>
        </w:tc>
      </w:tr>
      <w:tr w14:paraId="679C8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254" w:type="dxa"/>
            <w:vAlign w:val="center"/>
          </w:tcPr>
          <w:p w14:paraId="3B417D6F">
            <w:pPr>
              <w:pStyle w:val="42"/>
              <w:rPr>
                <w:spacing w:val="-8"/>
                <w:sz w:val="21"/>
                <w:szCs w:val="21"/>
              </w:rPr>
            </w:pPr>
            <w:r>
              <w:rPr>
                <w:spacing w:val="-8"/>
                <w:sz w:val="21"/>
                <w:szCs w:val="21"/>
              </w:rPr>
              <w:t>其他环境管理要求</w:t>
            </w:r>
          </w:p>
        </w:tc>
        <w:tc>
          <w:tcPr>
            <w:tcW w:w="7546" w:type="dxa"/>
            <w:gridSpan w:val="5"/>
            <w:vAlign w:val="center"/>
          </w:tcPr>
          <w:p w14:paraId="793F1734">
            <w:pPr>
              <w:pStyle w:val="42"/>
              <w:jc w:val="left"/>
              <w:rPr>
                <w:sz w:val="21"/>
                <w:szCs w:val="21"/>
              </w:rPr>
            </w:pPr>
            <w:r>
              <w:rPr>
                <w:sz w:val="21"/>
                <w:szCs w:val="21"/>
              </w:rPr>
              <w:t>1、要求建设单位严格按报告表提出的污染治理设施及环保对策措施逐项实施，做到达标排放，并满足当地环境质量及总量控制要求。项目建成后，应及时开展竣工环境保护验收。</w:t>
            </w:r>
          </w:p>
          <w:p w14:paraId="2D885C0E">
            <w:pPr>
              <w:pStyle w:val="42"/>
              <w:jc w:val="left"/>
              <w:rPr>
                <w:sz w:val="21"/>
                <w:szCs w:val="21"/>
              </w:rPr>
            </w:pPr>
            <w:r>
              <w:rPr>
                <w:sz w:val="21"/>
                <w:szCs w:val="21"/>
              </w:rPr>
              <w:t>2、加强环境监测与管理。建设单位应设专人负责环境保护工作，负责厂区监测与管理：一是确保污染防治设施持续、正常运行，达标排放；二是接受当地生态环境局的监督和管理，若出现环保问题，及时报告、处理，避免污染物事故性排放。</w:t>
            </w:r>
          </w:p>
        </w:tc>
      </w:tr>
    </w:tbl>
    <w:p w14:paraId="64C9FCBC">
      <w:pPr>
        <w:pStyle w:val="15"/>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42AD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785398A3">
            <w:pPr>
              <w:pStyle w:val="45"/>
              <w:ind w:firstLine="420"/>
              <w:rPr>
                <w:rFonts w:ascii="Times New Roman" w:hAnsi="Times New Roman" w:cs="Times New Roman"/>
              </w:rPr>
            </w:pPr>
            <w:r>
              <w:rPr>
                <w:rFonts w:ascii="Times New Roman" w:hAnsi="Times New Roman" w:cs="Times New Roman"/>
              </w:rPr>
              <w:t>本项目的建设符合国家产业政策以及</w:t>
            </w:r>
            <w:r>
              <w:rPr>
                <w:rFonts w:hint="eastAsia"/>
                <w:szCs w:val="21"/>
                <w:lang w:val="en-US" w:eastAsia="zh-CN"/>
              </w:rPr>
              <w:t>胡杨河经济技术开发区</w:t>
            </w:r>
            <w:r>
              <w:rPr>
                <w:rFonts w:ascii="Times New Roman" w:hAnsi="Times New Roman" w:cs="Times New Roman"/>
              </w:rPr>
              <w:t>规划要求，选址符合当地总体规划，贯彻了“清洁生产、总量控制和达标排放”的原则。本项目确保在</w:t>
            </w:r>
            <w:r>
              <w:rPr>
                <w:rFonts w:hint="eastAsia" w:ascii="Times New Roman" w:hAnsi="Times New Roman" w:cs="Times New Roman"/>
              </w:rPr>
              <w:t>运营</w:t>
            </w:r>
            <w:r>
              <w:rPr>
                <w:rFonts w:ascii="Times New Roman" w:hAnsi="Times New Roman" w:cs="Times New Roman"/>
              </w:rPr>
              <w:t>期严格按照本报告表中所提出的污染防治对策</w:t>
            </w:r>
            <w:r>
              <w:rPr>
                <w:rFonts w:hint="eastAsia" w:ascii="Times New Roman" w:hAnsi="Times New Roman" w:cs="Times New Roman"/>
                <w:lang w:eastAsia="zh-CN"/>
              </w:rPr>
              <w:t>，在</w:t>
            </w:r>
            <w:r>
              <w:rPr>
                <w:rFonts w:ascii="Times New Roman" w:hAnsi="Times New Roman" w:cs="Times New Roman"/>
              </w:rPr>
              <w:t>加强内部环境管理</w:t>
            </w:r>
            <w:r>
              <w:rPr>
                <w:rFonts w:hint="eastAsia" w:ascii="Times New Roman" w:hAnsi="Times New Roman" w:cs="Times New Roman"/>
                <w:lang w:eastAsia="zh-CN"/>
              </w:rPr>
              <w:t>，在</w:t>
            </w:r>
            <w:r>
              <w:rPr>
                <w:rFonts w:ascii="Times New Roman" w:hAnsi="Times New Roman" w:cs="Times New Roman"/>
              </w:rPr>
              <w:t>实现环境保护措施的有效运行的前提下，严格执行“三同时”制度，从环境影响的角度来看，本项目在</w:t>
            </w:r>
            <w:r>
              <w:rPr>
                <w:rFonts w:hint="eastAsia"/>
                <w:szCs w:val="21"/>
                <w:lang w:val="en-US" w:eastAsia="zh-CN"/>
              </w:rPr>
              <w:t>胡杨河经济技术开发区西环路以东、高泉西路以北</w:t>
            </w:r>
            <w:r>
              <w:rPr>
                <w:rFonts w:ascii="Times New Roman" w:hAnsi="Times New Roman" w:cs="Times New Roman"/>
              </w:rPr>
              <w:t>的建设是可行的。</w:t>
            </w:r>
          </w:p>
          <w:p w14:paraId="13DB1397">
            <w:pPr>
              <w:pStyle w:val="45"/>
              <w:ind w:firstLine="420"/>
              <w:rPr>
                <w:rFonts w:ascii="Times New Roman" w:hAnsi="Times New Roman" w:cs="Times New Roman"/>
              </w:rPr>
            </w:pPr>
          </w:p>
          <w:p w14:paraId="62394642">
            <w:pPr>
              <w:pStyle w:val="45"/>
              <w:ind w:firstLine="420"/>
              <w:rPr>
                <w:rFonts w:ascii="Times New Roman" w:hAnsi="Times New Roman" w:cs="Times New Roman"/>
              </w:rPr>
            </w:pPr>
          </w:p>
          <w:p w14:paraId="6DD5856B">
            <w:pPr>
              <w:pStyle w:val="45"/>
              <w:ind w:firstLine="420"/>
              <w:rPr>
                <w:rFonts w:ascii="Times New Roman" w:hAnsi="Times New Roman" w:cs="Times New Roman"/>
              </w:rPr>
            </w:pPr>
          </w:p>
          <w:p w14:paraId="23558065">
            <w:pPr>
              <w:pStyle w:val="45"/>
              <w:ind w:firstLine="420"/>
              <w:rPr>
                <w:rFonts w:ascii="Times New Roman" w:hAnsi="Times New Roman" w:cs="Times New Roman"/>
              </w:rPr>
            </w:pPr>
          </w:p>
          <w:p w14:paraId="583D8299">
            <w:pPr>
              <w:pStyle w:val="45"/>
              <w:ind w:firstLine="420"/>
              <w:rPr>
                <w:rFonts w:ascii="Times New Roman" w:hAnsi="Times New Roman" w:cs="Times New Roman"/>
              </w:rPr>
            </w:pPr>
          </w:p>
          <w:p w14:paraId="21AF2C76">
            <w:pPr>
              <w:pStyle w:val="45"/>
              <w:ind w:firstLine="420"/>
              <w:rPr>
                <w:rFonts w:ascii="Times New Roman" w:hAnsi="Times New Roman" w:cs="Times New Roman"/>
              </w:rPr>
            </w:pPr>
          </w:p>
          <w:p w14:paraId="5695C477">
            <w:pPr>
              <w:pStyle w:val="45"/>
              <w:ind w:firstLine="420"/>
              <w:rPr>
                <w:rFonts w:ascii="Times New Roman" w:hAnsi="Times New Roman" w:cs="Times New Roman"/>
              </w:rPr>
            </w:pPr>
          </w:p>
          <w:p w14:paraId="0B9E5DC6">
            <w:pPr>
              <w:pStyle w:val="45"/>
              <w:ind w:firstLine="420"/>
              <w:rPr>
                <w:rFonts w:ascii="Times New Roman" w:hAnsi="Times New Roman" w:cs="Times New Roman"/>
              </w:rPr>
            </w:pPr>
          </w:p>
          <w:p w14:paraId="7A1E9131">
            <w:pPr>
              <w:pStyle w:val="45"/>
              <w:ind w:firstLine="420"/>
              <w:rPr>
                <w:rFonts w:ascii="Times New Roman" w:hAnsi="Times New Roman" w:cs="Times New Roman"/>
              </w:rPr>
            </w:pPr>
          </w:p>
          <w:p w14:paraId="30A3EE61">
            <w:pPr>
              <w:pStyle w:val="45"/>
              <w:ind w:firstLine="420"/>
              <w:rPr>
                <w:rFonts w:ascii="Times New Roman" w:hAnsi="Times New Roman" w:cs="Times New Roman"/>
              </w:rPr>
            </w:pPr>
          </w:p>
          <w:p w14:paraId="0725C8D4">
            <w:pPr>
              <w:pStyle w:val="45"/>
              <w:ind w:firstLine="420"/>
              <w:rPr>
                <w:rFonts w:ascii="Times New Roman" w:hAnsi="Times New Roman" w:cs="Times New Roman"/>
              </w:rPr>
            </w:pPr>
          </w:p>
          <w:p w14:paraId="08BD46E3">
            <w:pPr>
              <w:pStyle w:val="45"/>
              <w:ind w:firstLine="420"/>
              <w:rPr>
                <w:rFonts w:ascii="Times New Roman" w:hAnsi="Times New Roman" w:cs="Times New Roman"/>
              </w:rPr>
            </w:pPr>
          </w:p>
          <w:p w14:paraId="01B52F95">
            <w:pPr>
              <w:pStyle w:val="45"/>
              <w:ind w:firstLine="420"/>
              <w:rPr>
                <w:rFonts w:ascii="Times New Roman" w:hAnsi="Times New Roman" w:cs="Times New Roman"/>
              </w:rPr>
            </w:pPr>
          </w:p>
          <w:p w14:paraId="68E25A86">
            <w:pPr>
              <w:pStyle w:val="45"/>
              <w:ind w:firstLine="420"/>
              <w:rPr>
                <w:rFonts w:ascii="Times New Roman" w:hAnsi="Times New Roman" w:cs="Times New Roman"/>
              </w:rPr>
            </w:pPr>
          </w:p>
          <w:p w14:paraId="6D08DA8C">
            <w:pPr>
              <w:pStyle w:val="45"/>
              <w:ind w:firstLine="420"/>
              <w:rPr>
                <w:rFonts w:ascii="Times New Roman" w:hAnsi="Times New Roman" w:cs="Times New Roman"/>
              </w:rPr>
            </w:pPr>
          </w:p>
          <w:p w14:paraId="1C2043E3">
            <w:pPr>
              <w:pStyle w:val="45"/>
              <w:ind w:firstLine="420"/>
              <w:rPr>
                <w:rFonts w:ascii="Times New Roman" w:hAnsi="Times New Roman" w:cs="Times New Roman"/>
              </w:rPr>
            </w:pPr>
          </w:p>
          <w:p w14:paraId="626C5A5C">
            <w:pPr>
              <w:pStyle w:val="45"/>
              <w:ind w:firstLine="420"/>
              <w:rPr>
                <w:rFonts w:ascii="Times New Roman" w:hAnsi="Times New Roman" w:cs="Times New Roman"/>
              </w:rPr>
            </w:pPr>
          </w:p>
          <w:p w14:paraId="63C19530">
            <w:pPr>
              <w:pStyle w:val="45"/>
              <w:ind w:firstLine="420"/>
              <w:rPr>
                <w:rFonts w:ascii="Times New Roman" w:hAnsi="Times New Roman" w:cs="Times New Roman"/>
              </w:rPr>
            </w:pPr>
          </w:p>
          <w:p w14:paraId="4087C357">
            <w:pPr>
              <w:pStyle w:val="45"/>
              <w:ind w:firstLine="420"/>
              <w:rPr>
                <w:rFonts w:ascii="Times New Roman" w:hAnsi="Times New Roman" w:cs="Times New Roman"/>
              </w:rPr>
            </w:pPr>
          </w:p>
          <w:p w14:paraId="31C3345E">
            <w:pPr>
              <w:pStyle w:val="45"/>
              <w:ind w:firstLine="420"/>
              <w:rPr>
                <w:rFonts w:ascii="Times New Roman" w:hAnsi="Times New Roman" w:cs="Times New Roman"/>
              </w:rPr>
            </w:pPr>
          </w:p>
          <w:p w14:paraId="6400BB06">
            <w:pPr>
              <w:pStyle w:val="45"/>
              <w:ind w:firstLine="420"/>
              <w:rPr>
                <w:rFonts w:ascii="Times New Roman" w:hAnsi="Times New Roman" w:cs="Times New Roman"/>
              </w:rPr>
            </w:pPr>
          </w:p>
          <w:p w14:paraId="09C01F72">
            <w:pPr>
              <w:pStyle w:val="45"/>
              <w:ind w:firstLine="420"/>
              <w:rPr>
                <w:rFonts w:ascii="Times New Roman" w:hAnsi="Times New Roman" w:cs="Times New Roman"/>
              </w:rPr>
            </w:pPr>
          </w:p>
          <w:p w14:paraId="5FF17E24">
            <w:pPr>
              <w:pStyle w:val="45"/>
              <w:ind w:firstLine="420"/>
              <w:rPr>
                <w:rFonts w:ascii="Times New Roman" w:hAnsi="Times New Roman" w:cs="Times New Roman"/>
              </w:rPr>
            </w:pPr>
          </w:p>
          <w:p w14:paraId="77E0D197">
            <w:pPr>
              <w:pStyle w:val="45"/>
              <w:ind w:firstLine="420"/>
              <w:rPr>
                <w:rFonts w:ascii="Times New Roman" w:hAnsi="Times New Roman" w:cs="Times New Roman"/>
              </w:rPr>
            </w:pPr>
          </w:p>
          <w:p w14:paraId="28F30C81">
            <w:pPr>
              <w:pStyle w:val="45"/>
              <w:ind w:firstLine="420"/>
              <w:rPr>
                <w:rFonts w:ascii="Times New Roman" w:hAnsi="Times New Roman" w:cs="Times New Roman"/>
              </w:rPr>
            </w:pPr>
          </w:p>
          <w:p w14:paraId="6BB27A80">
            <w:pPr>
              <w:pStyle w:val="45"/>
              <w:ind w:firstLine="420"/>
              <w:rPr>
                <w:rFonts w:ascii="Times New Roman" w:hAnsi="Times New Roman" w:cs="Times New Roman"/>
              </w:rPr>
            </w:pPr>
          </w:p>
          <w:p w14:paraId="4BF75C74">
            <w:pPr>
              <w:pStyle w:val="45"/>
              <w:ind w:firstLine="420"/>
              <w:rPr>
                <w:rFonts w:ascii="Times New Roman" w:hAnsi="Times New Roman" w:cs="Times New Roman"/>
              </w:rPr>
            </w:pPr>
          </w:p>
        </w:tc>
      </w:tr>
    </w:tbl>
    <w:p w14:paraId="593E14CF">
      <w:pPr>
        <w:sectPr>
          <w:pgSz w:w="11906" w:h="16838"/>
          <w:pgMar w:top="1701" w:right="1531" w:bottom="1701" w:left="1531" w:header="851" w:footer="851" w:gutter="0"/>
          <w:cols w:space="720" w:num="1"/>
          <w:docGrid w:linePitch="312" w:charSpace="0"/>
        </w:sectPr>
      </w:pPr>
    </w:p>
    <w:p w14:paraId="38F8CC4D">
      <w:pPr>
        <w:pStyle w:val="15"/>
        <w:adjustRightInd w:val="0"/>
        <w:snapToGrid w:val="0"/>
        <w:spacing w:before="0" w:beforeAutospacing="0" w:after="0" w:afterAutospacing="0" w:line="648" w:lineRule="auto"/>
        <w:outlineLvl w:val="0"/>
        <w:rPr>
          <w:rFonts w:ascii="Times New Roman" w:hAnsi="Times New Roman"/>
          <w:snapToGrid w:val="0"/>
          <w:sz w:val="32"/>
          <w:szCs w:val="32"/>
        </w:rPr>
      </w:pPr>
      <w:r>
        <w:rPr>
          <w:rFonts w:ascii="Times New Roman" w:hAnsi="Times New Roman"/>
          <w:snapToGrid w:val="0"/>
          <w:sz w:val="32"/>
          <w:szCs w:val="32"/>
        </w:rPr>
        <w:t>附表</w:t>
      </w:r>
    </w:p>
    <w:p w14:paraId="2C3A45FF">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161"/>
        <w:gridCol w:w="1655"/>
        <w:gridCol w:w="1276"/>
        <w:gridCol w:w="1701"/>
        <w:gridCol w:w="1559"/>
        <w:gridCol w:w="1761"/>
        <w:gridCol w:w="1641"/>
        <w:gridCol w:w="1144"/>
      </w:tblGrid>
      <w:tr w14:paraId="76D12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tcBorders>
              <w:tl2br w:val="single" w:color="auto" w:sz="4" w:space="0"/>
            </w:tcBorders>
            <w:tcMar>
              <w:left w:w="28" w:type="dxa"/>
              <w:right w:w="28" w:type="dxa"/>
            </w:tcMar>
            <w:vAlign w:val="center"/>
          </w:tcPr>
          <w:p w14:paraId="040A3C15">
            <w:pPr>
              <w:pStyle w:val="50"/>
              <w:spacing w:beforeLines="0" w:afterLines="0" w:line="240" w:lineRule="auto"/>
              <w:rPr>
                <w:rFonts w:ascii="Times New Roman"/>
                <w:snapToGrid w:val="0"/>
                <w:color w:val="auto"/>
                <w:spacing w:val="-6"/>
                <w:kern w:val="21"/>
                <w:sz w:val="18"/>
                <w:szCs w:val="18"/>
              </w:rPr>
            </w:pPr>
            <w:r>
              <w:rPr>
                <w:rFonts w:hint="eastAsia" w:ascii="Times New Roman"/>
                <w:snapToGrid w:val="0"/>
                <w:color w:val="auto"/>
                <w:spacing w:val="-6"/>
                <w:kern w:val="21"/>
                <w:sz w:val="18"/>
                <w:szCs w:val="18"/>
                <w:lang w:val="en-US" w:eastAsia="zh-CN"/>
              </w:rPr>
              <w:t xml:space="preserve">        </w:t>
            </w:r>
            <w:r>
              <w:rPr>
                <w:rFonts w:ascii="Times New Roman"/>
                <w:snapToGrid w:val="0"/>
                <w:color w:val="auto"/>
                <w:spacing w:val="-6"/>
                <w:kern w:val="21"/>
                <w:sz w:val="18"/>
                <w:szCs w:val="18"/>
              </w:rPr>
              <w:t>项目</w:t>
            </w:r>
          </w:p>
          <w:p w14:paraId="17AFA243">
            <w:pPr>
              <w:pStyle w:val="50"/>
              <w:spacing w:beforeLines="0" w:afterLines="0" w:line="240" w:lineRule="auto"/>
              <w:jc w:val="both"/>
              <w:rPr>
                <w:rFonts w:ascii="Times New Roman"/>
                <w:snapToGrid w:val="0"/>
                <w:color w:val="auto"/>
                <w:spacing w:val="-6"/>
                <w:kern w:val="21"/>
                <w:sz w:val="18"/>
                <w:szCs w:val="18"/>
              </w:rPr>
            </w:pPr>
            <w:r>
              <w:rPr>
                <w:rFonts w:ascii="Times New Roman"/>
                <w:snapToGrid w:val="0"/>
                <w:color w:val="auto"/>
                <w:spacing w:val="-6"/>
                <w:kern w:val="21"/>
                <w:sz w:val="18"/>
                <w:szCs w:val="18"/>
              </w:rPr>
              <w:t>分类</w:t>
            </w:r>
          </w:p>
        </w:tc>
        <w:tc>
          <w:tcPr>
            <w:tcW w:w="2161" w:type="dxa"/>
            <w:tcMar>
              <w:left w:w="28" w:type="dxa"/>
              <w:right w:w="28" w:type="dxa"/>
            </w:tcMar>
            <w:vAlign w:val="center"/>
          </w:tcPr>
          <w:p w14:paraId="47F09365">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污染物名称</w:t>
            </w:r>
          </w:p>
        </w:tc>
        <w:tc>
          <w:tcPr>
            <w:tcW w:w="1655" w:type="dxa"/>
            <w:tcMar>
              <w:left w:w="28" w:type="dxa"/>
              <w:right w:w="28" w:type="dxa"/>
            </w:tcMar>
            <w:vAlign w:val="center"/>
          </w:tcPr>
          <w:p w14:paraId="7353663A">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现有工程</w:t>
            </w:r>
          </w:p>
          <w:p w14:paraId="6185A56C">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排放量（固体废物产生量）</w:t>
            </w:r>
            <w:r>
              <w:rPr>
                <w:rFonts w:ascii="Times New Roman"/>
                <w:snapToGrid w:val="0"/>
                <w:color w:val="auto"/>
                <w:spacing w:val="-6"/>
                <w:kern w:val="21"/>
                <w:sz w:val="18"/>
                <w:szCs w:val="18"/>
              </w:rPr>
              <w:fldChar w:fldCharType="begin"/>
            </w:r>
            <w:r>
              <w:rPr>
                <w:rFonts w:ascii="Times New Roman"/>
                <w:snapToGrid w:val="0"/>
                <w:color w:val="auto"/>
                <w:spacing w:val="-6"/>
                <w:kern w:val="21"/>
                <w:sz w:val="18"/>
                <w:szCs w:val="18"/>
              </w:rPr>
              <w:instrText xml:space="preserve"> = 1 \* GB3 \* MERGEFORMAT </w:instrText>
            </w:r>
            <w:r>
              <w:rPr>
                <w:rFonts w:ascii="Times New Roman"/>
                <w:snapToGrid w:val="0"/>
                <w:color w:val="auto"/>
                <w:spacing w:val="-6"/>
                <w:kern w:val="21"/>
                <w:sz w:val="18"/>
                <w:szCs w:val="18"/>
              </w:rPr>
              <w:fldChar w:fldCharType="separate"/>
            </w:r>
            <w:r>
              <w:rPr>
                <w:rFonts w:hint="eastAsia" w:hAnsi="宋体" w:cs="宋体"/>
                <w:color w:val="auto"/>
                <w:kern w:val="2"/>
                <w:sz w:val="18"/>
                <w:szCs w:val="18"/>
              </w:rPr>
              <w:t>①</w:t>
            </w:r>
            <w:r>
              <w:rPr>
                <w:rFonts w:ascii="Times New Roman"/>
                <w:snapToGrid w:val="0"/>
                <w:color w:val="auto"/>
                <w:spacing w:val="-6"/>
                <w:kern w:val="21"/>
                <w:sz w:val="18"/>
                <w:szCs w:val="18"/>
              </w:rPr>
              <w:fldChar w:fldCharType="end"/>
            </w:r>
          </w:p>
        </w:tc>
        <w:tc>
          <w:tcPr>
            <w:tcW w:w="1276" w:type="dxa"/>
            <w:tcMar>
              <w:left w:w="28" w:type="dxa"/>
              <w:right w:w="28" w:type="dxa"/>
            </w:tcMar>
            <w:vAlign w:val="center"/>
          </w:tcPr>
          <w:p w14:paraId="5F27FEDE">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现有工程</w:t>
            </w:r>
          </w:p>
          <w:p w14:paraId="1C69744D">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许可排放量</w:t>
            </w:r>
          </w:p>
          <w:p w14:paraId="149F65CC">
            <w:pPr>
              <w:pStyle w:val="50"/>
              <w:spacing w:beforeLines="0" w:afterLines="0"/>
              <w:rPr>
                <w:rFonts w:ascii="Times New Roman"/>
                <w:snapToGrid w:val="0"/>
                <w:color w:val="auto"/>
                <w:spacing w:val="-6"/>
                <w:kern w:val="21"/>
                <w:sz w:val="18"/>
                <w:szCs w:val="18"/>
              </w:rPr>
            </w:pPr>
            <w:r>
              <w:rPr>
                <w:rFonts w:ascii="Times New Roman"/>
                <w:snapToGrid w:val="0"/>
                <w:color w:val="auto"/>
                <w:spacing w:val="-6"/>
                <w:kern w:val="21"/>
                <w:sz w:val="18"/>
                <w:szCs w:val="18"/>
              </w:rPr>
              <w:fldChar w:fldCharType="begin"/>
            </w:r>
            <w:r>
              <w:rPr>
                <w:rFonts w:ascii="Times New Roman"/>
                <w:snapToGrid w:val="0"/>
                <w:color w:val="auto"/>
                <w:spacing w:val="-6"/>
                <w:kern w:val="21"/>
                <w:sz w:val="18"/>
                <w:szCs w:val="18"/>
              </w:rPr>
              <w:instrText xml:space="preserve"> = 2 \* GB3 \* MERGEFORMAT </w:instrText>
            </w:r>
            <w:r>
              <w:rPr>
                <w:rFonts w:ascii="Times New Roman"/>
                <w:snapToGrid w:val="0"/>
                <w:color w:val="auto"/>
                <w:spacing w:val="-6"/>
                <w:kern w:val="21"/>
                <w:sz w:val="18"/>
                <w:szCs w:val="18"/>
              </w:rPr>
              <w:fldChar w:fldCharType="separate"/>
            </w:r>
            <w:r>
              <w:rPr>
                <w:rFonts w:hint="eastAsia" w:hAnsi="宋体" w:cs="宋体"/>
                <w:snapToGrid w:val="0"/>
                <w:color w:val="auto"/>
                <w:spacing w:val="-6"/>
                <w:kern w:val="21"/>
                <w:sz w:val="18"/>
                <w:szCs w:val="18"/>
              </w:rPr>
              <w:t>②</w:t>
            </w:r>
            <w:r>
              <w:rPr>
                <w:rFonts w:ascii="Times New Roman"/>
                <w:snapToGrid w:val="0"/>
                <w:color w:val="auto"/>
                <w:spacing w:val="-6"/>
                <w:kern w:val="21"/>
                <w:sz w:val="18"/>
                <w:szCs w:val="18"/>
              </w:rPr>
              <w:fldChar w:fldCharType="end"/>
            </w:r>
          </w:p>
        </w:tc>
        <w:tc>
          <w:tcPr>
            <w:tcW w:w="1701" w:type="dxa"/>
            <w:tcMar>
              <w:left w:w="28" w:type="dxa"/>
              <w:right w:w="28" w:type="dxa"/>
            </w:tcMar>
            <w:vAlign w:val="center"/>
          </w:tcPr>
          <w:p w14:paraId="421102F3">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在建工程</w:t>
            </w:r>
          </w:p>
          <w:p w14:paraId="21AAF4D4">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排放量（固体废物产生量）</w:t>
            </w:r>
            <w:r>
              <w:rPr>
                <w:rFonts w:ascii="Times New Roman"/>
                <w:snapToGrid w:val="0"/>
                <w:color w:val="auto"/>
                <w:spacing w:val="-6"/>
                <w:kern w:val="21"/>
                <w:sz w:val="18"/>
                <w:szCs w:val="18"/>
              </w:rPr>
              <w:fldChar w:fldCharType="begin"/>
            </w:r>
            <w:r>
              <w:rPr>
                <w:rFonts w:ascii="Times New Roman"/>
                <w:snapToGrid w:val="0"/>
                <w:color w:val="auto"/>
                <w:spacing w:val="-6"/>
                <w:kern w:val="21"/>
                <w:sz w:val="18"/>
                <w:szCs w:val="18"/>
              </w:rPr>
              <w:instrText xml:space="preserve"> = 3 \* GB3 \* MERGEFORMAT </w:instrText>
            </w:r>
            <w:r>
              <w:rPr>
                <w:rFonts w:ascii="Times New Roman"/>
                <w:snapToGrid w:val="0"/>
                <w:color w:val="auto"/>
                <w:spacing w:val="-6"/>
                <w:kern w:val="21"/>
                <w:sz w:val="18"/>
                <w:szCs w:val="18"/>
              </w:rPr>
              <w:fldChar w:fldCharType="separate"/>
            </w:r>
            <w:r>
              <w:rPr>
                <w:rFonts w:hint="eastAsia" w:hAnsi="宋体" w:cs="宋体"/>
                <w:color w:val="auto"/>
                <w:kern w:val="2"/>
                <w:sz w:val="18"/>
                <w:szCs w:val="18"/>
              </w:rPr>
              <w:t>③</w:t>
            </w:r>
            <w:r>
              <w:rPr>
                <w:rFonts w:ascii="Times New Roman"/>
                <w:snapToGrid w:val="0"/>
                <w:color w:val="auto"/>
                <w:spacing w:val="-6"/>
                <w:kern w:val="21"/>
                <w:sz w:val="18"/>
                <w:szCs w:val="18"/>
              </w:rPr>
              <w:fldChar w:fldCharType="end"/>
            </w:r>
          </w:p>
        </w:tc>
        <w:tc>
          <w:tcPr>
            <w:tcW w:w="1559" w:type="dxa"/>
            <w:tcMar>
              <w:left w:w="28" w:type="dxa"/>
              <w:right w:w="28" w:type="dxa"/>
            </w:tcMar>
            <w:vAlign w:val="center"/>
          </w:tcPr>
          <w:p w14:paraId="367F269C">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本项目</w:t>
            </w:r>
          </w:p>
          <w:p w14:paraId="46F8EDFC">
            <w:pPr>
              <w:pStyle w:val="50"/>
              <w:spacing w:beforeLines="0" w:afterLines="0" w:line="240" w:lineRule="auto"/>
              <w:rPr>
                <w:rFonts w:ascii="Times New Roman"/>
                <w:snapToGrid w:val="0"/>
                <w:color w:val="auto"/>
                <w:spacing w:val="-6"/>
                <w:kern w:val="21"/>
                <w:sz w:val="18"/>
                <w:szCs w:val="18"/>
              </w:rPr>
            </w:pPr>
            <w:r>
              <w:rPr>
                <w:rFonts w:ascii="Times New Roman"/>
                <w:snapToGrid w:val="0"/>
                <w:color w:val="auto"/>
                <w:spacing w:val="-6"/>
                <w:kern w:val="21"/>
                <w:sz w:val="18"/>
                <w:szCs w:val="18"/>
              </w:rPr>
              <w:t>排放量（固体废物产生量）</w:t>
            </w:r>
            <w:r>
              <w:rPr>
                <w:rFonts w:ascii="Times New Roman"/>
                <w:snapToGrid w:val="0"/>
                <w:color w:val="auto"/>
                <w:spacing w:val="-6"/>
                <w:kern w:val="21"/>
                <w:sz w:val="18"/>
                <w:szCs w:val="18"/>
              </w:rPr>
              <w:fldChar w:fldCharType="begin"/>
            </w:r>
            <w:r>
              <w:rPr>
                <w:rFonts w:ascii="Times New Roman"/>
                <w:snapToGrid w:val="0"/>
                <w:color w:val="auto"/>
                <w:spacing w:val="-6"/>
                <w:kern w:val="21"/>
                <w:sz w:val="18"/>
                <w:szCs w:val="18"/>
              </w:rPr>
              <w:instrText xml:space="preserve"> = 4 \* GB3 \* MERGEFORMAT </w:instrText>
            </w:r>
            <w:r>
              <w:rPr>
                <w:rFonts w:ascii="Times New Roman"/>
                <w:snapToGrid w:val="0"/>
                <w:color w:val="auto"/>
                <w:spacing w:val="-6"/>
                <w:kern w:val="21"/>
                <w:sz w:val="18"/>
                <w:szCs w:val="18"/>
              </w:rPr>
              <w:fldChar w:fldCharType="separate"/>
            </w:r>
            <w:r>
              <w:rPr>
                <w:rFonts w:hint="eastAsia" w:hAnsi="宋体" w:cs="宋体"/>
                <w:color w:val="auto"/>
                <w:kern w:val="2"/>
                <w:sz w:val="18"/>
                <w:szCs w:val="18"/>
              </w:rPr>
              <w:t>④</w:t>
            </w:r>
            <w:r>
              <w:rPr>
                <w:rFonts w:ascii="Times New Roman"/>
                <w:snapToGrid w:val="0"/>
                <w:color w:val="auto"/>
                <w:spacing w:val="-6"/>
                <w:kern w:val="21"/>
                <w:sz w:val="18"/>
                <w:szCs w:val="18"/>
              </w:rPr>
              <w:fldChar w:fldCharType="end"/>
            </w:r>
          </w:p>
        </w:tc>
        <w:tc>
          <w:tcPr>
            <w:tcW w:w="1761" w:type="dxa"/>
            <w:tcMar>
              <w:left w:w="28" w:type="dxa"/>
              <w:right w:w="28" w:type="dxa"/>
            </w:tcMar>
            <w:vAlign w:val="center"/>
          </w:tcPr>
          <w:p w14:paraId="56CEC90B">
            <w:pPr>
              <w:pStyle w:val="50"/>
              <w:spacing w:beforeLines="0" w:afterLines="0" w:line="240" w:lineRule="auto"/>
              <w:rPr>
                <w:rFonts w:ascii="Times New Roman"/>
                <w:snapToGrid w:val="0"/>
                <w:color w:val="auto"/>
                <w:spacing w:val="-16"/>
                <w:kern w:val="21"/>
                <w:sz w:val="18"/>
                <w:szCs w:val="18"/>
              </w:rPr>
            </w:pPr>
            <w:r>
              <w:rPr>
                <w:rFonts w:ascii="Times New Roman"/>
                <w:snapToGrid w:val="0"/>
                <w:color w:val="auto"/>
                <w:spacing w:val="-16"/>
                <w:kern w:val="21"/>
                <w:sz w:val="18"/>
                <w:szCs w:val="18"/>
              </w:rPr>
              <w:t>以新带老削减量</w:t>
            </w:r>
          </w:p>
          <w:p w14:paraId="5603856F">
            <w:pPr>
              <w:pStyle w:val="50"/>
              <w:spacing w:beforeLines="0" w:afterLines="0" w:line="240" w:lineRule="auto"/>
              <w:rPr>
                <w:rFonts w:ascii="Times New Roman"/>
                <w:snapToGrid w:val="0"/>
                <w:color w:val="auto"/>
                <w:spacing w:val="-16"/>
                <w:kern w:val="21"/>
                <w:sz w:val="18"/>
                <w:szCs w:val="18"/>
              </w:rPr>
            </w:pPr>
            <w:r>
              <w:rPr>
                <w:rFonts w:ascii="Times New Roman"/>
                <w:snapToGrid w:val="0"/>
                <w:color w:val="auto"/>
                <w:spacing w:val="-16"/>
                <w:kern w:val="21"/>
                <w:sz w:val="18"/>
                <w:szCs w:val="18"/>
              </w:rPr>
              <w:t>（新建项目不填）</w:t>
            </w:r>
            <w:r>
              <w:rPr>
                <w:rFonts w:ascii="Times New Roman"/>
                <w:snapToGrid w:val="0"/>
                <w:color w:val="auto"/>
                <w:spacing w:val="-16"/>
                <w:kern w:val="21"/>
                <w:sz w:val="18"/>
                <w:szCs w:val="18"/>
              </w:rPr>
              <w:fldChar w:fldCharType="begin"/>
            </w:r>
            <w:r>
              <w:rPr>
                <w:rFonts w:ascii="Times New Roman"/>
                <w:snapToGrid w:val="0"/>
                <w:color w:val="auto"/>
                <w:spacing w:val="-16"/>
                <w:kern w:val="21"/>
                <w:sz w:val="18"/>
                <w:szCs w:val="18"/>
              </w:rPr>
              <w:instrText xml:space="preserve"> = 5 \* GB3 \* MERGEFORMAT </w:instrText>
            </w:r>
            <w:r>
              <w:rPr>
                <w:rFonts w:ascii="Times New Roman"/>
                <w:snapToGrid w:val="0"/>
                <w:color w:val="auto"/>
                <w:spacing w:val="-16"/>
                <w:kern w:val="21"/>
                <w:sz w:val="18"/>
                <w:szCs w:val="18"/>
              </w:rPr>
              <w:fldChar w:fldCharType="separate"/>
            </w:r>
            <w:r>
              <w:rPr>
                <w:rFonts w:hint="eastAsia" w:hAnsi="宋体" w:cs="宋体"/>
                <w:color w:val="auto"/>
                <w:kern w:val="2"/>
                <w:sz w:val="18"/>
                <w:szCs w:val="18"/>
              </w:rPr>
              <w:t>⑤</w:t>
            </w:r>
            <w:r>
              <w:rPr>
                <w:rFonts w:ascii="Times New Roman"/>
                <w:snapToGrid w:val="0"/>
                <w:color w:val="auto"/>
                <w:spacing w:val="-16"/>
                <w:kern w:val="21"/>
                <w:sz w:val="18"/>
                <w:szCs w:val="18"/>
              </w:rPr>
              <w:fldChar w:fldCharType="end"/>
            </w:r>
          </w:p>
        </w:tc>
        <w:tc>
          <w:tcPr>
            <w:tcW w:w="1641" w:type="dxa"/>
            <w:tcMar>
              <w:left w:w="28" w:type="dxa"/>
              <w:right w:w="28" w:type="dxa"/>
            </w:tcMar>
            <w:vAlign w:val="center"/>
          </w:tcPr>
          <w:p w14:paraId="6022D661">
            <w:pPr>
              <w:pStyle w:val="50"/>
              <w:spacing w:beforeLines="0" w:afterLines="0" w:line="240" w:lineRule="auto"/>
              <w:rPr>
                <w:rFonts w:ascii="Times New Roman"/>
                <w:snapToGrid w:val="0"/>
                <w:color w:val="auto"/>
                <w:spacing w:val="-16"/>
                <w:kern w:val="21"/>
                <w:sz w:val="18"/>
                <w:szCs w:val="18"/>
              </w:rPr>
            </w:pPr>
            <w:r>
              <w:rPr>
                <w:rFonts w:ascii="Times New Roman"/>
                <w:snapToGrid w:val="0"/>
                <w:color w:val="auto"/>
                <w:spacing w:val="-16"/>
                <w:kern w:val="21"/>
                <w:sz w:val="18"/>
                <w:szCs w:val="18"/>
              </w:rPr>
              <w:t>本项目建成后</w:t>
            </w:r>
          </w:p>
          <w:p w14:paraId="33872606">
            <w:pPr>
              <w:pStyle w:val="50"/>
              <w:spacing w:beforeLines="0" w:afterLines="0" w:line="240" w:lineRule="auto"/>
              <w:rPr>
                <w:rFonts w:ascii="Times New Roman"/>
                <w:snapToGrid w:val="0"/>
                <w:color w:val="auto"/>
                <w:spacing w:val="-16"/>
                <w:kern w:val="21"/>
                <w:sz w:val="18"/>
                <w:szCs w:val="18"/>
              </w:rPr>
            </w:pPr>
            <w:r>
              <w:rPr>
                <w:rFonts w:ascii="Times New Roman"/>
                <w:snapToGrid w:val="0"/>
                <w:color w:val="auto"/>
                <w:spacing w:val="-16"/>
                <w:kern w:val="21"/>
                <w:sz w:val="18"/>
                <w:szCs w:val="18"/>
              </w:rPr>
              <w:t>全厂排放量（固体废物产生量）</w:t>
            </w:r>
            <w:r>
              <w:rPr>
                <w:rFonts w:ascii="Times New Roman"/>
                <w:snapToGrid w:val="0"/>
                <w:color w:val="auto"/>
                <w:spacing w:val="-16"/>
                <w:kern w:val="21"/>
                <w:sz w:val="18"/>
                <w:szCs w:val="18"/>
              </w:rPr>
              <w:fldChar w:fldCharType="begin"/>
            </w:r>
            <w:r>
              <w:rPr>
                <w:rFonts w:ascii="Times New Roman"/>
                <w:snapToGrid w:val="0"/>
                <w:color w:val="auto"/>
                <w:spacing w:val="-16"/>
                <w:kern w:val="21"/>
                <w:sz w:val="18"/>
                <w:szCs w:val="18"/>
              </w:rPr>
              <w:instrText xml:space="preserve"> = 6 \* GB3 \* MERGEFORMAT </w:instrText>
            </w:r>
            <w:r>
              <w:rPr>
                <w:rFonts w:ascii="Times New Roman"/>
                <w:snapToGrid w:val="0"/>
                <w:color w:val="auto"/>
                <w:spacing w:val="-16"/>
                <w:kern w:val="21"/>
                <w:sz w:val="18"/>
                <w:szCs w:val="18"/>
              </w:rPr>
              <w:fldChar w:fldCharType="separate"/>
            </w:r>
            <w:r>
              <w:rPr>
                <w:rFonts w:hint="eastAsia" w:hAnsi="宋体" w:cs="宋体"/>
                <w:color w:val="auto"/>
                <w:kern w:val="2"/>
                <w:sz w:val="18"/>
                <w:szCs w:val="18"/>
              </w:rPr>
              <w:t>⑥</w:t>
            </w:r>
            <w:r>
              <w:rPr>
                <w:rFonts w:ascii="Times New Roman"/>
                <w:snapToGrid w:val="0"/>
                <w:color w:val="auto"/>
                <w:spacing w:val="-16"/>
                <w:kern w:val="21"/>
                <w:sz w:val="18"/>
                <w:szCs w:val="18"/>
              </w:rPr>
              <w:fldChar w:fldCharType="end"/>
            </w:r>
          </w:p>
        </w:tc>
        <w:tc>
          <w:tcPr>
            <w:tcW w:w="1144" w:type="dxa"/>
            <w:tcMar>
              <w:left w:w="28" w:type="dxa"/>
              <w:right w:w="28" w:type="dxa"/>
            </w:tcMar>
            <w:vAlign w:val="center"/>
          </w:tcPr>
          <w:p w14:paraId="62CA8566">
            <w:pPr>
              <w:pStyle w:val="50"/>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0E6C965D">
            <w:pPr>
              <w:pStyle w:val="50"/>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kern w:val="2"/>
                <w:szCs w:val="21"/>
              </w:rPr>
              <w:t>⑦</w:t>
            </w:r>
            <w:r>
              <w:rPr>
                <w:rFonts w:ascii="Times New Roman"/>
                <w:snapToGrid w:val="0"/>
                <w:color w:val="auto"/>
                <w:spacing w:val="-6"/>
                <w:kern w:val="21"/>
                <w:szCs w:val="21"/>
              </w:rPr>
              <w:fldChar w:fldCharType="end"/>
            </w:r>
          </w:p>
        </w:tc>
      </w:tr>
      <w:tr w14:paraId="243B4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restart"/>
            <w:vAlign w:val="center"/>
          </w:tcPr>
          <w:p w14:paraId="51ECE261">
            <w:pPr>
              <w:pStyle w:val="42"/>
              <w:rPr>
                <w:color w:val="auto"/>
                <w:sz w:val="21"/>
                <w:szCs w:val="21"/>
              </w:rPr>
            </w:pPr>
            <w:r>
              <w:rPr>
                <w:color w:val="auto"/>
                <w:sz w:val="21"/>
                <w:szCs w:val="21"/>
              </w:rPr>
              <w:t>废气</w:t>
            </w:r>
          </w:p>
        </w:tc>
        <w:tc>
          <w:tcPr>
            <w:tcW w:w="2161" w:type="dxa"/>
            <w:vAlign w:val="center"/>
          </w:tcPr>
          <w:p w14:paraId="07B5846D">
            <w:pPr>
              <w:pStyle w:val="18"/>
              <w:adjustRightInd w:val="0"/>
              <w:snapToGrid w:val="0"/>
              <w:spacing w:line="240" w:lineRule="auto"/>
              <w:ind w:left="0" w:leftChars="0" w:firstLine="0" w:firstLineChars="0"/>
              <w:jc w:val="center"/>
              <w:rPr>
                <w:color w:val="auto"/>
                <w:sz w:val="21"/>
                <w:szCs w:val="21"/>
              </w:rPr>
            </w:pPr>
            <w:r>
              <w:rPr>
                <w:rFonts w:hint="eastAsia"/>
                <w:color w:val="auto"/>
              </w:rPr>
              <w:t>颗粒物</w:t>
            </w:r>
          </w:p>
        </w:tc>
        <w:tc>
          <w:tcPr>
            <w:tcW w:w="1655" w:type="dxa"/>
            <w:vAlign w:val="center"/>
          </w:tcPr>
          <w:p w14:paraId="59A5ED43">
            <w:pPr>
              <w:pStyle w:val="42"/>
              <w:rPr>
                <w:color w:val="auto"/>
                <w:sz w:val="21"/>
                <w:szCs w:val="21"/>
              </w:rPr>
            </w:pPr>
            <w:r>
              <w:rPr>
                <w:color w:val="auto"/>
                <w:sz w:val="21"/>
                <w:szCs w:val="21"/>
              </w:rPr>
              <w:t>/</w:t>
            </w:r>
          </w:p>
        </w:tc>
        <w:tc>
          <w:tcPr>
            <w:tcW w:w="1276" w:type="dxa"/>
            <w:vAlign w:val="center"/>
          </w:tcPr>
          <w:p w14:paraId="4D8C0EDD">
            <w:pPr>
              <w:pStyle w:val="42"/>
              <w:rPr>
                <w:color w:val="auto"/>
                <w:sz w:val="21"/>
                <w:szCs w:val="21"/>
              </w:rPr>
            </w:pPr>
            <w:r>
              <w:rPr>
                <w:color w:val="auto"/>
                <w:sz w:val="21"/>
                <w:szCs w:val="21"/>
              </w:rPr>
              <w:t>/</w:t>
            </w:r>
          </w:p>
        </w:tc>
        <w:tc>
          <w:tcPr>
            <w:tcW w:w="1701" w:type="dxa"/>
            <w:vAlign w:val="center"/>
          </w:tcPr>
          <w:p w14:paraId="112300DD">
            <w:pPr>
              <w:pStyle w:val="42"/>
              <w:rPr>
                <w:color w:val="auto"/>
                <w:sz w:val="21"/>
                <w:szCs w:val="21"/>
              </w:rPr>
            </w:pPr>
            <w:r>
              <w:rPr>
                <w:color w:val="auto"/>
                <w:sz w:val="21"/>
                <w:szCs w:val="21"/>
              </w:rPr>
              <w:t>/</w:t>
            </w:r>
          </w:p>
        </w:tc>
        <w:tc>
          <w:tcPr>
            <w:tcW w:w="1559" w:type="dxa"/>
            <w:vAlign w:val="center"/>
          </w:tcPr>
          <w:p w14:paraId="06E4EA31">
            <w:pPr>
              <w:pStyle w:val="18"/>
              <w:adjustRightInd w:val="0"/>
              <w:snapToGrid w:val="0"/>
              <w:spacing w:line="240" w:lineRule="auto"/>
              <w:ind w:left="0" w:leftChars="0" w:firstLine="0" w:firstLineChars="0"/>
              <w:jc w:val="center"/>
              <w:rPr>
                <w:color w:val="auto"/>
                <w:szCs w:val="21"/>
              </w:rPr>
            </w:pPr>
            <w:r>
              <w:rPr>
                <w:rFonts w:hint="eastAsia"/>
                <w:color w:val="auto"/>
                <w:lang w:val="en-US" w:eastAsia="zh-CN"/>
              </w:rPr>
              <w:t>0.4144</w:t>
            </w:r>
          </w:p>
        </w:tc>
        <w:tc>
          <w:tcPr>
            <w:tcW w:w="1761" w:type="dxa"/>
            <w:vAlign w:val="center"/>
          </w:tcPr>
          <w:p w14:paraId="16F90D5B">
            <w:pPr>
              <w:pStyle w:val="42"/>
              <w:rPr>
                <w:color w:val="auto"/>
                <w:sz w:val="21"/>
                <w:szCs w:val="21"/>
              </w:rPr>
            </w:pPr>
            <w:r>
              <w:rPr>
                <w:color w:val="auto"/>
                <w:sz w:val="21"/>
                <w:szCs w:val="21"/>
              </w:rPr>
              <w:t>/</w:t>
            </w:r>
          </w:p>
        </w:tc>
        <w:tc>
          <w:tcPr>
            <w:tcW w:w="1641" w:type="dxa"/>
            <w:vAlign w:val="center"/>
          </w:tcPr>
          <w:p w14:paraId="6B820E55">
            <w:pPr>
              <w:pStyle w:val="18"/>
              <w:adjustRightInd w:val="0"/>
              <w:snapToGrid w:val="0"/>
              <w:spacing w:line="240" w:lineRule="auto"/>
              <w:ind w:left="0" w:leftChars="0" w:firstLine="0" w:firstLineChars="0"/>
              <w:jc w:val="center"/>
              <w:rPr>
                <w:color w:val="auto"/>
                <w:szCs w:val="21"/>
              </w:rPr>
            </w:pPr>
            <w:r>
              <w:rPr>
                <w:rFonts w:hint="eastAsia"/>
                <w:color w:val="auto"/>
                <w:lang w:val="en-US" w:eastAsia="zh-CN"/>
              </w:rPr>
              <w:t>0.4144</w:t>
            </w:r>
          </w:p>
        </w:tc>
        <w:tc>
          <w:tcPr>
            <w:tcW w:w="1144" w:type="dxa"/>
            <w:vAlign w:val="center"/>
          </w:tcPr>
          <w:p w14:paraId="776CCE82">
            <w:pPr>
              <w:pStyle w:val="18"/>
              <w:adjustRightInd w:val="0"/>
              <w:snapToGrid w:val="0"/>
              <w:spacing w:line="240" w:lineRule="auto"/>
              <w:ind w:left="0" w:leftChars="0" w:firstLine="0" w:firstLineChars="0"/>
              <w:jc w:val="center"/>
              <w:rPr>
                <w:color w:val="auto"/>
                <w:szCs w:val="21"/>
              </w:rPr>
            </w:pPr>
            <w:r>
              <w:rPr>
                <w:rFonts w:hint="eastAsia"/>
                <w:color w:val="auto"/>
                <w:lang w:val="en-US" w:eastAsia="zh-CN"/>
              </w:rPr>
              <w:t>0.4144</w:t>
            </w:r>
          </w:p>
        </w:tc>
      </w:tr>
      <w:tr w14:paraId="5FED1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11064DDA">
            <w:pPr>
              <w:pStyle w:val="42"/>
              <w:rPr>
                <w:color w:val="auto"/>
                <w:sz w:val="21"/>
                <w:szCs w:val="21"/>
              </w:rPr>
            </w:pPr>
          </w:p>
        </w:tc>
        <w:tc>
          <w:tcPr>
            <w:tcW w:w="2161" w:type="dxa"/>
            <w:vAlign w:val="center"/>
          </w:tcPr>
          <w:p w14:paraId="39E55A4B">
            <w:pPr>
              <w:pStyle w:val="18"/>
              <w:adjustRightInd w:val="0"/>
              <w:snapToGrid w:val="0"/>
              <w:spacing w:line="240" w:lineRule="auto"/>
              <w:ind w:left="0" w:leftChars="0" w:firstLine="0" w:firstLineChars="0"/>
              <w:jc w:val="center"/>
              <w:rPr>
                <w:color w:val="auto"/>
                <w:sz w:val="21"/>
                <w:szCs w:val="21"/>
              </w:rPr>
            </w:pPr>
            <w:r>
              <w:rPr>
                <w:rFonts w:hint="eastAsia"/>
                <w:color w:val="auto"/>
              </w:rPr>
              <w:t>非甲烷总烃</w:t>
            </w:r>
          </w:p>
        </w:tc>
        <w:tc>
          <w:tcPr>
            <w:tcW w:w="1655" w:type="dxa"/>
            <w:vAlign w:val="center"/>
          </w:tcPr>
          <w:p w14:paraId="2EC5CEA2">
            <w:pPr>
              <w:pStyle w:val="42"/>
              <w:rPr>
                <w:color w:val="auto"/>
                <w:sz w:val="21"/>
                <w:szCs w:val="21"/>
              </w:rPr>
            </w:pPr>
            <w:r>
              <w:rPr>
                <w:color w:val="auto"/>
                <w:sz w:val="21"/>
                <w:szCs w:val="21"/>
              </w:rPr>
              <w:t>/</w:t>
            </w:r>
          </w:p>
        </w:tc>
        <w:tc>
          <w:tcPr>
            <w:tcW w:w="1276" w:type="dxa"/>
            <w:vAlign w:val="center"/>
          </w:tcPr>
          <w:p w14:paraId="7594D917">
            <w:pPr>
              <w:pStyle w:val="42"/>
              <w:rPr>
                <w:color w:val="auto"/>
                <w:sz w:val="21"/>
                <w:szCs w:val="21"/>
              </w:rPr>
            </w:pPr>
            <w:r>
              <w:rPr>
                <w:color w:val="auto"/>
                <w:sz w:val="21"/>
                <w:szCs w:val="21"/>
              </w:rPr>
              <w:t>/</w:t>
            </w:r>
          </w:p>
        </w:tc>
        <w:tc>
          <w:tcPr>
            <w:tcW w:w="1701" w:type="dxa"/>
            <w:vAlign w:val="center"/>
          </w:tcPr>
          <w:p w14:paraId="6A59490E">
            <w:pPr>
              <w:pStyle w:val="42"/>
              <w:rPr>
                <w:color w:val="auto"/>
                <w:sz w:val="21"/>
                <w:szCs w:val="21"/>
              </w:rPr>
            </w:pPr>
            <w:r>
              <w:rPr>
                <w:color w:val="auto"/>
                <w:sz w:val="21"/>
                <w:szCs w:val="21"/>
              </w:rPr>
              <w:t>/</w:t>
            </w:r>
          </w:p>
        </w:tc>
        <w:tc>
          <w:tcPr>
            <w:tcW w:w="1559" w:type="dxa"/>
            <w:vAlign w:val="center"/>
          </w:tcPr>
          <w:p w14:paraId="7E54881B">
            <w:pPr>
              <w:pStyle w:val="18"/>
              <w:adjustRightInd w:val="0"/>
              <w:snapToGrid w:val="0"/>
              <w:spacing w:line="240" w:lineRule="auto"/>
              <w:ind w:left="0" w:leftChars="0" w:firstLine="0" w:firstLineChars="0"/>
              <w:jc w:val="center"/>
              <w:rPr>
                <w:color w:val="auto"/>
                <w:szCs w:val="21"/>
              </w:rPr>
            </w:pPr>
            <w:r>
              <w:rPr>
                <w:rFonts w:hint="eastAsia"/>
                <w:color w:val="auto"/>
                <w:lang w:val="en-US" w:eastAsia="zh-CN"/>
              </w:rPr>
              <w:t>0.6084</w:t>
            </w:r>
          </w:p>
        </w:tc>
        <w:tc>
          <w:tcPr>
            <w:tcW w:w="1761" w:type="dxa"/>
            <w:vAlign w:val="center"/>
          </w:tcPr>
          <w:p w14:paraId="0BF674D7">
            <w:pPr>
              <w:pStyle w:val="42"/>
              <w:rPr>
                <w:color w:val="auto"/>
                <w:sz w:val="21"/>
                <w:szCs w:val="21"/>
              </w:rPr>
            </w:pPr>
            <w:r>
              <w:rPr>
                <w:color w:val="auto"/>
                <w:sz w:val="21"/>
                <w:szCs w:val="21"/>
              </w:rPr>
              <w:t>/</w:t>
            </w:r>
          </w:p>
        </w:tc>
        <w:tc>
          <w:tcPr>
            <w:tcW w:w="1641" w:type="dxa"/>
            <w:vAlign w:val="center"/>
          </w:tcPr>
          <w:p w14:paraId="08ED077E">
            <w:pPr>
              <w:pStyle w:val="18"/>
              <w:adjustRightInd w:val="0"/>
              <w:snapToGrid w:val="0"/>
              <w:spacing w:line="240" w:lineRule="auto"/>
              <w:ind w:left="0" w:leftChars="0" w:firstLine="0" w:firstLineChars="0"/>
              <w:jc w:val="center"/>
              <w:rPr>
                <w:color w:val="auto"/>
                <w:szCs w:val="21"/>
              </w:rPr>
            </w:pPr>
            <w:r>
              <w:rPr>
                <w:rFonts w:hint="eastAsia"/>
                <w:color w:val="auto"/>
                <w:lang w:val="en-US" w:eastAsia="zh-CN"/>
              </w:rPr>
              <w:t>0.6084</w:t>
            </w:r>
          </w:p>
        </w:tc>
        <w:tc>
          <w:tcPr>
            <w:tcW w:w="1144" w:type="dxa"/>
            <w:vAlign w:val="center"/>
          </w:tcPr>
          <w:p w14:paraId="084526C6">
            <w:pPr>
              <w:pStyle w:val="18"/>
              <w:adjustRightInd w:val="0"/>
              <w:snapToGrid w:val="0"/>
              <w:spacing w:line="240" w:lineRule="auto"/>
              <w:ind w:left="0" w:leftChars="0" w:firstLine="0" w:firstLineChars="0"/>
              <w:jc w:val="center"/>
              <w:rPr>
                <w:color w:val="auto"/>
                <w:szCs w:val="21"/>
              </w:rPr>
            </w:pPr>
            <w:r>
              <w:rPr>
                <w:rFonts w:hint="eastAsia"/>
                <w:color w:val="auto"/>
                <w:lang w:val="en-US" w:eastAsia="zh-CN"/>
              </w:rPr>
              <w:t>0.6084</w:t>
            </w:r>
          </w:p>
        </w:tc>
      </w:tr>
      <w:tr w14:paraId="25C18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restart"/>
            <w:vAlign w:val="center"/>
          </w:tcPr>
          <w:p w14:paraId="502FD3B4">
            <w:pPr>
              <w:pStyle w:val="42"/>
              <w:rPr>
                <w:color w:val="auto"/>
                <w:sz w:val="21"/>
                <w:szCs w:val="21"/>
              </w:rPr>
            </w:pPr>
            <w:r>
              <w:rPr>
                <w:color w:val="auto"/>
                <w:sz w:val="21"/>
                <w:szCs w:val="21"/>
              </w:rPr>
              <w:t>废水</w:t>
            </w:r>
          </w:p>
        </w:tc>
        <w:tc>
          <w:tcPr>
            <w:tcW w:w="2161" w:type="dxa"/>
            <w:vAlign w:val="center"/>
          </w:tcPr>
          <w:p w14:paraId="55D9810C">
            <w:pPr>
              <w:pStyle w:val="42"/>
              <w:rPr>
                <w:color w:val="auto"/>
                <w:sz w:val="21"/>
                <w:szCs w:val="21"/>
              </w:rPr>
            </w:pPr>
            <w:r>
              <w:rPr>
                <w:color w:val="auto"/>
                <w:sz w:val="21"/>
                <w:szCs w:val="21"/>
              </w:rPr>
              <w:t>COD</w:t>
            </w:r>
          </w:p>
        </w:tc>
        <w:tc>
          <w:tcPr>
            <w:tcW w:w="1655" w:type="dxa"/>
            <w:vAlign w:val="center"/>
          </w:tcPr>
          <w:p w14:paraId="14388F57">
            <w:pPr>
              <w:pStyle w:val="42"/>
              <w:rPr>
                <w:color w:val="auto"/>
                <w:sz w:val="21"/>
                <w:szCs w:val="21"/>
              </w:rPr>
            </w:pPr>
            <w:r>
              <w:rPr>
                <w:color w:val="auto"/>
                <w:sz w:val="21"/>
                <w:szCs w:val="21"/>
              </w:rPr>
              <w:t>/</w:t>
            </w:r>
          </w:p>
        </w:tc>
        <w:tc>
          <w:tcPr>
            <w:tcW w:w="1276" w:type="dxa"/>
            <w:vAlign w:val="center"/>
          </w:tcPr>
          <w:p w14:paraId="58DFB83F">
            <w:pPr>
              <w:pStyle w:val="42"/>
              <w:rPr>
                <w:color w:val="auto"/>
                <w:sz w:val="21"/>
                <w:szCs w:val="21"/>
              </w:rPr>
            </w:pPr>
            <w:r>
              <w:rPr>
                <w:color w:val="auto"/>
                <w:sz w:val="21"/>
                <w:szCs w:val="21"/>
              </w:rPr>
              <w:t>/</w:t>
            </w:r>
          </w:p>
        </w:tc>
        <w:tc>
          <w:tcPr>
            <w:tcW w:w="1701" w:type="dxa"/>
            <w:vAlign w:val="center"/>
          </w:tcPr>
          <w:p w14:paraId="19AC3935">
            <w:pPr>
              <w:pStyle w:val="42"/>
              <w:rPr>
                <w:color w:val="auto"/>
                <w:sz w:val="21"/>
                <w:szCs w:val="21"/>
              </w:rPr>
            </w:pPr>
            <w:r>
              <w:rPr>
                <w:color w:val="auto"/>
                <w:sz w:val="21"/>
                <w:szCs w:val="21"/>
              </w:rPr>
              <w:t>/</w:t>
            </w:r>
          </w:p>
        </w:tc>
        <w:tc>
          <w:tcPr>
            <w:tcW w:w="1559" w:type="dxa"/>
            <w:vAlign w:val="center"/>
          </w:tcPr>
          <w:p w14:paraId="7F1B6471">
            <w:pPr>
              <w:jc w:val="center"/>
              <w:rPr>
                <w:color w:val="auto"/>
                <w:szCs w:val="21"/>
              </w:rPr>
            </w:pPr>
            <w:r>
              <w:rPr>
                <w:color w:val="auto"/>
                <w:szCs w:val="21"/>
              </w:rPr>
              <w:t>/</w:t>
            </w:r>
          </w:p>
        </w:tc>
        <w:tc>
          <w:tcPr>
            <w:tcW w:w="1761" w:type="dxa"/>
            <w:vAlign w:val="center"/>
          </w:tcPr>
          <w:p w14:paraId="58E93A1C">
            <w:pPr>
              <w:pStyle w:val="42"/>
              <w:rPr>
                <w:color w:val="auto"/>
                <w:sz w:val="21"/>
                <w:szCs w:val="21"/>
              </w:rPr>
            </w:pPr>
            <w:r>
              <w:rPr>
                <w:color w:val="auto"/>
                <w:sz w:val="21"/>
                <w:szCs w:val="21"/>
              </w:rPr>
              <w:t>/</w:t>
            </w:r>
          </w:p>
        </w:tc>
        <w:tc>
          <w:tcPr>
            <w:tcW w:w="1641" w:type="dxa"/>
            <w:vAlign w:val="center"/>
          </w:tcPr>
          <w:p w14:paraId="06673624">
            <w:pPr>
              <w:pStyle w:val="42"/>
              <w:rPr>
                <w:color w:val="auto"/>
                <w:sz w:val="21"/>
                <w:szCs w:val="21"/>
              </w:rPr>
            </w:pPr>
            <w:r>
              <w:rPr>
                <w:color w:val="auto"/>
                <w:sz w:val="21"/>
                <w:szCs w:val="21"/>
              </w:rPr>
              <w:t>/</w:t>
            </w:r>
          </w:p>
        </w:tc>
        <w:tc>
          <w:tcPr>
            <w:tcW w:w="1144" w:type="dxa"/>
            <w:vAlign w:val="center"/>
          </w:tcPr>
          <w:p w14:paraId="4094C11E">
            <w:pPr>
              <w:pStyle w:val="42"/>
              <w:rPr>
                <w:color w:val="auto"/>
                <w:sz w:val="21"/>
                <w:szCs w:val="21"/>
              </w:rPr>
            </w:pPr>
            <w:r>
              <w:rPr>
                <w:color w:val="auto"/>
                <w:sz w:val="21"/>
                <w:szCs w:val="21"/>
              </w:rPr>
              <w:t>/</w:t>
            </w:r>
          </w:p>
        </w:tc>
      </w:tr>
      <w:tr w14:paraId="3BE1E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0C190AF4">
            <w:pPr>
              <w:pStyle w:val="42"/>
              <w:rPr>
                <w:color w:val="auto"/>
                <w:sz w:val="21"/>
                <w:szCs w:val="21"/>
              </w:rPr>
            </w:pPr>
          </w:p>
        </w:tc>
        <w:tc>
          <w:tcPr>
            <w:tcW w:w="2161" w:type="dxa"/>
            <w:vAlign w:val="center"/>
          </w:tcPr>
          <w:p w14:paraId="37C5E8F7">
            <w:pPr>
              <w:pStyle w:val="42"/>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655" w:type="dxa"/>
            <w:vAlign w:val="center"/>
          </w:tcPr>
          <w:p w14:paraId="3E8719A8">
            <w:pPr>
              <w:pStyle w:val="42"/>
              <w:rPr>
                <w:color w:val="auto"/>
                <w:sz w:val="21"/>
                <w:szCs w:val="21"/>
              </w:rPr>
            </w:pPr>
            <w:r>
              <w:rPr>
                <w:color w:val="auto"/>
                <w:sz w:val="21"/>
                <w:szCs w:val="21"/>
              </w:rPr>
              <w:t>/</w:t>
            </w:r>
          </w:p>
        </w:tc>
        <w:tc>
          <w:tcPr>
            <w:tcW w:w="1276" w:type="dxa"/>
            <w:vAlign w:val="center"/>
          </w:tcPr>
          <w:p w14:paraId="5FF01846">
            <w:pPr>
              <w:pStyle w:val="42"/>
              <w:rPr>
                <w:color w:val="auto"/>
                <w:sz w:val="21"/>
                <w:szCs w:val="21"/>
              </w:rPr>
            </w:pPr>
            <w:r>
              <w:rPr>
                <w:color w:val="auto"/>
                <w:sz w:val="21"/>
                <w:szCs w:val="21"/>
              </w:rPr>
              <w:t>/</w:t>
            </w:r>
          </w:p>
        </w:tc>
        <w:tc>
          <w:tcPr>
            <w:tcW w:w="1701" w:type="dxa"/>
            <w:vAlign w:val="center"/>
          </w:tcPr>
          <w:p w14:paraId="18E011E5">
            <w:pPr>
              <w:pStyle w:val="42"/>
              <w:rPr>
                <w:color w:val="auto"/>
                <w:sz w:val="21"/>
                <w:szCs w:val="21"/>
              </w:rPr>
            </w:pPr>
            <w:r>
              <w:rPr>
                <w:color w:val="auto"/>
                <w:sz w:val="21"/>
                <w:szCs w:val="21"/>
              </w:rPr>
              <w:t>/</w:t>
            </w:r>
          </w:p>
        </w:tc>
        <w:tc>
          <w:tcPr>
            <w:tcW w:w="1559" w:type="dxa"/>
            <w:vAlign w:val="center"/>
          </w:tcPr>
          <w:p w14:paraId="671B3736">
            <w:pPr>
              <w:jc w:val="center"/>
              <w:rPr>
                <w:color w:val="auto"/>
                <w:szCs w:val="21"/>
              </w:rPr>
            </w:pPr>
            <w:r>
              <w:rPr>
                <w:color w:val="auto"/>
                <w:szCs w:val="21"/>
              </w:rPr>
              <w:t>/</w:t>
            </w:r>
          </w:p>
        </w:tc>
        <w:tc>
          <w:tcPr>
            <w:tcW w:w="1761" w:type="dxa"/>
            <w:vAlign w:val="center"/>
          </w:tcPr>
          <w:p w14:paraId="1A21F53A">
            <w:pPr>
              <w:pStyle w:val="42"/>
              <w:rPr>
                <w:color w:val="auto"/>
                <w:sz w:val="21"/>
                <w:szCs w:val="21"/>
              </w:rPr>
            </w:pPr>
            <w:r>
              <w:rPr>
                <w:color w:val="auto"/>
                <w:sz w:val="21"/>
                <w:szCs w:val="21"/>
              </w:rPr>
              <w:t>/</w:t>
            </w:r>
          </w:p>
        </w:tc>
        <w:tc>
          <w:tcPr>
            <w:tcW w:w="1641" w:type="dxa"/>
            <w:vAlign w:val="center"/>
          </w:tcPr>
          <w:p w14:paraId="23C9670C">
            <w:pPr>
              <w:pStyle w:val="42"/>
              <w:rPr>
                <w:color w:val="auto"/>
                <w:sz w:val="21"/>
                <w:szCs w:val="21"/>
              </w:rPr>
            </w:pPr>
            <w:r>
              <w:rPr>
                <w:color w:val="auto"/>
                <w:sz w:val="21"/>
                <w:szCs w:val="21"/>
              </w:rPr>
              <w:t>/</w:t>
            </w:r>
          </w:p>
        </w:tc>
        <w:tc>
          <w:tcPr>
            <w:tcW w:w="1144" w:type="dxa"/>
            <w:vAlign w:val="center"/>
          </w:tcPr>
          <w:p w14:paraId="0082FAF3">
            <w:pPr>
              <w:pStyle w:val="42"/>
              <w:rPr>
                <w:color w:val="auto"/>
                <w:sz w:val="21"/>
                <w:szCs w:val="21"/>
              </w:rPr>
            </w:pPr>
            <w:r>
              <w:rPr>
                <w:color w:val="auto"/>
                <w:sz w:val="21"/>
                <w:szCs w:val="21"/>
              </w:rPr>
              <w:t>/</w:t>
            </w:r>
          </w:p>
        </w:tc>
      </w:tr>
      <w:tr w14:paraId="33EEB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90" w:type="dxa"/>
            <w:vMerge w:val="continue"/>
            <w:vAlign w:val="center"/>
          </w:tcPr>
          <w:p w14:paraId="64CBDB64">
            <w:pPr>
              <w:pStyle w:val="42"/>
              <w:rPr>
                <w:color w:val="auto"/>
                <w:sz w:val="21"/>
                <w:szCs w:val="21"/>
              </w:rPr>
            </w:pPr>
          </w:p>
        </w:tc>
        <w:tc>
          <w:tcPr>
            <w:tcW w:w="2161" w:type="dxa"/>
            <w:vAlign w:val="center"/>
          </w:tcPr>
          <w:p w14:paraId="7BAC68D6">
            <w:pPr>
              <w:pStyle w:val="42"/>
              <w:rPr>
                <w:color w:val="auto"/>
                <w:sz w:val="21"/>
                <w:szCs w:val="21"/>
              </w:rPr>
            </w:pPr>
            <w:r>
              <w:rPr>
                <w:color w:val="auto"/>
                <w:sz w:val="21"/>
                <w:szCs w:val="21"/>
              </w:rPr>
              <w:t>TP</w:t>
            </w:r>
          </w:p>
        </w:tc>
        <w:tc>
          <w:tcPr>
            <w:tcW w:w="1655" w:type="dxa"/>
            <w:vAlign w:val="center"/>
          </w:tcPr>
          <w:p w14:paraId="203ECDF5">
            <w:pPr>
              <w:pStyle w:val="42"/>
              <w:rPr>
                <w:color w:val="auto"/>
                <w:sz w:val="21"/>
                <w:szCs w:val="21"/>
              </w:rPr>
            </w:pPr>
            <w:r>
              <w:rPr>
                <w:color w:val="auto"/>
                <w:sz w:val="21"/>
                <w:szCs w:val="21"/>
              </w:rPr>
              <w:t>/</w:t>
            </w:r>
          </w:p>
        </w:tc>
        <w:tc>
          <w:tcPr>
            <w:tcW w:w="1276" w:type="dxa"/>
            <w:vAlign w:val="center"/>
          </w:tcPr>
          <w:p w14:paraId="246FFF5B">
            <w:pPr>
              <w:pStyle w:val="42"/>
              <w:rPr>
                <w:color w:val="auto"/>
                <w:sz w:val="21"/>
                <w:szCs w:val="21"/>
              </w:rPr>
            </w:pPr>
            <w:r>
              <w:rPr>
                <w:color w:val="auto"/>
                <w:sz w:val="21"/>
                <w:szCs w:val="21"/>
              </w:rPr>
              <w:t>/</w:t>
            </w:r>
          </w:p>
        </w:tc>
        <w:tc>
          <w:tcPr>
            <w:tcW w:w="1701" w:type="dxa"/>
            <w:vAlign w:val="center"/>
          </w:tcPr>
          <w:p w14:paraId="77A4073E">
            <w:pPr>
              <w:pStyle w:val="42"/>
              <w:rPr>
                <w:color w:val="auto"/>
                <w:sz w:val="21"/>
                <w:szCs w:val="21"/>
              </w:rPr>
            </w:pPr>
            <w:r>
              <w:rPr>
                <w:color w:val="auto"/>
                <w:sz w:val="21"/>
                <w:szCs w:val="21"/>
              </w:rPr>
              <w:t>/</w:t>
            </w:r>
          </w:p>
        </w:tc>
        <w:tc>
          <w:tcPr>
            <w:tcW w:w="1559" w:type="dxa"/>
            <w:vAlign w:val="center"/>
          </w:tcPr>
          <w:p w14:paraId="6AB6D6C6">
            <w:pPr>
              <w:jc w:val="center"/>
              <w:rPr>
                <w:color w:val="auto"/>
                <w:szCs w:val="21"/>
              </w:rPr>
            </w:pPr>
            <w:r>
              <w:rPr>
                <w:color w:val="auto"/>
                <w:szCs w:val="21"/>
              </w:rPr>
              <w:t>/</w:t>
            </w:r>
          </w:p>
        </w:tc>
        <w:tc>
          <w:tcPr>
            <w:tcW w:w="1761" w:type="dxa"/>
            <w:vAlign w:val="center"/>
          </w:tcPr>
          <w:p w14:paraId="035A5083">
            <w:pPr>
              <w:pStyle w:val="42"/>
              <w:rPr>
                <w:color w:val="auto"/>
                <w:sz w:val="21"/>
                <w:szCs w:val="21"/>
              </w:rPr>
            </w:pPr>
            <w:r>
              <w:rPr>
                <w:color w:val="auto"/>
                <w:sz w:val="21"/>
                <w:szCs w:val="21"/>
              </w:rPr>
              <w:t>/</w:t>
            </w:r>
          </w:p>
        </w:tc>
        <w:tc>
          <w:tcPr>
            <w:tcW w:w="1641" w:type="dxa"/>
            <w:vAlign w:val="center"/>
          </w:tcPr>
          <w:p w14:paraId="3ACF5841">
            <w:pPr>
              <w:pStyle w:val="42"/>
              <w:rPr>
                <w:color w:val="auto"/>
                <w:sz w:val="21"/>
                <w:szCs w:val="21"/>
              </w:rPr>
            </w:pPr>
            <w:r>
              <w:rPr>
                <w:color w:val="auto"/>
                <w:sz w:val="21"/>
                <w:szCs w:val="21"/>
              </w:rPr>
              <w:t>/</w:t>
            </w:r>
          </w:p>
        </w:tc>
        <w:tc>
          <w:tcPr>
            <w:tcW w:w="1144" w:type="dxa"/>
            <w:vAlign w:val="center"/>
          </w:tcPr>
          <w:p w14:paraId="3F7984F6">
            <w:pPr>
              <w:pStyle w:val="42"/>
              <w:rPr>
                <w:color w:val="auto"/>
                <w:sz w:val="21"/>
                <w:szCs w:val="21"/>
              </w:rPr>
            </w:pPr>
            <w:r>
              <w:rPr>
                <w:color w:val="auto"/>
                <w:sz w:val="21"/>
                <w:szCs w:val="21"/>
              </w:rPr>
              <w:t>/</w:t>
            </w:r>
          </w:p>
        </w:tc>
      </w:tr>
      <w:tr w14:paraId="5BAA8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90" w:type="dxa"/>
            <w:vMerge w:val="restart"/>
            <w:vAlign w:val="center"/>
          </w:tcPr>
          <w:p w14:paraId="6A7FCC7A">
            <w:pPr>
              <w:pStyle w:val="42"/>
              <w:rPr>
                <w:color w:val="auto"/>
                <w:sz w:val="21"/>
                <w:szCs w:val="21"/>
              </w:rPr>
            </w:pPr>
            <w:r>
              <w:rPr>
                <w:color w:val="auto"/>
                <w:sz w:val="21"/>
                <w:szCs w:val="21"/>
              </w:rPr>
              <w:t>一般工业固体废物</w:t>
            </w:r>
          </w:p>
        </w:tc>
        <w:tc>
          <w:tcPr>
            <w:tcW w:w="2161" w:type="dxa"/>
            <w:vAlign w:val="center"/>
          </w:tcPr>
          <w:p w14:paraId="43D450BE">
            <w:pPr>
              <w:pStyle w:val="42"/>
              <w:rPr>
                <w:color w:val="auto"/>
                <w:sz w:val="21"/>
                <w:szCs w:val="21"/>
              </w:rPr>
            </w:pPr>
            <w:r>
              <w:rPr>
                <w:rFonts w:hint="eastAsia"/>
                <w:color w:val="auto"/>
                <w:sz w:val="21"/>
                <w:szCs w:val="21"/>
              </w:rPr>
              <w:t>布袋除尘粉尘</w:t>
            </w:r>
          </w:p>
        </w:tc>
        <w:tc>
          <w:tcPr>
            <w:tcW w:w="1655" w:type="dxa"/>
            <w:vAlign w:val="center"/>
          </w:tcPr>
          <w:p w14:paraId="432A5C7E">
            <w:pPr>
              <w:jc w:val="center"/>
              <w:rPr>
                <w:color w:val="auto"/>
                <w:szCs w:val="21"/>
              </w:rPr>
            </w:pPr>
            <w:r>
              <w:rPr>
                <w:color w:val="auto"/>
                <w:szCs w:val="21"/>
              </w:rPr>
              <w:t>/</w:t>
            </w:r>
          </w:p>
        </w:tc>
        <w:tc>
          <w:tcPr>
            <w:tcW w:w="1276" w:type="dxa"/>
            <w:vAlign w:val="center"/>
          </w:tcPr>
          <w:p w14:paraId="4B2B34F3">
            <w:pPr>
              <w:jc w:val="center"/>
              <w:rPr>
                <w:color w:val="auto"/>
                <w:szCs w:val="21"/>
              </w:rPr>
            </w:pPr>
            <w:r>
              <w:rPr>
                <w:color w:val="auto"/>
                <w:szCs w:val="21"/>
              </w:rPr>
              <w:t>/</w:t>
            </w:r>
          </w:p>
        </w:tc>
        <w:tc>
          <w:tcPr>
            <w:tcW w:w="1701" w:type="dxa"/>
            <w:vAlign w:val="center"/>
          </w:tcPr>
          <w:p w14:paraId="539B2CB0">
            <w:pPr>
              <w:jc w:val="center"/>
              <w:rPr>
                <w:color w:val="auto"/>
                <w:szCs w:val="21"/>
              </w:rPr>
            </w:pPr>
            <w:r>
              <w:rPr>
                <w:color w:val="auto"/>
                <w:szCs w:val="21"/>
              </w:rPr>
              <w:t>/</w:t>
            </w:r>
          </w:p>
        </w:tc>
        <w:tc>
          <w:tcPr>
            <w:tcW w:w="1559" w:type="dxa"/>
            <w:vAlign w:val="center"/>
          </w:tcPr>
          <w:p w14:paraId="030E30AF">
            <w:pPr>
              <w:pStyle w:val="42"/>
              <w:rPr>
                <w:color w:val="auto"/>
                <w:szCs w:val="21"/>
              </w:rPr>
            </w:pPr>
            <w:r>
              <w:rPr>
                <w:rFonts w:hint="eastAsia"/>
                <w:color w:val="auto"/>
                <w:sz w:val="21"/>
                <w:szCs w:val="21"/>
                <w:lang w:val="en-US" w:eastAsia="zh-CN"/>
              </w:rPr>
              <w:t>0.1562</w:t>
            </w:r>
          </w:p>
        </w:tc>
        <w:tc>
          <w:tcPr>
            <w:tcW w:w="1761" w:type="dxa"/>
            <w:vAlign w:val="center"/>
          </w:tcPr>
          <w:p w14:paraId="526E6DC2">
            <w:pPr>
              <w:jc w:val="center"/>
              <w:rPr>
                <w:color w:val="auto"/>
                <w:szCs w:val="21"/>
              </w:rPr>
            </w:pPr>
            <w:r>
              <w:rPr>
                <w:color w:val="auto"/>
                <w:szCs w:val="21"/>
              </w:rPr>
              <w:t>/</w:t>
            </w:r>
          </w:p>
        </w:tc>
        <w:tc>
          <w:tcPr>
            <w:tcW w:w="1641" w:type="dxa"/>
            <w:vAlign w:val="center"/>
          </w:tcPr>
          <w:p w14:paraId="7175908E">
            <w:pPr>
              <w:pStyle w:val="42"/>
              <w:rPr>
                <w:color w:val="auto"/>
                <w:szCs w:val="21"/>
              </w:rPr>
            </w:pPr>
            <w:r>
              <w:rPr>
                <w:rFonts w:hint="eastAsia"/>
                <w:color w:val="auto"/>
                <w:sz w:val="21"/>
                <w:szCs w:val="21"/>
                <w:lang w:val="en-US" w:eastAsia="zh-CN"/>
              </w:rPr>
              <w:t>0.1562</w:t>
            </w:r>
          </w:p>
        </w:tc>
        <w:tc>
          <w:tcPr>
            <w:tcW w:w="1144" w:type="dxa"/>
            <w:vAlign w:val="center"/>
          </w:tcPr>
          <w:p w14:paraId="463789B4">
            <w:pPr>
              <w:pStyle w:val="42"/>
              <w:rPr>
                <w:color w:val="auto"/>
                <w:szCs w:val="21"/>
              </w:rPr>
            </w:pPr>
            <w:r>
              <w:rPr>
                <w:rFonts w:hint="eastAsia"/>
                <w:color w:val="auto"/>
                <w:sz w:val="21"/>
                <w:szCs w:val="21"/>
                <w:lang w:val="en-US" w:eastAsia="zh-CN"/>
              </w:rPr>
              <w:t>0.1562</w:t>
            </w:r>
          </w:p>
        </w:tc>
      </w:tr>
      <w:tr w14:paraId="3BBFF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388DF8E7">
            <w:pPr>
              <w:pStyle w:val="42"/>
              <w:rPr>
                <w:color w:val="auto"/>
                <w:sz w:val="21"/>
                <w:szCs w:val="21"/>
              </w:rPr>
            </w:pPr>
          </w:p>
        </w:tc>
        <w:tc>
          <w:tcPr>
            <w:tcW w:w="2161" w:type="dxa"/>
            <w:vAlign w:val="center"/>
          </w:tcPr>
          <w:p w14:paraId="39928651">
            <w:pPr>
              <w:pStyle w:val="42"/>
              <w:rPr>
                <w:color w:val="auto"/>
                <w:sz w:val="21"/>
                <w:szCs w:val="21"/>
              </w:rPr>
            </w:pPr>
            <w:r>
              <w:rPr>
                <w:rFonts w:hint="eastAsia"/>
                <w:color w:val="auto"/>
                <w:sz w:val="21"/>
                <w:szCs w:val="21"/>
              </w:rPr>
              <w:t>预处理池污泥</w:t>
            </w:r>
          </w:p>
        </w:tc>
        <w:tc>
          <w:tcPr>
            <w:tcW w:w="1655" w:type="dxa"/>
            <w:vAlign w:val="center"/>
          </w:tcPr>
          <w:p w14:paraId="4537A772">
            <w:pPr>
              <w:jc w:val="center"/>
              <w:rPr>
                <w:color w:val="auto"/>
                <w:szCs w:val="21"/>
              </w:rPr>
            </w:pPr>
            <w:r>
              <w:rPr>
                <w:color w:val="auto"/>
                <w:szCs w:val="21"/>
              </w:rPr>
              <w:t>/</w:t>
            </w:r>
          </w:p>
        </w:tc>
        <w:tc>
          <w:tcPr>
            <w:tcW w:w="1276" w:type="dxa"/>
            <w:vAlign w:val="center"/>
          </w:tcPr>
          <w:p w14:paraId="031F87FA">
            <w:pPr>
              <w:jc w:val="center"/>
              <w:rPr>
                <w:color w:val="auto"/>
                <w:szCs w:val="21"/>
              </w:rPr>
            </w:pPr>
            <w:r>
              <w:rPr>
                <w:color w:val="auto"/>
                <w:szCs w:val="21"/>
              </w:rPr>
              <w:t>/</w:t>
            </w:r>
          </w:p>
        </w:tc>
        <w:tc>
          <w:tcPr>
            <w:tcW w:w="1701" w:type="dxa"/>
            <w:vAlign w:val="center"/>
          </w:tcPr>
          <w:p w14:paraId="6BB020D7">
            <w:pPr>
              <w:jc w:val="center"/>
              <w:rPr>
                <w:color w:val="auto"/>
                <w:szCs w:val="21"/>
              </w:rPr>
            </w:pPr>
            <w:r>
              <w:rPr>
                <w:color w:val="auto"/>
                <w:szCs w:val="21"/>
              </w:rPr>
              <w:t>/</w:t>
            </w:r>
          </w:p>
        </w:tc>
        <w:tc>
          <w:tcPr>
            <w:tcW w:w="1559" w:type="dxa"/>
            <w:vAlign w:val="center"/>
          </w:tcPr>
          <w:p w14:paraId="5EE8B997">
            <w:pPr>
              <w:pStyle w:val="42"/>
              <w:rPr>
                <w:color w:val="auto"/>
                <w:szCs w:val="21"/>
              </w:rPr>
            </w:pPr>
            <w:r>
              <w:rPr>
                <w:rFonts w:hint="eastAsia"/>
                <w:color w:val="auto"/>
                <w:sz w:val="21"/>
                <w:szCs w:val="21"/>
              </w:rPr>
              <w:t>0</w:t>
            </w:r>
            <w:r>
              <w:rPr>
                <w:color w:val="auto"/>
                <w:sz w:val="21"/>
                <w:szCs w:val="21"/>
              </w:rPr>
              <w:t>.1</w:t>
            </w:r>
          </w:p>
        </w:tc>
        <w:tc>
          <w:tcPr>
            <w:tcW w:w="1761" w:type="dxa"/>
            <w:vAlign w:val="center"/>
          </w:tcPr>
          <w:p w14:paraId="2124AC66">
            <w:pPr>
              <w:jc w:val="center"/>
              <w:rPr>
                <w:color w:val="auto"/>
                <w:szCs w:val="21"/>
              </w:rPr>
            </w:pPr>
            <w:r>
              <w:rPr>
                <w:color w:val="auto"/>
                <w:szCs w:val="21"/>
              </w:rPr>
              <w:t>/</w:t>
            </w:r>
          </w:p>
        </w:tc>
        <w:tc>
          <w:tcPr>
            <w:tcW w:w="1641" w:type="dxa"/>
            <w:vAlign w:val="center"/>
          </w:tcPr>
          <w:p w14:paraId="16F69707">
            <w:pPr>
              <w:pStyle w:val="42"/>
              <w:rPr>
                <w:color w:val="auto"/>
                <w:szCs w:val="21"/>
              </w:rPr>
            </w:pPr>
            <w:r>
              <w:rPr>
                <w:rFonts w:hint="eastAsia"/>
                <w:color w:val="auto"/>
                <w:sz w:val="21"/>
                <w:szCs w:val="21"/>
              </w:rPr>
              <w:t>0</w:t>
            </w:r>
            <w:r>
              <w:rPr>
                <w:color w:val="auto"/>
                <w:sz w:val="21"/>
                <w:szCs w:val="21"/>
              </w:rPr>
              <w:t>.1</w:t>
            </w:r>
          </w:p>
        </w:tc>
        <w:tc>
          <w:tcPr>
            <w:tcW w:w="1144" w:type="dxa"/>
            <w:vAlign w:val="center"/>
          </w:tcPr>
          <w:p w14:paraId="0D0CB672">
            <w:pPr>
              <w:pStyle w:val="42"/>
              <w:rPr>
                <w:color w:val="auto"/>
                <w:szCs w:val="21"/>
              </w:rPr>
            </w:pPr>
            <w:r>
              <w:rPr>
                <w:rFonts w:hint="eastAsia"/>
                <w:color w:val="auto"/>
                <w:sz w:val="21"/>
                <w:szCs w:val="21"/>
              </w:rPr>
              <w:t>0</w:t>
            </w:r>
            <w:r>
              <w:rPr>
                <w:color w:val="auto"/>
                <w:sz w:val="21"/>
                <w:szCs w:val="21"/>
              </w:rPr>
              <w:t>.1</w:t>
            </w:r>
          </w:p>
        </w:tc>
      </w:tr>
      <w:tr w14:paraId="02A47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4D9358C8">
            <w:pPr>
              <w:pStyle w:val="42"/>
              <w:rPr>
                <w:color w:val="auto"/>
                <w:sz w:val="21"/>
                <w:szCs w:val="21"/>
              </w:rPr>
            </w:pPr>
          </w:p>
        </w:tc>
        <w:tc>
          <w:tcPr>
            <w:tcW w:w="2161" w:type="dxa"/>
            <w:vAlign w:val="center"/>
          </w:tcPr>
          <w:p w14:paraId="28C1D4E9">
            <w:pPr>
              <w:pStyle w:val="42"/>
              <w:rPr>
                <w:color w:val="auto"/>
                <w:sz w:val="21"/>
                <w:szCs w:val="21"/>
              </w:rPr>
            </w:pPr>
            <w:r>
              <w:rPr>
                <w:rFonts w:hint="eastAsia"/>
                <w:color w:val="auto"/>
                <w:sz w:val="21"/>
                <w:szCs w:val="21"/>
              </w:rPr>
              <w:t>餐厨垃圾（含隔油池油脂）</w:t>
            </w:r>
          </w:p>
        </w:tc>
        <w:tc>
          <w:tcPr>
            <w:tcW w:w="1655" w:type="dxa"/>
            <w:vAlign w:val="center"/>
          </w:tcPr>
          <w:p w14:paraId="2F11C9D5">
            <w:pPr>
              <w:jc w:val="center"/>
              <w:rPr>
                <w:color w:val="auto"/>
                <w:szCs w:val="21"/>
              </w:rPr>
            </w:pPr>
            <w:r>
              <w:rPr>
                <w:color w:val="auto"/>
                <w:szCs w:val="21"/>
              </w:rPr>
              <w:t>/</w:t>
            </w:r>
          </w:p>
        </w:tc>
        <w:tc>
          <w:tcPr>
            <w:tcW w:w="1276" w:type="dxa"/>
            <w:vAlign w:val="center"/>
          </w:tcPr>
          <w:p w14:paraId="5878CC64">
            <w:pPr>
              <w:jc w:val="center"/>
              <w:rPr>
                <w:color w:val="auto"/>
                <w:szCs w:val="21"/>
              </w:rPr>
            </w:pPr>
            <w:r>
              <w:rPr>
                <w:color w:val="auto"/>
                <w:szCs w:val="21"/>
              </w:rPr>
              <w:t>/</w:t>
            </w:r>
          </w:p>
        </w:tc>
        <w:tc>
          <w:tcPr>
            <w:tcW w:w="1701" w:type="dxa"/>
            <w:vAlign w:val="center"/>
          </w:tcPr>
          <w:p w14:paraId="2D45F444">
            <w:pPr>
              <w:jc w:val="center"/>
              <w:rPr>
                <w:color w:val="auto"/>
                <w:szCs w:val="21"/>
              </w:rPr>
            </w:pPr>
            <w:r>
              <w:rPr>
                <w:color w:val="auto"/>
                <w:szCs w:val="21"/>
              </w:rPr>
              <w:t>/</w:t>
            </w:r>
          </w:p>
        </w:tc>
        <w:tc>
          <w:tcPr>
            <w:tcW w:w="1559" w:type="dxa"/>
            <w:vAlign w:val="center"/>
          </w:tcPr>
          <w:p w14:paraId="6FB8A9AB">
            <w:pPr>
              <w:pStyle w:val="42"/>
              <w:rPr>
                <w:color w:val="auto"/>
                <w:szCs w:val="21"/>
              </w:rPr>
            </w:pPr>
            <w:r>
              <w:rPr>
                <w:rFonts w:hint="eastAsia"/>
                <w:color w:val="auto"/>
                <w:sz w:val="21"/>
                <w:szCs w:val="21"/>
                <w:lang w:val="en-US" w:eastAsia="zh-CN"/>
              </w:rPr>
              <w:t>1.5</w:t>
            </w:r>
          </w:p>
        </w:tc>
        <w:tc>
          <w:tcPr>
            <w:tcW w:w="1761" w:type="dxa"/>
            <w:vAlign w:val="center"/>
          </w:tcPr>
          <w:p w14:paraId="1A520494">
            <w:pPr>
              <w:jc w:val="center"/>
              <w:rPr>
                <w:color w:val="auto"/>
                <w:szCs w:val="21"/>
              </w:rPr>
            </w:pPr>
            <w:r>
              <w:rPr>
                <w:color w:val="auto"/>
                <w:szCs w:val="21"/>
              </w:rPr>
              <w:t>/</w:t>
            </w:r>
          </w:p>
        </w:tc>
        <w:tc>
          <w:tcPr>
            <w:tcW w:w="1641" w:type="dxa"/>
            <w:vAlign w:val="center"/>
          </w:tcPr>
          <w:p w14:paraId="57865431">
            <w:pPr>
              <w:pStyle w:val="42"/>
              <w:rPr>
                <w:color w:val="auto"/>
                <w:szCs w:val="21"/>
              </w:rPr>
            </w:pPr>
            <w:r>
              <w:rPr>
                <w:rFonts w:hint="eastAsia"/>
                <w:color w:val="auto"/>
                <w:sz w:val="21"/>
                <w:szCs w:val="21"/>
                <w:lang w:val="en-US" w:eastAsia="zh-CN"/>
              </w:rPr>
              <w:t>1.5</w:t>
            </w:r>
          </w:p>
        </w:tc>
        <w:tc>
          <w:tcPr>
            <w:tcW w:w="1144" w:type="dxa"/>
            <w:vAlign w:val="center"/>
          </w:tcPr>
          <w:p w14:paraId="5758BF01">
            <w:pPr>
              <w:pStyle w:val="42"/>
              <w:rPr>
                <w:color w:val="auto"/>
                <w:szCs w:val="21"/>
              </w:rPr>
            </w:pPr>
            <w:r>
              <w:rPr>
                <w:rFonts w:hint="eastAsia"/>
                <w:color w:val="auto"/>
                <w:sz w:val="21"/>
                <w:szCs w:val="21"/>
                <w:lang w:val="en-US" w:eastAsia="zh-CN"/>
              </w:rPr>
              <w:t>1.5</w:t>
            </w:r>
          </w:p>
        </w:tc>
      </w:tr>
      <w:tr w14:paraId="29725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7A52F2F8">
            <w:pPr>
              <w:pStyle w:val="42"/>
              <w:rPr>
                <w:color w:val="auto"/>
                <w:sz w:val="21"/>
                <w:szCs w:val="21"/>
              </w:rPr>
            </w:pPr>
          </w:p>
        </w:tc>
        <w:tc>
          <w:tcPr>
            <w:tcW w:w="2161" w:type="dxa"/>
            <w:vAlign w:val="center"/>
          </w:tcPr>
          <w:p w14:paraId="5B401126">
            <w:pPr>
              <w:pStyle w:val="42"/>
              <w:rPr>
                <w:color w:val="auto"/>
                <w:sz w:val="21"/>
                <w:szCs w:val="21"/>
              </w:rPr>
            </w:pPr>
            <w:r>
              <w:rPr>
                <w:rFonts w:hint="eastAsia"/>
                <w:color w:val="auto"/>
                <w:sz w:val="21"/>
                <w:szCs w:val="21"/>
              </w:rPr>
              <w:t>废RO膜</w:t>
            </w:r>
          </w:p>
        </w:tc>
        <w:tc>
          <w:tcPr>
            <w:tcW w:w="1655" w:type="dxa"/>
            <w:vAlign w:val="center"/>
          </w:tcPr>
          <w:p w14:paraId="43DED5B7">
            <w:pPr>
              <w:jc w:val="center"/>
              <w:rPr>
                <w:color w:val="auto"/>
                <w:szCs w:val="21"/>
              </w:rPr>
            </w:pPr>
            <w:r>
              <w:rPr>
                <w:color w:val="auto"/>
                <w:szCs w:val="21"/>
              </w:rPr>
              <w:t>/</w:t>
            </w:r>
          </w:p>
        </w:tc>
        <w:tc>
          <w:tcPr>
            <w:tcW w:w="1276" w:type="dxa"/>
            <w:vAlign w:val="center"/>
          </w:tcPr>
          <w:p w14:paraId="56B9B16F">
            <w:pPr>
              <w:jc w:val="center"/>
              <w:rPr>
                <w:color w:val="auto"/>
                <w:szCs w:val="21"/>
              </w:rPr>
            </w:pPr>
            <w:r>
              <w:rPr>
                <w:color w:val="auto"/>
                <w:szCs w:val="21"/>
              </w:rPr>
              <w:t>/</w:t>
            </w:r>
          </w:p>
        </w:tc>
        <w:tc>
          <w:tcPr>
            <w:tcW w:w="1701" w:type="dxa"/>
            <w:vAlign w:val="center"/>
          </w:tcPr>
          <w:p w14:paraId="2CD8D501">
            <w:pPr>
              <w:jc w:val="center"/>
              <w:rPr>
                <w:color w:val="auto"/>
                <w:szCs w:val="21"/>
              </w:rPr>
            </w:pPr>
            <w:r>
              <w:rPr>
                <w:color w:val="auto"/>
                <w:szCs w:val="21"/>
              </w:rPr>
              <w:t>/</w:t>
            </w:r>
          </w:p>
        </w:tc>
        <w:tc>
          <w:tcPr>
            <w:tcW w:w="1559" w:type="dxa"/>
            <w:vAlign w:val="center"/>
          </w:tcPr>
          <w:p w14:paraId="15704D80">
            <w:pPr>
              <w:pStyle w:val="42"/>
              <w:rPr>
                <w:color w:val="auto"/>
                <w:szCs w:val="21"/>
              </w:rPr>
            </w:pPr>
            <w:r>
              <w:rPr>
                <w:rFonts w:hint="eastAsia"/>
                <w:color w:val="auto"/>
                <w:sz w:val="21"/>
                <w:szCs w:val="21"/>
                <w:lang w:val="en-US" w:eastAsia="zh-CN"/>
              </w:rPr>
              <w:t>0.05</w:t>
            </w:r>
          </w:p>
        </w:tc>
        <w:tc>
          <w:tcPr>
            <w:tcW w:w="1761" w:type="dxa"/>
            <w:vAlign w:val="center"/>
          </w:tcPr>
          <w:p w14:paraId="1059DB94">
            <w:pPr>
              <w:jc w:val="center"/>
              <w:rPr>
                <w:color w:val="auto"/>
                <w:szCs w:val="21"/>
              </w:rPr>
            </w:pPr>
            <w:r>
              <w:rPr>
                <w:color w:val="auto"/>
                <w:szCs w:val="21"/>
              </w:rPr>
              <w:t>/</w:t>
            </w:r>
          </w:p>
        </w:tc>
        <w:tc>
          <w:tcPr>
            <w:tcW w:w="1641" w:type="dxa"/>
            <w:vAlign w:val="center"/>
          </w:tcPr>
          <w:p w14:paraId="62497975">
            <w:pPr>
              <w:pStyle w:val="42"/>
              <w:rPr>
                <w:color w:val="auto"/>
                <w:szCs w:val="21"/>
              </w:rPr>
            </w:pPr>
            <w:r>
              <w:rPr>
                <w:rFonts w:hint="eastAsia"/>
                <w:color w:val="auto"/>
                <w:sz w:val="21"/>
                <w:szCs w:val="21"/>
                <w:lang w:val="en-US" w:eastAsia="zh-CN"/>
              </w:rPr>
              <w:t>0.05</w:t>
            </w:r>
          </w:p>
        </w:tc>
        <w:tc>
          <w:tcPr>
            <w:tcW w:w="1144" w:type="dxa"/>
            <w:vAlign w:val="center"/>
          </w:tcPr>
          <w:p w14:paraId="37C55C4A">
            <w:pPr>
              <w:pStyle w:val="42"/>
              <w:rPr>
                <w:color w:val="auto"/>
                <w:szCs w:val="21"/>
              </w:rPr>
            </w:pPr>
            <w:r>
              <w:rPr>
                <w:rFonts w:hint="eastAsia"/>
                <w:color w:val="auto"/>
                <w:sz w:val="21"/>
                <w:szCs w:val="21"/>
                <w:lang w:val="en-US" w:eastAsia="zh-CN"/>
              </w:rPr>
              <w:t>0.05</w:t>
            </w:r>
          </w:p>
        </w:tc>
      </w:tr>
      <w:tr w14:paraId="099C5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221165C1">
            <w:pPr>
              <w:pStyle w:val="42"/>
              <w:rPr>
                <w:color w:val="auto"/>
                <w:sz w:val="21"/>
                <w:szCs w:val="21"/>
              </w:rPr>
            </w:pPr>
          </w:p>
        </w:tc>
        <w:tc>
          <w:tcPr>
            <w:tcW w:w="2161" w:type="dxa"/>
            <w:vAlign w:val="center"/>
          </w:tcPr>
          <w:p w14:paraId="10795DB4">
            <w:pPr>
              <w:pStyle w:val="42"/>
              <w:rPr>
                <w:color w:val="auto"/>
                <w:sz w:val="21"/>
                <w:szCs w:val="21"/>
              </w:rPr>
            </w:pPr>
            <w:r>
              <w:rPr>
                <w:rFonts w:hint="eastAsia"/>
                <w:color w:val="auto"/>
                <w:sz w:val="21"/>
                <w:szCs w:val="21"/>
              </w:rPr>
              <w:t>不合格品</w:t>
            </w:r>
          </w:p>
        </w:tc>
        <w:tc>
          <w:tcPr>
            <w:tcW w:w="1655" w:type="dxa"/>
            <w:vAlign w:val="center"/>
          </w:tcPr>
          <w:p w14:paraId="1B0C8BE6">
            <w:pPr>
              <w:jc w:val="center"/>
              <w:rPr>
                <w:color w:val="auto"/>
                <w:szCs w:val="21"/>
              </w:rPr>
            </w:pPr>
          </w:p>
        </w:tc>
        <w:tc>
          <w:tcPr>
            <w:tcW w:w="1276" w:type="dxa"/>
            <w:vAlign w:val="center"/>
          </w:tcPr>
          <w:p w14:paraId="4B5FB14C">
            <w:pPr>
              <w:jc w:val="center"/>
              <w:rPr>
                <w:color w:val="auto"/>
                <w:szCs w:val="21"/>
              </w:rPr>
            </w:pPr>
          </w:p>
        </w:tc>
        <w:tc>
          <w:tcPr>
            <w:tcW w:w="1701" w:type="dxa"/>
            <w:vAlign w:val="center"/>
          </w:tcPr>
          <w:p w14:paraId="31219A09">
            <w:pPr>
              <w:jc w:val="center"/>
              <w:rPr>
                <w:color w:val="auto"/>
                <w:szCs w:val="21"/>
              </w:rPr>
            </w:pPr>
          </w:p>
        </w:tc>
        <w:tc>
          <w:tcPr>
            <w:tcW w:w="1559" w:type="dxa"/>
            <w:vAlign w:val="center"/>
          </w:tcPr>
          <w:p w14:paraId="711F148C">
            <w:pPr>
              <w:pStyle w:val="42"/>
              <w:rPr>
                <w:color w:val="auto"/>
                <w:szCs w:val="21"/>
              </w:rPr>
            </w:pPr>
            <w:r>
              <w:rPr>
                <w:rFonts w:hint="eastAsia"/>
                <w:color w:val="auto"/>
                <w:sz w:val="21"/>
                <w:szCs w:val="21"/>
                <w:lang w:val="en-US" w:eastAsia="zh-CN"/>
              </w:rPr>
              <w:t>0.05</w:t>
            </w:r>
          </w:p>
        </w:tc>
        <w:tc>
          <w:tcPr>
            <w:tcW w:w="1761" w:type="dxa"/>
            <w:vAlign w:val="center"/>
          </w:tcPr>
          <w:p w14:paraId="5064316D">
            <w:pPr>
              <w:jc w:val="center"/>
              <w:rPr>
                <w:color w:val="auto"/>
                <w:szCs w:val="21"/>
              </w:rPr>
            </w:pPr>
          </w:p>
        </w:tc>
        <w:tc>
          <w:tcPr>
            <w:tcW w:w="1641" w:type="dxa"/>
            <w:vAlign w:val="center"/>
          </w:tcPr>
          <w:p w14:paraId="2EC8F219">
            <w:pPr>
              <w:pStyle w:val="42"/>
              <w:rPr>
                <w:color w:val="auto"/>
                <w:szCs w:val="21"/>
              </w:rPr>
            </w:pPr>
            <w:r>
              <w:rPr>
                <w:rFonts w:hint="eastAsia"/>
                <w:color w:val="auto"/>
                <w:sz w:val="21"/>
                <w:szCs w:val="21"/>
                <w:lang w:val="en-US" w:eastAsia="zh-CN"/>
              </w:rPr>
              <w:t>0.05</w:t>
            </w:r>
          </w:p>
        </w:tc>
        <w:tc>
          <w:tcPr>
            <w:tcW w:w="1144" w:type="dxa"/>
            <w:vAlign w:val="center"/>
          </w:tcPr>
          <w:p w14:paraId="6DFC7834">
            <w:pPr>
              <w:pStyle w:val="42"/>
              <w:rPr>
                <w:color w:val="auto"/>
                <w:szCs w:val="21"/>
              </w:rPr>
            </w:pPr>
            <w:r>
              <w:rPr>
                <w:rFonts w:hint="eastAsia"/>
                <w:color w:val="auto"/>
                <w:sz w:val="21"/>
                <w:szCs w:val="21"/>
                <w:lang w:val="en-US" w:eastAsia="zh-CN"/>
              </w:rPr>
              <w:t>0.05</w:t>
            </w:r>
          </w:p>
        </w:tc>
      </w:tr>
      <w:tr w14:paraId="354AC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restart"/>
            <w:vAlign w:val="center"/>
          </w:tcPr>
          <w:p w14:paraId="4E7E6DE1">
            <w:pPr>
              <w:pStyle w:val="42"/>
              <w:rPr>
                <w:color w:val="auto"/>
                <w:sz w:val="21"/>
                <w:szCs w:val="21"/>
              </w:rPr>
            </w:pPr>
            <w:r>
              <w:rPr>
                <w:color w:val="auto"/>
                <w:sz w:val="21"/>
                <w:szCs w:val="21"/>
              </w:rPr>
              <w:t>危险废物</w:t>
            </w:r>
          </w:p>
        </w:tc>
        <w:tc>
          <w:tcPr>
            <w:tcW w:w="2161" w:type="dxa"/>
            <w:vAlign w:val="center"/>
          </w:tcPr>
          <w:p w14:paraId="634A3D15">
            <w:pPr>
              <w:pStyle w:val="42"/>
              <w:rPr>
                <w:color w:val="auto"/>
                <w:sz w:val="21"/>
                <w:szCs w:val="21"/>
              </w:rPr>
            </w:pPr>
            <w:r>
              <w:rPr>
                <w:color w:val="auto"/>
                <w:sz w:val="21"/>
                <w:szCs w:val="21"/>
              </w:rPr>
              <w:t>检修废物（含油废棉纱、抹布及其他含油污劳保产品）</w:t>
            </w:r>
          </w:p>
        </w:tc>
        <w:tc>
          <w:tcPr>
            <w:tcW w:w="1655" w:type="dxa"/>
            <w:vAlign w:val="center"/>
          </w:tcPr>
          <w:p w14:paraId="3216417F">
            <w:pPr>
              <w:jc w:val="center"/>
              <w:rPr>
                <w:color w:val="auto"/>
                <w:szCs w:val="21"/>
              </w:rPr>
            </w:pPr>
            <w:r>
              <w:rPr>
                <w:color w:val="auto"/>
                <w:szCs w:val="21"/>
              </w:rPr>
              <w:t>/</w:t>
            </w:r>
          </w:p>
        </w:tc>
        <w:tc>
          <w:tcPr>
            <w:tcW w:w="1276" w:type="dxa"/>
            <w:vAlign w:val="center"/>
          </w:tcPr>
          <w:p w14:paraId="1ADB6A13">
            <w:pPr>
              <w:jc w:val="center"/>
              <w:rPr>
                <w:color w:val="auto"/>
                <w:szCs w:val="21"/>
              </w:rPr>
            </w:pPr>
            <w:r>
              <w:rPr>
                <w:color w:val="auto"/>
                <w:szCs w:val="21"/>
              </w:rPr>
              <w:t>/</w:t>
            </w:r>
          </w:p>
        </w:tc>
        <w:tc>
          <w:tcPr>
            <w:tcW w:w="1701" w:type="dxa"/>
            <w:vAlign w:val="center"/>
          </w:tcPr>
          <w:p w14:paraId="6E811292">
            <w:pPr>
              <w:jc w:val="center"/>
              <w:rPr>
                <w:color w:val="auto"/>
                <w:szCs w:val="21"/>
              </w:rPr>
            </w:pPr>
            <w:r>
              <w:rPr>
                <w:color w:val="auto"/>
                <w:szCs w:val="21"/>
              </w:rPr>
              <w:t>/</w:t>
            </w:r>
          </w:p>
        </w:tc>
        <w:tc>
          <w:tcPr>
            <w:tcW w:w="1559" w:type="dxa"/>
            <w:vAlign w:val="center"/>
          </w:tcPr>
          <w:p w14:paraId="68B269AA">
            <w:pPr>
              <w:pStyle w:val="42"/>
              <w:rPr>
                <w:color w:val="auto"/>
                <w:szCs w:val="21"/>
              </w:rPr>
            </w:pPr>
            <w:r>
              <w:rPr>
                <w:color w:val="auto"/>
                <w:sz w:val="21"/>
                <w:szCs w:val="21"/>
              </w:rPr>
              <w:t>0.02</w:t>
            </w:r>
          </w:p>
        </w:tc>
        <w:tc>
          <w:tcPr>
            <w:tcW w:w="1761" w:type="dxa"/>
            <w:vAlign w:val="center"/>
          </w:tcPr>
          <w:p w14:paraId="1F8C9E10">
            <w:pPr>
              <w:jc w:val="center"/>
              <w:rPr>
                <w:color w:val="auto"/>
                <w:szCs w:val="21"/>
              </w:rPr>
            </w:pPr>
            <w:r>
              <w:rPr>
                <w:color w:val="auto"/>
                <w:szCs w:val="21"/>
              </w:rPr>
              <w:t>/</w:t>
            </w:r>
          </w:p>
        </w:tc>
        <w:tc>
          <w:tcPr>
            <w:tcW w:w="1641" w:type="dxa"/>
            <w:vAlign w:val="center"/>
          </w:tcPr>
          <w:p w14:paraId="70989697">
            <w:pPr>
              <w:pStyle w:val="42"/>
              <w:rPr>
                <w:color w:val="auto"/>
                <w:sz w:val="21"/>
                <w:szCs w:val="21"/>
              </w:rPr>
            </w:pPr>
            <w:r>
              <w:rPr>
                <w:color w:val="auto"/>
                <w:sz w:val="21"/>
                <w:szCs w:val="21"/>
              </w:rPr>
              <w:t>0.02</w:t>
            </w:r>
          </w:p>
        </w:tc>
        <w:tc>
          <w:tcPr>
            <w:tcW w:w="1144" w:type="dxa"/>
            <w:vAlign w:val="center"/>
          </w:tcPr>
          <w:p w14:paraId="28D60356">
            <w:pPr>
              <w:pStyle w:val="42"/>
              <w:rPr>
                <w:color w:val="auto"/>
                <w:sz w:val="21"/>
                <w:szCs w:val="21"/>
              </w:rPr>
            </w:pPr>
            <w:r>
              <w:rPr>
                <w:color w:val="auto"/>
                <w:sz w:val="21"/>
                <w:szCs w:val="21"/>
              </w:rPr>
              <w:t>0.02</w:t>
            </w:r>
          </w:p>
        </w:tc>
      </w:tr>
      <w:tr w14:paraId="6A32A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104FD6FB">
            <w:pPr>
              <w:pStyle w:val="50"/>
              <w:spacing w:beforeLines="0" w:afterLines="0" w:line="240" w:lineRule="auto"/>
              <w:rPr>
                <w:rFonts w:ascii="Times New Roman"/>
                <w:snapToGrid w:val="0"/>
                <w:color w:val="auto"/>
                <w:kern w:val="21"/>
                <w:sz w:val="18"/>
                <w:szCs w:val="18"/>
              </w:rPr>
            </w:pPr>
          </w:p>
        </w:tc>
        <w:tc>
          <w:tcPr>
            <w:tcW w:w="2161" w:type="dxa"/>
            <w:vAlign w:val="center"/>
          </w:tcPr>
          <w:p w14:paraId="61F70DC2">
            <w:pPr>
              <w:pStyle w:val="42"/>
              <w:rPr>
                <w:color w:val="auto"/>
                <w:sz w:val="21"/>
                <w:szCs w:val="21"/>
              </w:rPr>
            </w:pPr>
            <w:r>
              <w:rPr>
                <w:rFonts w:hint="eastAsia"/>
                <w:color w:val="auto"/>
                <w:sz w:val="21"/>
                <w:szCs w:val="21"/>
              </w:rPr>
              <w:t>废机油</w:t>
            </w:r>
          </w:p>
        </w:tc>
        <w:tc>
          <w:tcPr>
            <w:tcW w:w="1655" w:type="dxa"/>
            <w:vAlign w:val="center"/>
          </w:tcPr>
          <w:p w14:paraId="5DD7BC9E">
            <w:pPr>
              <w:jc w:val="center"/>
              <w:rPr>
                <w:color w:val="auto"/>
                <w:szCs w:val="21"/>
              </w:rPr>
            </w:pPr>
            <w:r>
              <w:rPr>
                <w:color w:val="auto"/>
                <w:szCs w:val="21"/>
              </w:rPr>
              <w:t>/</w:t>
            </w:r>
          </w:p>
        </w:tc>
        <w:tc>
          <w:tcPr>
            <w:tcW w:w="1276" w:type="dxa"/>
            <w:vAlign w:val="center"/>
          </w:tcPr>
          <w:p w14:paraId="386BDDE1">
            <w:pPr>
              <w:jc w:val="center"/>
              <w:rPr>
                <w:color w:val="auto"/>
                <w:szCs w:val="21"/>
              </w:rPr>
            </w:pPr>
            <w:r>
              <w:rPr>
                <w:color w:val="auto"/>
                <w:szCs w:val="21"/>
              </w:rPr>
              <w:t>/</w:t>
            </w:r>
          </w:p>
        </w:tc>
        <w:tc>
          <w:tcPr>
            <w:tcW w:w="1701" w:type="dxa"/>
            <w:vAlign w:val="center"/>
          </w:tcPr>
          <w:p w14:paraId="1D2BCA78">
            <w:pPr>
              <w:jc w:val="center"/>
              <w:rPr>
                <w:color w:val="auto"/>
                <w:szCs w:val="21"/>
              </w:rPr>
            </w:pPr>
            <w:r>
              <w:rPr>
                <w:color w:val="auto"/>
                <w:szCs w:val="21"/>
              </w:rPr>
              <w:t>/</w:t>
            </w:r>
          </w:p>
        </w:tc>
        <w:tc>
          <w:tcPr>
            <w:tcW w:w="1559" w:type="dxa"/>
            <w:vAlign w:val="center"/>
          </w:tcPr>
          <w:p w14:paraId="34032D3E">
            <w:pPr>
              <w:pStyle w:val="42"/>
              <w:rPr>
                <w:color w:val="auto"/>
                <w:szCs w:val="21"/>
              </w:rPr>
            </w:pPr>
            <w:r>
              <w:rPr>
                <w:color w:val="auto"/>
                <w:sz w:val="21"/>
                <w:szCs w:val="21"/>
              </w:rPr>
              <w:t>0.1</w:t>
            </w:r>
          </w:p>
        </w:tc>
        <w:tc>
          <w:tcPr>
            <w:tcW w:w="1761" w:type="dxa"/>
            <w:vAlign w:val="center"/>
          </w:tcPr>
          <w:p w14:paraId="78EB8095">
            <w:pPr>
              <w:jc w:val="center"/>
              <w:rPr>
                <w:color w:val="auto"/>
                <w:szCs w:val="21"/>
              </w:rPr>
            </w:pPr>
            <w:r>
              <w:rPr>
                <w:color w:val="auto"/>
                <w:szCs w:val="21"/>
              </w:rPr>
              <w:t>/</w:t>
            </w:r>
          </w:p>
        </w:tc>
        <w:tc>
          <w:tcPr>
            <w:tcW w:w="1641" w:type="dxa"/>
            <w:vAlign w:val="center"/>
          </w:tcPr>
          <w:p w14:paraId="7DB0C4E4">
            <w:pPr>
              <w:pStyle w:val="42"/>
              <w:rPr>
                <w:color w:val="auto"/>
                <w:sz w:val="21"/>
                <w:szCs w:val="21"/>
              </w:rPr>
            </w:pPr>
            <w:r>
              <w:rPr>
                <w:color w:val="auto"/>
                <w:sz w:val="21"/>
                <w:szCs w:val="21"/>
              </w:rPr>
              <w:t>0.1</w:t>
            </w:r>
          </w:p>
        </w:tc>
        <w:tc>
          <w:tcPr>
            <w:tcW w:w="1144" w:type="dxa"/>
            <w:vAlign w:val="center"/>
          </w:tcPr>
          <w:p w14:paraId="017E6D45">
            <w:pPr>
              <w:pStyle w:val="42"/>
              <w:rPr>
                <w:color w:val="auto"/>
                <w:sz w:val="21"/>
                <w:szCs w:val="21"/>
              </w:rPr>
            </w:pPr>
            <w:r>
              <w:rPr>
                <w:color w:val="auto"/>
                <w:sz w:val="21"/>
                <w:szCs w:val="21"/>
              </w:rPr>
              <w:t>0.1</w:t>
            </w:r>
          </w:p>
        </w:tc>
      </w:tr>
      <w:tr w14:paraId="7B10D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2E455424">
            <w:pPr>
              <w:pStyle w:val="50"/>
              <w:spacing w:beforeLines="0" w:afterLines="0" w:line="240" w:lineRule="auto"/>
              <w:rPr>
                <w:rFonts w:ascii="Times New Roman"/>
                <w:snapToGrid w:val="0"/>
                <w:color w:val="auto"/>
                <w:kern w:val="21"/>
                <w:sz w:val="18"/>
                <w:szCs w:val="18"/>
              </w:rPr>
            </w:pPr>
          </w:p>
        </w:tc>
        <w:tc>
          <w:tcPr>
            <w:tcW w:w="2161" w:type="dxa"/>
            <w:vAlign w:val="center"/>
          </w:tcPr>
          <w:p w14:paraId="7E64D3D5">
            <w:pPr>
              <w:pStyle w:val="42"/>
              <w:rPr>
                <w:rFonts w:hint="eastAsia"/>
                <w:color w:val="auto"/>
                <w:sz w:val="21"/>
                <w:szCs w:val="21"/>
              </w:rPr>
            </w:pPr>
            <w:r>
              <w:rPr>
                <w:rFonts w:hint="eastAsia"/>
                <w:color w:val="auto"/>
                <w:sz w:val="21"/>
                <w:szCs w:val="21"/>
              </w:rPr>
              <w:t>废包装</w:t>
            </w:r>
          </w:p>
        </w:tc>
        <w:tc>
          <w:tcPr>
            <w:tcW w:w="1655" w:type="dxa"/>
            <w:vAlign w:val="center"/>
          </w:tcPr>
          <w:p w14:paraId="30EB0468">
            <w:pPr>
              <w:jc w:val="center"/>
              <w:rPr>
                <w:color w:val="auto"/>
                <w:szCs w:val="21"/>
              </w:rPr>
            </w:pPr>
            <w:r>
              <w:rPr>
                <w:color w:val="auto"/>
                <w:szCs w:val="21"/>
              </w:rPr>
              <w:t>/</w:t>
            </w:r>
          </w:p>
        </w:tc>
        <w:tc>
          <w:tcPr>
            <w:tcW w:w="1276" w:type="dxa"/>
            <w:vAlign w:val="center"/>
          </w:tcPr>
          <w:p w14:paraId="6C445BE1">
            <w:pPr>
              <w:jc w:val="center"/>
              <w:rPr>
                <w:color w:val="auto"/>
                <w:szCs w:val="21"/>
              </w:rPr>
            </w:pPr>
            <w:r>
              <w:rPr>
                <w:color w:val="auto"/>
                <w:szCs w:val="21"/>
              </w:rPr>
              <w:t>/</w:t>
            </w:r>
          </w:p>
        </w:tc>
        <w:tc>
          <w:tcPr>
            <w:tcW w:w="1701" w:type="dxa"/>
            <w:vAlign w:val="center"/>
          </w:tcPr>
          <w:p w14:paraId="61EACB7A">
            <w:pPr>
              <w:jc w:val="center"/>
              <w:rPr>
                <w:color w:val="auto"/>
                <w:szCs w:val="21"/>
              </w:rPr>
            </w:pPr>
            <w:r>
              <w:rPr>
                <w:color w:val="auto"/>
                <w:szCs w:val="21"/>
              </w:rPr>
              <w:t>/</w:t>
            </w:r>
          </w:p>
        </w:tc>
        <w:tc>
          <w:tcPr>
            <w:tcW w:w="1559" w:type="dxa"/>
            <w:vAlign w:val="center"/>
          </w:tcPr>
          <w:p w14:paraId="5DEDB5F0">
            <w:pPr>
              <w:pStyle w:val="42"/>
              <w:rPr>
                <w:color w:val="auto"/>
                <w:szCs w:val="21"/>
              </w:rPr>
            </w:pPr>
            <w:r>
              <w:rPr>
                <w:rFonts w:hint="eastAsia"/>
                <w:color w:val="auto"/>
                <w:sz w:val="21"/>
                <w:szCs w:val="21"/>
                <w:lang w:val="en-US" w:eastAsia="zh-CN"/>
              </w:rPr>
              <w:t>1.0</w:t>
            </w:r>
          </w:p>
        </w:tc>
        <w:tc>
          <w:tcPr>
            <w:tcW w:w="1761" w:type="dxa"/>
            <w:vAlign w:val="center"/>
          </w:tcPr>
          <w:p w14:paraId="5A31B937">
            <w:pPr>
              <w:jc w:val="center"/>
              <w:rPr>
                <w:color w:val="auto"/>
                <w:szCs w:val="21"/>
              </w:rPr>
            </w:pPr>
            <w:r>
              <w:rPr>
                <w:color w:val="auto"/>
                <w:szCs w:val="21"/>
              </w:rPr>
              <w:t>/</w:t>
            </w:r>
          </w:p>
        </w:tc>
        <w:tc>
          <w:tcPr>
            <w:tcW w:w="1641" w:type="dxa"/>
            <w:vAlign w:val="center"/>
          </w:tcPr>
          <w:p w14:paraId="309F67CE">
            <w:pPr>
              <w:pStyle w:val="42"/>
              <w:rPr>
                <w:color w:val="auto"/>
                <w:sz w:val="21"/>
                <w:szCs w:val="21"/>
              </w:rPr>
            </w:pPr>
            <w:r>
              <w:rPr>
                <w:rFonts w:hint="eastAsia"/>
                <w:color w:val="auto"/>
                <w:sz w:val="21"/>
                <w:szCs w:val="21"/>
                <w:lang w:val="en-US" w:eastAsia="zh-CN"/>
              </w:rPr>
              <w:t>1.0</w:t>
            </w:r>
          </w:p>
        </w:tc>
        <w:tc>
          <w:tcPr>
            <w:tcW w:w="1144" w:type="dxa"/>
            <w:vAlign w:val="center"/>
          </w:tcPr>
          <w:p w14:paraId="08CA7CAA">
            <w:pPr>
              <w:pStyle w:val="42"/>
              <w:rPr>
                <w:color w:val="auto"/>
                <w:sz w:val="21"/>
                <w:szCs w:val="21"/>
              </w:rPr>
            </w:pPr>
            <w:r>
              <w:rPr>
                <w:rFonts w:hint="eastAsia"/>
                <w:color w:val="auto"/>
                <w:sz w:val="21"/>
                <w:szCs w:val="21"/>
                <w:lang w:val="en-US" w:eastAsia="zh-CN"/>
              </w:rPr>
              <w:t>1.0</w:t>
            </w:r>
          </w:p>
        </w:tc>
      </w:tr>
      <w:tr w14:paraId="0C168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2E127240">
            <w:pPr>
              <w:pStyle w:val="50"/>
              <w:spacing w:beforeLines="0" w:afterLines="0" w:line="240" w:lineRule="auto"/>
              <w:rPr>
                <w:rFonts w:ascii="Times New Roman"/>
                <w:snapToGrid w:val="0"/>
                <w:color w:val="auto"/>
                <w:kern w:val="21"/>
                <w:sz w:val="18"/>
                <w:szCs w:val="18"/>
              </w:rPr>
            </w:pPr>
          </w:p>
        </w:tc>
        <w:tc>
          <w:tcPr>
            <w:tcW w:w="2161" w:type="dxa"/>
            <w:vAlign w:val="center"/>
          </w:tcPr>
          <w:p w14:paraId="0F8CF325">
            <w:pPr>
              <w:pStyle w:val="42"/>
              <w:rPr>
                <w:rFonts w:hint="eastAsia"/>
                <w:color w:val="auto"/>
                <w:sz w:val="21"/>
                <w:szCs w:val="21"/>
              </w:rPr>
            </w:pPr>
            <w:r>
              <w:rPr>
                <w:rFonts w:hint="eastAsia"/>
                <w:color w:val="auto"/>
                <w:sz w:val="21"/>
                <w:szCs w:val="21"/>
              </w:rPr>
              <w:t>废活性炭</w:t>
            </w:r>
          </w:p>
        </w:tc>
        <w:tc>
          <w:tcPr>
            <w:tcW w:w="1655" w:type="dxa"/>
            <w:vAlign w:val="center"/>
          </w:tcPr>
          <w:p w14:paraId="3B0CBC34">
            <w:pPr>
              <w:jc w:val="center"/>
              <w:rPr>
                <w:color w:val="auto"/>
                <w:szCs w:val="21"/>
              </w:rPr>
            </w:pPr>
            <w:r>
              <w:rPr>
                <w:color w:val="auto"/>
                <w:szCs w:val="21"/>
              </w:rPr>
              <w:t>/</w:t>
            </w:r>
          </w:p>
        </w:tc>
        <w:tc>
          <w:tcPr>
            <w:tcW w:w="1276" w:type="dxa"/>
            <w:vAlign w:val="center"/>
          </w:tcPr>
          <w:p w14:paraId="05631FE4">
            <w:pPr>
              <w:jc w:val="center"/>
              <w:rPr>
                <w:color w:val="auto"/>
                <w:szCs w:val="21"/>
              </w:rPr>
            </w:pPr>
            <w:r>
              <w:rPr>
                <w:color w:val="auto"/>
                <w:szCs w:val="21"/>
              </w:rPr>
              <w:t>/</w:t>
            </w:r>
          </w:p>
        </w:tc>
        <w:tc>
          <w:tcPr>
            <w:tcW w:w="1701" w:type="dxa"/>
            <w:vAlign w:val="center"/>
          </w:tcPr>
          <w:p w14:paraId="31F8AB6C">
            <w:pPr>
              <w:jc w:val="center"/>
              <w:rPr>
                <w:color w:val="auto"/>
                <w:szCs w:val="21"/>
              </w:rPr>
            </w:pPr>
            <w:r>
              <w:rPr>
                <w:color w:val="auto"/>
                <w:szCs w:val="21"/>
              </w:rPr>
              <w:t>/</w:t>
            </w:r>
          </w:p>
        </w:tc>
        <w:tc>
          <w:tcPr>
            <w:tcW w:w="1559" w:type="dxa"/>
            <w:vAlign w:val="center"/>
          </w:tcPr>
          <w:p w14:paraId="3160D41A">
            <w:pPr>
              <w:pStyle w:val="42"/>
              <w:rPr>
                <w:color w:val="auto"/>
                <w:szCs w:val="21"/>
              </w:rPr>
            </w:pPr>
            <w:r>
              <w:rPr>
                <w:rFonts w:hint="eastAsia"/>
                <w:color w:val="auto"/>
                <w:sz w:val="21"/>
                <w:szCs w:val="21"/>
                <w:lang w:val="en-US" w:eastAsia="zh-CN"/>
              </w:rPr>
              <w:t>14.3</w:t>
            </w:r>
          </w:p>
        </w:tc>
        <w:tc>
          <w:tcPr>
            <w:tcW w:w="1761" w:type="dxa"/>
            <w:vAlign w:val="center"/>
          </w:tcPr>
          <w:p w14:paraId="02AA7F3F">
            <w:pPr>
              <w:jc w:val="center"/>
              <w:rPr>
                <w:color w:val="auto"/>
                <w:szCs w:val="21"/>
              </w:rPr>
            </w:pPr>
            <w:r>
              <w:rPr>
                <w:color w:val="auto"/>
                <w:szCs w:val="21"/>
              </w:rPr>
              <w:t>/</w:t>
            </w:r>
          </w:p>
        </w:tc>
        <w:tc>
          <w:tcPr>
            <w:tcW w:w="1641" w:type="dxa"/>
            <w:vAlign w:val="center"/>
          </w:tcPr>
          <w:p w14:paraId="0CB86F8B">
            <w:pPr>
              <w:pStyle w:val="42"/>
              <w:rPr>
                <w:color w:val="auto"/>
                <w:sz w:val="21"/>
                <w:szCs w:val="21"/>
              </w:rPr>
            </w:pPr>
            <w:r>
              <w:rPr>
                <w:rFonts w:hint="eastAsia"/>
                <w:color w:val="auto"/>
                <w:sz w:val="21"/>
                <w:szCs w:val="21"/>
                <w:lang w:val="en-US" w:eastAsia="zh-CN"/>
              </w:rPr>
              <w:t>14.3</w:t>
            </w:r>
          </w:p>
        </w:tc>
        <w:tc>
          <w:tcPr>
            <w:tcW w:w="1144" w:type="dxa"/>
            <w:vAlign w:val="center"/>
          </w:tcPr>
          <w:p w14:paraId="01F099EF">
            <w:pPr>
              <w:pStyle w:val="42"/>
              <w:rPr>
                <w:color w:val="auto"/>
                <w:sz w:val="21"/>
                <w:szCs w:val="21"/>
              </w:rPr>
            </w:pPr>
            <w:r>
              <w:rPr>
                <w:rFonts w:hint="eastAsia"/>
                <w:color w:val="auto"/>
                <w:sz w:val="21"/>
                <w:szCs w:val="21"/>
                <w:lang w:val="en-US" w:eastAsia="zh-CN"/>
              </w:rPr>
              <w:t>14.3</w:t>
            </w:r>
          </w:p>
        </w:tc>
      </w:tr>
      <w:tr w14:paraId="40122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0" w:type="dxa"/>
            <w:vMerge w:val="continue"/>
            <w:vAlign w:val="center"/>
          </w:tcPr>
          <w:p w14:paraId="0F835D25">
            <w:pPr>
              <w:pStyle w:val="50"/>
              <w:spacing w:beforeLines="0" w:afterLines="0" w:line="240" w:lineRule="auto"/>
              <w:rPr>
                <w:rFonts w:ascii="Times New Roman"/>
                <w:snapToGrid w:val="0"/>
                <w:color w:val="auto"/>
                <w:kern w:val="21"/>
                <w:sz w:val="18"/>
                <w:szCs w:val="18"/>
              </w:rPr>
            </w:pPr>
          </w:p>
        </w:tc>
        <w:tc>
          <w:tcPr>
            <w:tcW w:w="2161" w:type="dxa"/>
            <w:vAlign w:val="center"/>
          </w:tcPr>
          <w:p w14:paraId="049B7F88">
            <w:pPr>
              <w:pStyle w:val="42"/>
              <w:rPr>
                <w:rFonts w:hint="eastAsia"/>
                <w:color w:val="auto"/>
                <w:sz w:val="21"/>
                <w:szCs w:val="21"/>
              </w:rPr>
            </w:pPr>
            <w:r>
              <w:rPr>
                <w:rFonts w:hint="eastAsia"/>
                <w:color w:val="auto"/>
                <w:sz w:val="21"/>
                <w:szCs w:val="21"/>
              </w:rPr>
              <w:t>检验废物</w:t>
            </w:r>
          </w:p>
        </w:tc>
        <w:tc>
          <w:tcPr>
            <w:tcW w:w="1655" w:type="dxa"/>
            <w:vAlign w:val="center"/>
          </w:tcPr>
          <w:p w14:paraId="0C8B93C6">
            <w:pPr>
              <w:jc w:val="center"/>
              <w:rPr>
                <w:color w:val="auto"/>
                <w:szCs w:val="21"/>
              </w:rPr>
            </w:pPr>
            <w:r>
              <w:rPr>
                <w:color w:val="auto"/>
                <w:szCs w:val="21"/>
              </w:rPr>
              <w:t>/</w:t>
            </w:r>
          </w:p>
        </w:tc>
        <w:tc>
          <w:tcPr>
            <w:tcW w:w="1276" w:type="dxa"/>
            <w:vAlign w:val="center"/>
          </w:tcPr>
          <w:p w14:paraId="696B7D83">
            <w:pPr>
              <w:jc w:val="center"/>
              <w:rPr>
                <w:color w:val="auto"/>
                <w:szCs w:val="21"/>
              </w:rPr>
            </w:pPr>
            <w:r>
              <w:rPr>
                <w:color w:val="auto"/>
                <w:szCs w:val="21"/>
              </w:rPr>
              <w:t>/</w:t>
            </w:r>
          </w:p>
        </w:tc>
        <w:tc>
          <w:tcPr>
            <w:tcW w:w="1701" w:type="dxa"/>
            <w:vAlign w:val="center"/>
          </w:tcPr>
          <w:p w14:paraId="07B7F6AE">
            <w:pPr>
              <w:jc w:val="center"/>
              <w:rPr>
                <w:color w:val="auto"/>
                <w:szCs w:val="21"/>
              </w:rPr>
            </w:pPr>
            <w:r>
              <w:rPr>
                <w:color w:val="auto"/>
                <w:szCs w:val="21"/>
              </w:rPr>
              <w:t>/</w:t>
            </w:r>
          </w:p>
        </w:tc>
        <w:tc>
          <w:tcPr>
            <w:tcW w:w="1559" w:type="dxa"/>
            <w:vAlign w:val="center"/>
          </w:tcPr>
          <w:p w14:paraId="523E013C">
            <w:pPr>
              <w:pStyle w:val="42"/>
              <w:rPr>
                <w:color w:val="auto"/>
                <w:szCs w:val="21"/>
              </w:rPr>
            </w:pPr>
            <w:r>
              <w:rPr>
                <w:rFonts w:hint="eastAsia"/>
                <w:color w:val="auto"/>
                <w:sz w:val="21"/>
                <w:szCs w:val="21"/>
                <w:lang w:val="en-US" w:eastAsia="zh-CN"/>
              </w:rPr>
              <w:t>0.2</w:t>
            </w:r>
          </w:p>
        </w:tc>
        <w:tc>
          <w:tcPr>
            <w:tcW w:w="1761" w:type="dxa"/>
            <w:vAlign w:val="center"/>
          </w:tcPr>
          <w:p w14:paraId="52CB3D30">
            <w:pPr>
              <w:jc w:val="center"/>
              <w:rPr>
                <w:color w:val="auto"/>
                <w:szCs w:val="21"/>
              </w:rPr>
            </w:pPr>
            <w:r>
              <w:rPr>
                <w:color w:val="auto"/>
                <w:szCs w:val="21"/>
              </w:rPr>
              <w:t>/</w:t>
            </w:r>
          </w:p>
        </w:tc>
        <w:tc>
          <w:tcPr>
            <w:tcW w:w="1641" w:type="dxa"/>
            <w:vAlign w:val="center"/>
          </w:tcPr>
          <w:p w14:paraId="203A8037">
            <w:pPr>
              <w:pStyle w:val="42"/>
              <w:rPr>
                <w:color w:val="auto"/>
                <w:sz w:val="21"/>
                <w:szCs w:val="21"/>
              </w:rPr>
            </w:pPr>
            <w:r>
              <w:rPr>
                <w:rFonts w:hint="eastAsia"/>
                <w:color w:val="auto"/>
                <w:sz w:val="21"/>
                <w:szCs w:val="21"/>
                <w:lang w:val="en-US" w:eastAsia="zh-CN"/>
              </w:rPr>
              <w:t>0.2</w:t>
            </w:r>
          </w:p>
        </w:tc>
        <w:tc>
          <w:tcPr>
            <w:tcW w:w="1144" w:type="dxa"/>
            <w:vAlign w:val="center"/>
          </w:tcPr>
          <w:p w14:paraId="02662DD8">
            <w:pPr>
              <w:pStyle w:val="42"/>
              <w:rPr>
                <w:color w:val="auto"/>
                <w:sz w:val="21"/>
                <w:szCs w:val="21"/>
              </w:rPr>
            </w:pPr>
            <w:r>
              <w:rPr>
                <w:rFonts w:hint="eastAsia"/>
                <w:color w:val="auto"/>
                <w:sz w:val="21"/>
                <w:szCs w:val="21"/>
                <w:lang w:val="en-US" w:eastAsia="zh-CN"/>
              </w:rPr>
              <w:t>0.2</w:t>
            </w:r>
          </w:p>
        </w:tc>
      </w:tr>
      <w:tr w14:paraId="0BE45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1" w:type="dxa"/>
            <w:gridSpan w:val="2"/>
            <w:vAlign w:val="center"/>
          </w:tcPr>
          <w:p w14:paraId="4B1CF205">
            <w:pPr>
              <w:pStyle w:val="42"/>
              <w:rPr>
                <w:rFonts w:hint="default" w:eastAsia="宋体"/>
                <w:color w:val="auto"/>
                <w:sz w:val="21"/>
                <w:szCs w:val="21"/>
                <w:lang w:val="en-US" w:eastAsia="zh-CN"/>
              </w:rPr>
            </w:pPr>
            <w:r>
              <w:rPr>
                <w:rFonts w:hint="eastAsia"/>
                <w:color w:val="auto"/>
                <w:sz w:val="21"/>
                <w:szCs w:val="21"/>
                <w:lang w:val="en-US" w:eastAsia="zh-CN"/>
              </w:rPr>
              <w:t>生活垃圾</w:t>
            </w:r>
          </w:p>
        </w:tc>
        <w:tc>
          <w:tcPr>
            <w:tcW w:w="1655" w:type="dxa"/>
            <w:vAlign w:val="center"/>
          </w:tcPr>
          <w:p w14:paraId="681E05D0">
            <w:pPr>
              <w:jc w:val="center"/>
              <w:rPr>
                <w:color w:val="auto"/>
                <w:szCs w:val="21"/>
              </w:rPr>
            </w:pPr>
            <w:r>
              <w:rPr>
                <w:color w:val="auto"/>
                <w:szCs w:val="21"/>
              </w:rPr>
              <w:t>/</w:t>
            </w:r>
          </w:p>
        </w:tc>
        <w:tc>
          <w:tcPr>
            <w:tcW w:w="1276" w:type="dxa"/>
            <w:vAlign w:val="center"/>
          </w:tcPr>
          <w:p w14:paraId="27E3ED31">
            <w:pPr>
              <w:jc w:val="center"/>
              <w:rPr>
                <w:color w:val="auto"/>
                <w:szCs w:val="21"/>
              </w:rPr>
            </w:pPr>
            <w:r>
              <w:rPr>
                <w:color w:val="auto"/>
                <w:szCs w:val="21"/>
              </w:rPr>
              <w:t>/</w:t>
            </w:r>
          </w:p>
        </w:tc>
        <w:tc>
          <w:tcPr>
            <w:tcW w:w="1701" w:type="dxa"/>
            <w:vAlign w:val="center"/>
          </w:tcPr>
          <w:p w14:paraId="0DB8A318">
            <w:pPr>
              <w:jc w:val="center"/>
              <w:rPr>
                <w:color w:val="auto"/>
                <w:szCs w:val="21"/>
              </w:rPr>
            </w:pPr>
            <w:r>
              <w:rPr>
                <w:color w:val="auto"/>
                <w:szCs w:val="21"/>
              </w:rPr>
              <w:t>/</w:t>
            </w:r>
          </w:p>
        </w:tc>
        <w:tc>
          <w:tcPr>
            <w:tcW w:w="1559" w:type="dxa"/>
            <w:vAlign w:val="center"/>
          </w:tcPr>
          <w:p w14:paraId="19DBB6A8">
            <w:pPr>
              <w:jc w:val="center"/>
              <w:rPr>
                <w:rFonts w:hint="default" w:eastAsia="宋体"/>
                <w:color w:val="auto"/>
                <w:szCs w:val="21"/>
                <w:lang w:val="en-US" w:eastAsia="zh-CN"/>
              </w:rPr>
            </w:pPr>
            <w:r>
              <w:rPr>
                <w:rFonts w:hint="eastAsia"/>
                <w:color w:val="auto"/>
                <w:szCs w:val="21"/>
                <w:lang w:val="en-US" w:eastAsia="zh-CN"/>
              </w:rPr>
              <w:t>7.5</w:t>
            </w:r>
          </w:p>
        </w:tc>
        <w:tc>
          <w:tcPr>
            <w:tcW w:w="1761" w:type="dxa"/>
            <w:vAlign w:val="center"/>
          </w:tcPr>
          <w:p w14:paraId="7A311EE6">
            <w:pPr>
              <w:jc w:val="center"/>
              <w:rPr>
                <w:color w:val="auto"/>
                <w:szCs w:val="21"/>
              </w:rPr>
            </w:pPr>
            <w:r>
              <w:rPr>
                <w:color w:val="auto"/>
                <w:szCs w:val="21"/>
              </w:rPr>
              <w:t>/</w:t>
            </w:r>
          </w:p>
        </w:tc>
        <w:tc>
          <w:tcPr>
            <w:tcW w:w="1641" w:type="dxa"/>
            <w:vAlign w:val="center"/>
          </w:tcPr>
          <w:p w14:paraId="47E799BD">
            <w:pPr>
              <w:pStyle w:val="42"/>
              <w:rPr>
                <w:rFonts w:hint="default" w:eastAsia="宋体"/>
                <w:color w:val="auto"/>
                <w:sz w:val="21"/>
                <w:szCs w:val="21"/>
                <w:lang w:val="en-US" w:eastAsia="zh-CN"/>
              </w:rPr>
            </w:pPr>
            <w:r>
              <w:rPr>
                <w:rFonts w:hint="eastAsia"/>
                <w:color w:val="auto"/>
                <w:sz w:val="21"/>
                <w:szCs w:val="21"/>
                <w:lang w:val="en-US" w:eastAsia="zh-CN"/>
              </w:rPr>
              <w:t>7.5</w:t>
            </w:r>
          </w:p>
        </w:tc>
        <w:tc>
          <w:tcPr>
            <w:tcW w:w="1144" w:type="dxa"/>
            <w:vAlign w:val="center"/>
          </w:tcPr>
          <w:p w14:paraId="1A46D0A7">
            <w:pPr>
              <w:pStyle w:val="42"/>
              <w:rPr>
                <w:color w:val="auto"/>
                <w:sz w:val="21"/>
                <w:szCs w:val="21"/>
              </w:rPr>
            </w:pPr>
            <w:r>
              <w:rPr>
                <w:rFonts w:hint="eastAsia"/>
                <w:color w:val="auto"/>
                <w:sz w:val="21"/>
                <w:szCs w:val="21"/>
                <w:lang w:val="en-US" w:eastAsia="zh-CN"/>
              </w:rPr>
              <w:t>7.5</w:t>
            </w:r>
          </w:p>
        </w:tc>
      </w:tr>
    </w:tbl>
    <w:p w14:paraId="49FDEEE4">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sectPr>
          <w:footerReference r:id="rId4" w:type="default"/>
          <w:pgSz w:w="16838" w:h="11906" w:orient="landscape"/>
          <w:pgMar w:top="1701" w:right="1531" w:bottom="1701" w:left="1531" w:header="851" w:footer="851" w:gutter="0"/>
          <w:cols w:space="720" w:num="1"/>
          <w:docGrid w:linePitch="312" w:charSpace="0"/>
        </w:sect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14:paraId="2F1ABBF0">
      <w:pPr>
        <w:pStyle w:val="18"/>
        <w:rPr>
          <w:rFonts w:hint="eastAsia"/>
        </w:rPr>
      </w:pPr>
      <w:r>
        <w:rPr>
          <w:rFonts w:hint="eastAsia"/>
        </w:rPr>
        <w:t>附图</w:t>
      </w:r>
    </w:p>
    <w:p w14:paraId="4C1BFE74">
      <w:pPr>
        <w:pStyle w:val="18"/>
        <w:rPr>
          <w:rFonts w:hint="eastAsia"/>
        </w:rPr>
      </w:pPr>
      <w:r>
        <w:rPr>
          <w:rFonts w:hint="eastAsia"/>
        </w:rPr>
        <w:t>附图 1 地理位置图</w:t>
      </w:r>
    </w:p>
    <w:p w14:paraId="3721475F">
      <w:pPr>
        <w:pStyle w:val="18"/>
        <w:rPr>
          <w:rFonts w:hint="eastAsia"/>
        </w:rPr>
      </w:pPr>
      <w:r>
        <w:rPr>
          <w:rFonts w:hint="eastAsia"/>
        </w:rPr>
        <w:t>附图 2 厂区土地利用规划示意图</w:t>
      </w:r>
    </w:p>
    <w:p w14:paraId="6C4E092C">
      <w:pPr>
        <w:pStyle w:val="18"/>
        <w:rPr>
          <w:rFonts w:hint="eastAsia"/>
        </w:rPr>
      </w:pPr>
      <w:r>
        <w:rPr>
          <w:rFonts w:hint="eastAsia"/>
        </w:rPr>
        <w:t xml:space="preserve"> 附图 3 本项目在园区规划布局的位置示意图</w:t>
      </w:r>
    </w:p>
    <w:p w14:paraId="1A790469">
      <w:pPr>
        <w:pStyle w:val="18"/>
        <w:rPr>
          <w:rFonts w:hint="eastAsia"/>
        </w:rPr>
      </w:pPr>
      <w:r>
        <w:rPr>
          <w:rFonts w:hint="eastAsia"/>
        </w:rPr>
        <w:t>附图 4 项目总平面布置及分区防渗图</w:t>
      </w:r>
    </w:p>
    <w:p w14:paraId="4047D7E3">
      <w:pPr>
        <w:pStyle w:val="18"/>
        <w:rPr>
          <w:rFonts w:hint="eastAsia"/>
        </w:rPr>
      </w:pPr>
      <w:r>
        <w:rPr>
          <w:rFonts w:hint="eastAsia"/>
        </w:rPr>
        <w:t>附图 5 外环境关系图</w:t>
      </w:r>
    </w:p>
    <w:p w14:paraId="460D0579">
      <w:pPr>
        <w:ind w:firstLine="420" w:firstLineChars="200"/>
        <w:rPr>
          <w:rFonts w:hint="default" w:eastAsia="宋体"/>
          <w:lang w:val="en-US" w:eastAsia="zh-CN"/>
        </w:rPr>
      </w:pPr>
      <w:r>
        <w:rPr>
          <w:rFonts w:hint="eastAsia"/>
          <w:lang w:val="en-US" w:eastAsia="zh-CN"/>
        </w:rPr>
        <w:t>附图6 现场勘察图</w:t>
      </w:r>
    </w:p>
    <w:p w14:paraId="4358F589">
      <w:pPr>
        <w:pStyle w:val="18"/>
        <w:rPr>
          <w:rFonts w:hint="eastAsia"/>
        </w:rPr>
      </w:pPr>
    </w:p>
    <w:p w14:paraId="2AADA7DA">
      <w:pPr>
        <w:pStyle w:val="18"/>
        <w:rPr>
          <w:rFonts w:hint="eastAsia"/>
        </w:rPr>
      </w:pPr>
      <w:r>
        <w:rPr>
          <w:rFonts w:hint="eastAsia"/>
        </w:rPr>
        <w:t>附件</w:t>
      </w:r>
    </w:p>
    <w:p w14:paraId="712CDDDB">
      <w:pPr>
        <w:pStyle w:val="18"/>
        <w:rPr>
          <w:rFonts w:hint="eastAsia"/>
        </w:rPr>
      </w:pPr>
      <w:r>
        <w:rPr>
          <w:rFonts w:hint="eastAsia"/>
        </w:rPr>
        <w:t>附件 1 立项文件</w:t>
      </w:r>
    </w:p>
    <w:p w14:paraId="7032AD8F">
      <w:pPr>
        <w:pStyle w:val="18"/>
        <w:rPr>
          <w:rFonts w:hint="eastAsia"/>
        </w:rPr>
      </w:pPr>
      <w:r>
        <w:rPr>
          <w:rFonts w:hint="eastAsia"/>
        </w:rPr>
        <w:t>附件 2 建设用地规划许可证</w:t>
      </w:r>
    </w:p>
    <w:p w14:paraId="4D2DA97D">
      <w:pPr>
        <w:pStyle w:val="18"/>
        <w:rPr>
          <w:rFonts w:hint="eastAsia"/>
        </w:rPr>
      </w:pPr>
      <w:r>
        <w:rPr>
          <w:rFonts w:hint="eastAsia"/>
        </w:rPr>
        <w:t>附件 3 园区规划环评批复意见</w:t>
      </w:r>
    </w:p>
    <w:p w14:paraId="20843DDD">
      <w:pPr>
        <w:pStyle w:val="18"/>
        <w:rPr>
          <w:rFonts w:hint="eastAsia"/>
        </w:rPr>
      </w:pPr>
      <w:r>
        <w:rPr>
          <w:rFonts w:hint="eastAsia"/>
        </w:rPr>
        <w:t>附件 4 园区企业污水纳管说明</w:t>
      </w:r>
    </w:p>
    <w:p w14:paraId="0904DFB2">
      <w:pPr>
        <w:pStyle w:val="18"/>
        <w:rPr>
          <w:rFonts w:hint="eastAsia"/>
        </w:rPr>
      </w:pPr>
      <w:r>
        <w:rPr>
          <w:rFonts w:hint="eastAsia"/>
        </w:rPr>
        <w:t>附件 5 监测报告</w:t>
      </w:r>
    </w:p>
    <w:p w14:paraId="5EA590E6">
      <w:pPr>
        <w:pStyle w:val="18"/>
        <w:rPr>
          <w:rFonts w:hint="eastAsia"/>
        </w:rPr>
      </w:pPr>
      <w:r>
        <w:rPr>
          <w:rFonts w:hint="eastAsia"/>
        </w:rPr>
        <w:t>附件 6 环评委托书</w:t>
      </w:r>
    </w:p>
    <w:p w14:paraId="2D3E5038">
      <w:pPr>
        <w:pStyle w:val="18"/>
      </w:pPr>
    </w:p>
    <w:sectPr>
      <w:footerReference r:id="rId5"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宋体产业结构调整指导目录">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63418">
    <w:pPr>
      <w:pStyle w:val="1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33</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BFD19">
    <w:pPr>
      <w:pStyle w:val="12"/>
      <w:framePr w:wrap="around" w:vAnchor="text" w:hAnchor="margin" w:xAlign="center" w:y="1"/>
      <w:rPr>
        <w:rStyle w:val="23"/>
        <w:rFonts w:ascii="宋体" w:hAnsi="宋体"/>
        <w:sz w:val="28"/>
        <w:szCs w:val="28"/>
      </w:rPr>
    </w:pPr>
    <w:r>
      <w:rPr>
        <w:rStyle w:val="23"/>
        <w:rFonts w:hint="eastAsia" w:ascii="宋体" w:hAnsi="宋体"/>
        <w:sz w:val="28"/>
        <w:szCs w:val="28"/>
      </w:rPr>
      <w:t>—</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73</w:t>
    </w:r>
    <w:r>
      <w:rPr>
        <w:rFonts w:ascii="宋体" w:hAnsi="宋体"/>
        <w:sz w:val="26"/>
        <w:szCs w:val="26"/>
      </w:rPr>
      <w:fldChar w:fldCharType="end"/>
    </w:r>
    <w:r>
      <w:rPr>
        <w:rStyle w:val="23"/>
        <w:rFonts w:hint="eastAsia" w:ascii="宋体" w:hAnsi="宋体"/>
        <w:sz w:val="28"/>
        <w:szCs w:val="28"/>
      </w:rPr>
      <w:t>—</w:t>
    </w:r>
  </w:p>
  <w:p w14:paraId="030229DF">
    <w:pPr>
      <w:pStyle w:val="1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C3B88">
    <w:pPr>
      <w:pStyle w:val="12"/>
      <w:framePr w:wrap="around" w:vAnchor="text" w:hAnchor="margin" w:xAlign="outside" w:y="1"/>
      <w:rPr>
        <w:rStyle w:val="23"/>
        <w:rFonts w:ascii="宋体" w:hAnsi="宋体"/>
        <w:sz w:val="28"/>
        <w:szCs w:val="28"/>
      </w:rPr>
    </w:pPr>
    <w:r>
      <w:rPr>
        <w:rStyle w:val="23"/>
        <w:rFonts w:hint="eastAsia" w:ascii="宋体" w:hAnsi="宋体"/>
        <w:sz w:val="28"/>
        <w:szCs w:val="28"/>
      </w:rPr>
      <w:t>—</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74</w:t>
    </w:r>
    <w:r>
      <w:rPr>
        <w:rFonts w:ascii="宋体" w:hAnsi="宋体"/>
        <w:sz w:val="26"/>
        <w:szCs w:val="26"/>
      </w:rPr>
      <w:fldChar w:fldCharType="end"/>
    </w:r>
    <w:r>
      <w:rPr>
        <w:rStyle w:val="23"/>
        <w:rFonts w:hint="eastAsia" w:ascii="宋体" w:hAnsi="宋体"/>
        <w:sz w:val="28"/>
        <w:szCs w:val="28"/>
      </w:rPr>
      <w:t>—</w:t>
    </w:r>
  </w:p>
  <w:p w14:paraId="622C93E6">
    <w:pPr>
      <w:pStyle w:val="12"/>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c2MzUyZTRlMjQ0ZDE2ZDcwOWU4NTNhYmI1YTE0MDAifQ=="/>
  </w:docVars>
  <w:rsids>
    <w:rsidRoot w:val="00172A27"/>
    <w:rsid w:val="000004C8"/>
    <w:rsid w:val="000006E9"/>
    <w:rsid w:val="00001C0B"/>
    <w:rsid w:val="00001F3B"/>
    <w:rsid w:val="00002168"/>
    <w:rsid w:val="000038BB"/>
    <w:rsid w:val="00003A5D"/>
    <w:rsid w:val="00004DE3"/>
    <w:rsid w:val="00005104"/>
    <w:rsid w:val="000053E8"/>
    <w:rsid w:val="00005610"/>
    <w:rsid w:val="00005B52"/>
    <w:rsid w:val="000060B3"/>
    <w:rsid w:val="000066BE"/>
    <w:rsid w:val="00006863"/>
    <w:rsid w:val="000068A0"/>
    <w:rsid w:val="000073B3"/>
    <w:rsid w:val="0001172B"/>
    <w:rsid w:val="00011DAE"/>
    <w:rsid w:val="0001225E"/>
    <w:rsid w:val="00014C70"/>
    <w:rsid w:val="00014F52"/>
    <w:rsid w:val="0001500E"/>
    <w:rsid w:val="00015CF3"/>
    <w:rsid w:val="0001699B"/>
    <w:rsid w:val="00020094"/>
    <w:rsid w:val="00020176"/>
    <w:rsid w:val="000211BC"/>
    <w:rsid w:val="00022E22"/>
    <w:rsid w:val="00024999"/>
    <w:rsid w:val="000259F9"/>
    <w:rsid w:val="00025AC7"/>
    <w:rsid w:val="000264C4"/>
    <w:rsid w:val="000268ED"/>
    <w:rsid w:val="0002694E"/>
    <w:rsid w:val="00026C41"/>
    <w:rsid w:val="00027FB8"/>
    <w:rsid w:val="000303A0"/>
    <w:rsid w:val="00031493"/>
    <w:rsid w:val="000329A6"/>
    <w:rsid w:val="00032FA3"/>
    <w:rsid w:val="0003392B"/>
    <w:rsid w:val="00033B51"/>
    <w:rsid w:val="000348FF"/>
    <w:rsid w:val="00035026"/>
    <w:rsid w:val="000355FE"/>
    <w:rsid w:val="00035AA2"/>
    <w:rsid w:val="00036F79"/>
    <w:rsid w:val="0003755D"/>
    <w:rsid w:val="00037B7B"/>
    <w:rsid w:val="00037BAC"/>
    <w:rsid w:val="00037F17"/>
    <w:rsid w:val="000404D9"/>
    <w:rsid w:val="00041508"/>
    <w:rsid w:val="000426B9"/>
    <w:rsid w:val="00043288"/>
    <w:rsid w:val="000432E0"/>
    <w:rsid w:val="0004364B"/>
    <w:rsid w:val="00044D53"/>
    <w:rsid w:val="000450A4"/>
    <w:rsid w:val="000463BE"/>
    <w:rsid w:val="00046BEA"/>
    <w:rsid w:val="00046F16"/>
    <w:rsid w:val="00047973"/>
    <w:rsid w:val="000534C7"/>
    <w:rsid w:val="0005382F"/>
    <w:rsid w:val="00053912"/>
    <w:rsid w:val="0005487F"/>
    <w:rsid w:val="00055079"/>
    <w:rsid w:val="00055263"/>
    <w:rsid w:val="0005586C"/>
    <w:rsid w:val="00055AF0"/>
    <w:rsid w:val="00056D05"/>
    <w:rsid w:val="00057911"/>
    <w:rsid w:val="0006076F"/>
    <w:rsid w:val="00060B95"/>
    <w:rsid w:val="00061B1F"/>
    <w:rsid w:val="00061FCB"/>
    <w:rsid w:val="000621E5"/>
    <w:rsid w:val="00062B9E"/>
    <w:rsid w:val="00063EC1"/>
    <w:rsid w:val="00064956"/>
    <w:rsid w:val="000649FB"/>
    <w:rsid w:val="00064D92"/>
    <w:rsid w:val="00065174"/>
    <w:rsid w:val="00065779"/>
    <w:rsid w:val="00065D62"/>
    <w:rsid w:val="000669C4"/>
    <w:rsid w:val="00067564"/>
    <w:rsid w:val="00067AC7"/>
    <w:rsid w:val="00067F11"/>
    <w:rsid w:val="00071CE7"/>
    <w:rsid w:val="000733C4"/>
    <w:rsid w:val="000736EC"/>
    <w:rsid w:val="0007458E"/>
    <w:rsid w:val="00074783"/>
    <w:rsid w:val="000751F2"/>
    <w:rsid w:val="000758CE"/>
    <w:rsid w:val="00077491"/>
    <w:rsid w:val="0007794A"/>
    <w:rsid w:val="000779E2"/>
    <w:rsid w:val="00077A1B"/>
    <w:rsid w:val="000801D9"/>
    <w:rsid w:val="000804C4"/>
    <w:rsid w:val="000805C4"/>
    <w:rsid w:val="0008070B"/>
    <w:rsid w:val="00080BAF"/>
    <w:rsid w:val="00080C55"/>
    <w:rsid w:val="000810AC"/>
    <w:rsid w:val="00081A02"/>
    <w:rsid w:val="00082231"/>
    <w:rsid w:val="00082EDB"/>
    <w:rsid w:val="00083640"/>
    <w:rsid w:val="000836AA"/>
    <w:rsid w:val="0008574D"/>
    <w:rsid w:val="0008578D"/>
    <w:rsid w:val="00085D3A"/>
    <w:rsid w:val="00086774"/>
    <w:rsid w:val="00086BA9"/>
    <w:rsid w:val="00086C08"/>
    <w:rsid w:val="00087480"/>
    <w:rsid w:val="00087C37"/>
    <w:rsid w:val="00090EAD"/>
    <w:rsid w:val="00090F14"/>
    <w:rsid w:val="00091802"/>
    <w:rsid w:val="00091E0A"/>
    <w:rsid w:val="0009214C"/>
    <w:rsid w:val="00092D0E"/>
    <w:rsid w:val="00092D38"/>
    <w:rsid w:val="00093606"/>
    <w:rsid w:val="0009377B"/>
    <w:rsid w:val="000938DD"/>
    <w:rsid w:val="00095015"/>
    <w:rsid w:val="0009536E"/>
    <w:rsid w:val="00096AE6"/>
    <w:rsid w:val="000971B9"/>
    <w:rsid w:val="00097857"/>
    <w:rsid w:val="00097C09"/>
    <w:rsid w:val="000A0633"/>
    <w:rsid w:val="000A1DAA"/>
    <w:rsid w:val="000A20C9"/>
    <w:rsid w:val="000A2DF0"/>
    <w:rsid w:val="000A3460"/>
    <w:rsid w:val="000A3B08"/>
    <w:rsid w:val="000A3C43"/>
    <w:rsid w:val="000A4175"/>
    <w:rsid w:val="000A47EC"/>
    <w:rsid w:val="000A4D5C"/>
    <w:rsid w:val="000A5A5E"/>
    <w:rsid w:val="000A5FE1"/>
    <w:rsid w:val="000A6F85"/>
    <w:rsid w:val="000A7491"/>
    <w:rsid w:val="000B0133"/>
    <w:rsid w:val="000B0221"/>
    <w:rsid w:val="000B027C"/>
    <w:rsid w:val="000B058F"/>
    <w:rsid w:val="000B1B97"/>
    <w:rsid w:val="000B1FCC"/>
    <w:rsid w:val="000B34ED"/>
    <w:rsid w:val="000B4467"/>
    <w:rsid w:val="000B472E"/>
    <w:rsid w:val="000B4A2C"/>
    <w:rsid w:val="000B4DB9"/>
    <w:rsid w:val="000B526A"/>
    <w:rsid w:val="000B56D4"/>
    <w:rsid w:val="000B5BC2"/>
    <w:rsid w:val="000B5DF5"/>
    <w:rsid w:val="000B5DF8"/>
    <w:rsid w:val="000B60C1"/>
    <w:rsid w:val="000B68AF"/>
    <w:rsid w:val="000B731D"/>
    <w:rsid w:val="000B7753"/>
    <w:rsid w:val="000C02F2"/>
    <w:rsid w:val="000C07A7"/>
    <w:rsid w:val="000C09AC"/>
    <w:rsid w:val="000C0D85"/>
    <w:rsid w:val="000C20BA"/>
    <w:rsid w:val="000C2E14"/>
    <w:rsid w:val="000C3C95"/>
    <w:rsid w:val="000C3FF1"/>
    <w:rsid w:val="000C423F"/>
    <w:rsid w:val="000C58EF"/>
    <w:rsid w:val="000C6177"/>
    <w:rsid w:val="000C665A"/>
    <w:rsid w:val="000C68FD"/>
    <w:rsid w:val="000C767F"/>
    <w:rsid w:val="000D114C"/>
    <w:rsid w:val="000D41B7"/>
    <w:rsid w:val="000D46C7"/>
    <w:rsid w:val="000D5372"/>
    <w:rsid w:val="000D556B"/>
    <w:rsid w:val="000D5A44"/>
    <w:rsid w:val="000D5AD4"/>
    <w:rsid w:val="000D5EA2"/>
    <w:rsid w:val="000D67BD"/>
    <w:rsid w:val="000D6BAA"/>
    <w:rsid w:val="000D7DBD"/>
    <w:rsid w:val="000D7F0B"/>
    <w:rsid w:val="000D7F17"/>
    <w:rsid w:val="000E07D8"/>
    <w:rsid w:val="000E0D01"/>
    <w:rsid w:val="000E12EC"/>
    <w:rsid w:val="000E1723"/>
    <w:rsid w:val="000E18E7"/>
    <w:rsid w:val="000E24D0"/>
    <w:rsid w:val="000E29CF"/>
    <w:rsid w:val="000E34A2"/>
    <w:rsid w:val="000E3ED2"/>
    <w:rsid w:val="000E437E"/>
    <w:rsid w:val="000E458D"/>
    <w:rsid w:val="000E4B2A"/>
    <w:rsid w:val="000E4F45"/>
    <w:rsid w:val="000E61B7"/>
    <w:rsid w:val="000E62C2"/>
    <w:rsid w:val="000F04AA"/>
    <w:rsid w:val="000F0FD7"/>
    <w:rsid w:val="000F148F"/>
    <w:rsid w:val="000F27D2"/>
    <w:rsid w:val="000F4C57"/>
    <w:rsid w:val="000F5BD8"/>
    <w:rsid w:val="00100031"/>
    <w:rsid w:val="00101606"/>
    <w:rsid w:val="0010203E"/>
    <w:rsid w:val="001026F2"/>
    <w:rsid w:val="0010310A"/>
    <w:rsid w:val="001035C2"/>
    <w:rsid w:val="001041CA"/>
    <w:rsid w:val="00104387"/>
    <w:rsid w:val="00105EBE"/>
    <w:rsid w:val="001076E1"/>
    <w:rsid w:val="00107BE6"/>
    <w:rsid w:val="00107C1B"/>
    <w:rsid w:val="00107F9A"/>
    <w:rsid w:val="001104B1"/>
    <w:rsid w:val="00110925"/>
    <w:rsid w:val="00110F4F"/>
    <w:rsid w:val="00111021"/>
    <w:rsid w:val="0011179C"/>
    <w:rsid w:val="00111C0D"/>
    <w:rsid w:val="001121BB"/>
    <w:rsid w:val="00112575"/>
    <w:rsid w:val="0011268E"/>
    <w:rsid w:val="00112FDB"/>
    <w:rsid w:val="001140F6"/>
    <w:rsid w:val="00114357"/>
    <w:rsid w:val="00115153"/>
    <w:rsid w:val="00115251"/>
    <w:rsid w:val="001157EF"/>
    <w:rsid w:val="0011627D"/>
    <w:rsid w:val="00117278"/>
    <w:rsid w:val="001177B7"/>
    <w:rsid w:val="00120AEE"/>
    <w:rsid w:val="00121BFB"/>
    <w:rsid w:val="00123270"/>
    <w:rsid w:val="00123FBB"/>
    <w:rsid w:val="001240BD"/>
    <w:rsid w:val="00124C0C"/>
    <w:rsid w:val="00124D80"/>
    <w:rsid w:val="0012557C"/>
    <w:rsid w:val="00125637"/>
    <w:rsid w:val="00125C58"/>
    <w:rsid w:val="00125F4F"/>
    <w:rsid w:val="0013138C"/>
    <w:rsid w:val="001314D7"/>
    <w:rsid w:val="00131F42"/>
    <w:rsid w:val="001320ED"/>
    <w:rsid w:val="001321E0"/>
    <w:rsid w:val="00132749"/>
    <w:rsid w:val="00132FFA"/>
    <w:rsid w:val="0013415A"/>
    <w:rsid w:val="0013439F"/>
    <w:rsid w:val="001344CC"/>
    <w:rsid w:val="00134916"/>
    <w:rsid w:val="00135012"/>
    <w:rsid w:val="001357ED"/>
    <w:rsid w:val="001357F1"/>
    <w:rsid w:val="00135A2B"/>
    <w:rsid w:val="00135F22"/>
    <w:rsid w:val="00135F90"/>
    <w:rsid w:val="00135FE3"/>
    <w:rsid w:val="001360B4"/>
    <w:rsid w:val="00136936"/>
    <w:rsid w:val="001372B5"/>
    <w:rsid w:val="00137370"/>
    <w:rsid w:val="00137A3D"/>
    <w:rsid w:val="001401DD"/>
    <w:rsid w:val="00140A57"/>
    <w:rsid w:val="00140FA8"/>
    <w:rsid w:val="00141033"/>
    <w:rsid w:val="00141712"/>
    <w:rsid w:val="001419F9"/>
    <w:rsid w:val="001428BC"/>
    <w:rsid w:val="00142FEB"/>
    <w:rsid w:val="0014311C"/>
    <w:rsid w:val="0014389C"/>
    <w:rsid w:val="00143A2D"/>
    <w:rsid w:val="00143F2A"/>
    <w:rsid w:val="001445AD"/>
    <w:rsid w:val="001450BE"/>
    <w:rsid w:val="00145835"/>
    <w:rsid w:val="00145A41"/>
    <w:rsid w:val="00145C2D"/>
    <w:rsid w:val="001468BA"/>
    <w:rsid w:val="00146EDC"/>
    <w:rsid w:val="0014709B"/>
    <w:rsid w:val="00147C07"/>
    <w:rsid w:val="00147F01"/>
    <w:rsid w:val="001501DD"/>
    <w:rsid w:val="00150CDD"/>
    <w:rsid w:val="00150D90"/>
    <w:rsid w:val="001511A0"/>
    <w:rsid w:val="00151675"/>
    <w:rsid w:val="001525C7"/>
    <w:rsid w:val="001543EF"/>
    <w:rsid w:val="00155B4A"/>
    <w:rsid w:val="00157178"/>
    <w:rsid w:val="001571E4"/>
    <w:rsid w:val="00157435"/>
    <w:rsid w:val="0015748B"/>
    <w:rsid w:val="00160494"/>
    <w:rsid w:val="00162832"/>
    <w:rsid w:val="001648B5"/>
    <w:rsid w:val="001648DA"/>
    <w:rsid w:val="00164E10"/>
    <w:rsid w:val="001654F4"/>
    <w:rsid w:val="00165A61"/>
    <w:rsid w:val="001667CA"/>
    <w:rsid w:val="00166B74"/>
    <w:rsid w:val="001675B5"/>
    <w:rsid w:val="00167D24"/>
    <w:rsid w:val="00167FC7"/>
    <w:rsid w:val="00171AC5"/>
    <w:rsid w:val="00171E49"/>
    <w:rsid w:val="00172A27"/>
    <w:rsid w:val="00172E81"/>
    <w:rsid w:val="0017327C"/>
    <w:rsid w:val="0017397E"/>
    <w:rsid w:val="0017444D"/>
    <w:rsid w:val="00174C3D"/>
    <w:rsid w:val="00174D81"/>
    <w:rsid w:val="0017504D"/>
    <w:rsid w:val="001753BD"/>
    <w:rsid w:val="00175CAC"/>
    <w:rsid w:val="00175CCC"/>
    <w:rsid w:val="0017671A"/>
    <w:rsid w:val="00177422"/>
    <w:rsid w:val="00177604"/>
    <w:rsid w:val="00177AFD"/>
    <w:rsid w:val="001805FD"/>
    <w:rsid w:val="00180F0A"/>
    <w:rsid w:val="00181057"/>
    <w:rsid w:val="0018191D"/>
    <w:rsid w:val="001821A9"/>
    <w:rsid w:val="00182731"/>
    <w:rsid w:val="001837C1"/>
    <w:rsid w:val="00183996"/>
    <w:rsid w:val="00184590"/>
    <w:rsid w:val="00185301"/>
    <w:rsid w:val="00185EFE"/>
    <w:rsid w:val="00185F73"/>
    <w:rsid w:val="0018668B"/>
    <w:rsid w:val="00186A78"/>
    <w:rsid w:val="00186F1C"/>
    <w:rsid w:val="001870D1"/>
    <w:rsid w:val="001873BD"/>
    <w:rsid w:val="0018781E"/>
    <w:rsid w:val="00190345"/>
    <w:rsid w:val="0019171F"/>
    <w:rsid w:val="0019199D"/>
    <w:rsid w:val="0019262D"/>
    <w:rsid w:val="00193BB7"/>
    <w:rsid w:val="00194576"/>
    <w:rsid w:val="001945D1"/>
    <w:rsid w:val="00194F20"/>
    <w:rsid w:val="001955A2"/>
    <w:rsid w:val="0019575E"/>
    <w:rsid w:val="00195772"/>
    <w:rsid w:val="00195E58"/>
    <w:rsid w:val="0019683A"/>
    <w:rsid w:val="00196AC9"/>
    <w:rsid w:val="0019709C"/>
    <w:rsid w:val="00197465"/>
    <w:rsid w:val="00197CE1"/>
    <w:rsid w:val="001A01A0"/>
    <w:rsid w:val="001A01E4"/>
    <w:rsid w:val="001A1197"/>
    <w:rsid w:val="001A1B35"/>
    <w:rsid w:val="001A1BCF"/>
    <w:rsid w:val="001A3986"/>
    <w:rsid w:val="001A3F4B"/>
    <w:rsid w:val="001A48A2"/>
    <w:rsid w:val="001A57AA"/>
    <w:rsid w:val="001A58B9"/>
    <w:rsid w:val="001A5BB5"/>
    <w:rsid w:val="001A650E"/>
    <w:rsid w:val="001A6D1F"/>
    <w:rsid w:val="001A6F61"/>
    <w:rsid w:val="001A78BC"/>
    <w:rsid w:val="001A7BA8"/>
    <w:rsid w:val="001A7D44"/>
    <w:rsid w:val="001B0D3E"/>
    <w:rsid w:val="001B1311"/>
    <w:rsid w:val="001B2182"/>
    <w:rsid w:val="001B2D11"/>
    <w:rsid w:val="001B34F0"/>
    <w:rsid w:val="001B3760"/>
    <w:rsid w:val="001B4B0E"/>
    <w:rsid w:val="001B5572"/>
    <w:rsid w:val="001B5801"/>
    <w:rsid w:val="001B58AB"/>
    <w:rsid w:val="001B61E6"/>
    <w:rsid w:val="001B67AC"/>
    <w:rsid w:val="001B72B8"/>
    <w:rsid w:val="001C1584"/>
    <w:rsid w:val="001C178A"/>
    <w:rsid w:val="001C1AA5"/>
    <w:rsid w:val="001C1CAA"/>
    <w:rsid w:val="001C1DBF"/>
    <w:rsid w:val="001C2C2F"/>
    <w:rsid w:val="001C357F"/>
    <w:rsid w:val="001C3A2B"/>
    <w:rsid w:val="001C4485"/>
    <w:rsid w:val="001C45AC"/>
    <w:rsid w:val="001C552F"/>
    <w:rsid w:val="001C6061"/>
    <w:rsid w:val="001C61D8"/>
    <w:rsid w:val="001C69B3"/>
    <w:rsid w:val="001C6D2B"/>
    <w:rsid w:val="001C76C3"/>
    <w:rsid w:val="001C7B38"/>
    <w:rsid w:val="001C7CA4"/>
    <w:rsid w:val="001D019A"/>
    <w:rsid w:val="001D0906"/>
    <w:rsid w:val="001D1B7F"/>
    <w:rsid w:val="001D2419"/>
    <w:rsid w:val="001D2E5E"/>
    <w:rsid w:val="001D2F90"/>
    <w:rsid w:val="001D376F"/>
    <w:rsid w:val="001D5595"/>
    <w:rsid w:val="001D5895"/>
    <w:rsid w:val="001D6192"/>
    <w:rsid w:val="001D61C3"/>
    <w:rsid w:val="001D642A"/>
    <w:rsid w:val="001D6B4F"/>
    <w:rsid w:val="001D7627"/>
    <w:rsid w:val="001D7874"/>
    <w:rsid w:val="001D7B16"/>
    <w:rsid w:val="001D7F22"/>
    <w:rsid w:val="001E01BB"/>
    <w:rsid w:val="001E0E0E"/>
    <w:rsid w:val="001E12DE"/>
    <w:rsid w:val="001E149E"/>
    <w:rsid w:val="001E1739"/>
    <w:rsid w:val="001E1DCF"/>
    <w:rsid w:val="001E236C"/>
    <w:rsid w:val="001E2457"/>
    <w:rsid w:val="001E330E"/>
    <w:rsid w:val="001E3E19"/>
    <w:rsid w:val="001E3E3A"/>
    <w:rsid w:val="001E6539"/>
    <w:rsid w:val="001E6B9D"/>
    <w:rsid w:val="001E6EA6"/>
    <w:rsid w:val="001E6FC2"/>
    <w:rsid w:val="001F0F17"/>
    <w:rsid w:val="001F1D32"/>
    <w:rsid w:val="001F2973"/>
    <w:rsid w:val="001F2B48"/>
    <w:rsid w:val="001F3347"/>
    <w:rsid w:val="001F3351"/>
    <w:rsid w:val="001F3BEF"/>
    <w:rsid w:val="001F3F74"/>
    <w:rsid w:val="001F4590"/>
    <w:rsid w:val="001F4630"/>
    <w:rsid w:val="001F52E0"/>
    <w:rsid w:val="001F5576"/>
    <w:rsid w:val="001F575E"/>
    <w:rsid w:val="001F67A4"/>
    <w:rsid w:val="001F69E4"/>
    <w:rsid w:val="001F6EDF"/>
    <w:rsid w:val="001F7A46"/>
    <w:rsid w:val="001F7C3A"/>
    <w:rsid w:val="001F7E9B"/>
    <w:rsid w:val="0020079D"/>
    <w:rsid w:val="002007B2"/>
    <w:rsid w:val="002010B0"/>
    <w:rsid w:val="00201640"/>
    <w:rsid w:val="002031BA"/>
    <w:rsid w:val="002038AF"/>
    <w:rsid w:val="00204336"/>
    <w:rsid w:val="002057B3"/>
    <w:rsid w:val="002101F4"/>
    <w:rsid w:val="002107AE"/>
    <w:rsid w:val="00210B78"/>
    <w:rsid w:val="00210EE5"/>
    <w:rsid w:val="00211462"/>
    <w:rsid w:val="00211609"/>
    <w:rsid w:val="002125B4"/>
    <w:rsid w:val="0021337B"/>
    <w:rsid w:val="002155B8"/>
    <w:rsid w:val="00215668"/>
    <w:rsid w:val="00215E74"/>
    <w:rsid w:val="00215FA0"/>
    <w:rsid w:val="0021671C"/>
    <w:rsid w:val="002170BF"/>
    <w:rsid w:val="002172D1"/>
    <w:rsid w:val="0021793B"/>
    <w:rsid w:val="00217CE3"/>
    <w:rsid w:val="002207B7"/>
    <w:rsid w:val="00222FD0"/>
    <w:rsid w:val="00222FDF"/>
    <w:rsid w:val="00223FE6"/>
    <w:rsid w:val="0022426C"/>
    <w:rsid w:val="00224476"/>
    <w:rsid w:val="00224839"/>
    <w:rsid w:val="002249B2"/>
    <w:rsid w:val="00224DB2"/>
    <w:rsid w:val="00225C22"/>
    <w:rsid w:val="00225E1F"/>
    <w:rsid w:val="00226574"/>
    <w:rsid w:val="00227259"/>
    <w:rsid w:val="002278EC"/>
    <w:rsid w:val="00230546"/>
    <w:rsid w:val="002305C6"/>
    <w:rsid w:val="002311BC"/>
    <w:rsid w:val="00231842"/>
    <w:rsid w:val="0023201A"/>
    <w:rsid w:val="0023280E"/>
    <w:rsid w:val="00232BA6"/>
    <w:rsid w:val="0023379C"/>
    <w:rsid w:val="00233888"/>
    <w:rsid w:val="0023476A"/>
    <w:rsid w:val="002367EF"/>
    <w:rsid w:val="00237164"/>
    <w:rsid w:val="002377D1"/>
    <w:rsid w:val="00240F47"/>
    <w:rsid w:val="00240FAB"/>
    <w:rsid w:val="002418E8"/>
    <w:rsid w:val="00241AF4"/>
    <w:rsid w:val="00242A7A"/>
    <w:rsid w:val="00242AA3"/>
    <w:rsid w:val="00243447"/>
    <w:rsid w:val="0024533B"/>
    <w:rsid w:val="0024590A"/>
    <w:rsid w:val="00246ED5"/>
    <w:rsid w:val="002472EE"/>
    <w:rsid w:val="00247AEF"/>
    <w:rsid w:val="002506BC"/>
    <w:rsid w:val="0025094A"/>
    <w:rsid w:val="0025140C"/>
    <w:rsid w:val="00253199"/>
    <w:rsid w:val="0025329F"/>
    <w:rsid w:val="002534B6"/>
    <w:rsid w:val="002539A4"/>
    <w:rsid w:val="00253B90"/>
    <w:rsid w:val="00253D84"/>
    <w:rsid w:val="00254345"/>
    <w:rsid w:val="00254902"/>
    <w:rsid w:val="00254CA1"/>
    <w:rsid w:val="00254F17"/>
    <w:rsid w:val="002550FD"/>
    <w:rsid w:val="002557A4"/>
    <w:rsid w:val="0025639A"/>
    <w:rsid w:val="00256EC1"/>
    <w:rsid w:val="00257FA3"/>
    <w:rsid w:val="00260969"/>
    <w:rsid w:val="00261497"/>
    <w:rsid w:val="00264371"/>
    <w:rsid w:val="00264557"/>
    <w:rsid w:val="00264FFD"/>
    <w:rsid w:val="002650A4"/>
    <w:rsid w:val="00265185"/>
    <w:rsid w:val="002651DC"/>
    <w:rsid w:val="00265348"/>
    <w:rsid w:val="00265586"/>
    <w:rsid w:val="00270784"/>
    <w:rsid w:val="00270C81"/>
    <w:rsid w:val="0027179B"/>
    <w:rsid w:val="0027318F"/>
    <w:rsid w:val="002735DE"/>
    <w:rsid w:val="0027440E"/>
    <w:rsid w:val="002747B6"/>
    <w:rsid w:val="00274CE5"/>
    <w:rsid w:val="00274E99"/>
    <w:rsid w:val="00275452"/>
    <w:rsid w:val="00276878"/>
    <w:rsid w:val="0027709A"/>
    <w:rsid w:val="002779A0"/>
    <w:rsid w:val="002805AB"/>
    <w:rsid w:val="00281176"/>
    <w:rsid w:val="002815FD"/>
    <w:rsid w:val="002816AE"/>
    <w:rsid w:val="00281D86"/>
    <w:rsid w:val="00282BDE"/>
    <w:rsid w:val="00282CD9"/>
    <w:rsid w:val="002841A0"/>
    <w:rsid w:val="00284204"/>
    <w:rsid w:val="002849D3"/>
    <w:rsid w:val="00284DED"/>
    <w:rsid w:val="002860B3"/>
    <w:rsid w:val="002866DA"/>
    <w:rsid w:val="00286FDE"/>
    <w:rsid w:val="0029082F"/>
    <w:rsid w:val="00291640"/>
    <w:rsid w:val="00291773"/>
    <w:rsid w:val="00291C0D"/>
    <w:rsid w:val="00292016"/>
    <w:rsid w:val="002920A8"/>
    <w:rsid w:val="00292BB0"/>
    <w:rsid w:val="00292BE2"/>
    <w:rsid w:val="00293DB2"/>
    <w:rsid w:val="00294EF2"/>
    <w:rsid w:val="00295F1D"/>
    <w:rsid w:val="0029638A"/>
    <w:rsid w:val="002963AD"/>
    <w:rsid w:val="0029640B"/>
    <w:rsid w:val="00296CC1"/>
    <w:rsid w:val="00296F00"/>
    <w:rsid w:val="002A0482"/>
    <w:rsid w:val="002A0B10"/>
    <w:rsid w:val="002A0E77"/>
    <w:rsid w:val="002A148C"/>
    <w:rsid w:val="002A168C"/>
    <w:rsid w:val="002A1D61"/>
    <w:rsid w:val="002A1FDD"/>
    <w:rsid w:val="002A30A8"/>
    <w:rsid w:val="002A30BC"/>
    <w:rsid w:val="002A30C5"/>
    <w:rsid w:val="002A31A2"/>
    <w:rsid w:val="002A3DC7"/>
    <w:rsid w:val="002A45DA"/>
    <w:rsid w:val="002A487B"/>
    <w:rsid w:val="002A7640"/>
    <w:rsid w:val="002A7EC6"/>
    <w:rsid w:val="002B060C"/>
    <w:rsid w:val="002B1602"/>
    <w:rsid w:val="002B18B1"/>
    <w:rsid w:val="002B1E48"/>
    <w:rsid w:val="002B3728"/>
    <w:rsid w:val="002B48CA"/>
    <w:rsid w:val="002B49E2"/>
    <w:rsid w:val="002B4D85"/>
    <w:rsid w:val="002B5D8A"/>
    <w:rsid w:val="002B5DDD"/>
    <w:rsid w:val="002B6235"/>
    <w:rsid w:val="002B6ECB"/>
    <w:rsid w:val="002B7585"/>
    <w:rsid w:val="002B7B00"/>
    <w:rsid w:val="002B7C44"/>
    <w:rsid w:val="002C01C4"/>
    <w:rsid w:val="002C045C"/>
    <w:rsid w:val="002C060C"/>
    <w:rsid w:val="002C0C1B"/>
    <w:rsid w:val="002C0FEE"/>
    <w:rsid w:val="002C135E"/>
    <w:rsid w:val="002C139B"/>
    <w:rsid w:val="002C18F2"/>
    <w:rsid w:val="002C24D9"/>
    <w:rsid w:val="002C2B17"/>
    <w:rsid w:val="002C2BF1"/>
    <w:rsid w:val="002C32C8"/>
    <w:rsid w:val="002C359C"/>
    <w:rsid w:val="002C3767"/>
    <w:rsid w:val="002C48D5"/>
    <w:rsid w:val="002C4C4A"/>
    <w:rsid w:val="002C505E"/>
    <w:rsid w:val="002C5C77"/>
    <w:rsid w:val="002C5D96"/>
    <w:rsid w:val="002C6655"/>
    <w:rsid w:val="002C6DCD"/>
    <w:rsid w:val="002C7047"/>
    <w:rsid w:val="002C7C52"/>
    <w:rsid w:val="002C7EEF"/>
    <w:rsid w:val="002D04D1"/>
    <w:rsid w:val="002D0752"/>
    <w:rsid w:val="002D0B44"/>
    <w:rsid w:val="002D0BEE"/>
    <w:rsid w:val="002D27D2"/>
    <w:rsid w:val="002D36D1"/>
    <w:rsid w:val="002D3A16"/>
    <w:rsid w:val="002D3DD0"/>
    <w:rsid w:val="002D46F0"/>
    <w:rsid w:val="002D4831"/>
    <w:rsid w:val="002D539C"/>
    <w:rsid w:val="002D6AAA"/>
    <w:rsid w:val="002D6EC7"/>
    <w:rsid w:val="002D730B"/>
    <w:rsid w:val="002E10CF"/>
    <w:rsid w:val="002E1928"/>
    <w:rsid w:val="002E1F3A"/>
    <w:rsid w:val="002E298A"/>
    <w:rsid w:val="002E4CE3"/>
    <w:rsid w:val="002E506E"/>
    <w:rsid w:val="002E50D7"/>
    <w:rsid w:val="002E5303"/>
    <w:rsid w:val="002E569C"/>
    <w:rsid w:val="002E5DA8"/>
    <w:rsid w:val="002E600E"/>
    <w:rsid w:val="002E6E46"/>
    <w:rsid w:val="002E720B"/>
    <w:rsid w:val="002F086B"/>
    <w:rsid w:val="002F08BD"/>
    <w:rsid w:val="002F0A13"/>
    <w:rsid w:val="002F0CAF"/>
    <w:rsid w:val="002F1159"/>
    <w:rsid w:val="002F1510"/>
    <w:rsid w:val="002F1859"/>
    <w:rsid w:val="002F1921"/>
    <w:rsid w:val="002F1B28"/>
    <w:rsid w:val="002F3402"/>
    <w:rsid w:val="002F3964"/>
    <w:rsid w:val="002F3BAE"/>
    <w:rsid w:val="002F4610"/>
    <w:rsid w:val="002F46C6"/>
    <w:rsid w:val="002F5AC5"/>
    <w:rsid w:val="002F6359"/>
    <w:rsid w:val="002F71E5"/>
    <w:rsid w:val="002F75F6"/>
    <w:rsid w:val="002F7FEC"/>
    <w:rsid w:val="00301575"/>
    <w:rsid w:val="00301978"/>
    <w:rsid w:val="00301DCC"/>
    <w:rsid w:val="00302589"/>
    <w:rsid w:val="00302AE2"/>
    <w:rsid w:val="00302BCA"/>
    <w:rsid w:val="0030332C"/>
    <w:rsid w:val="00304A7F"/>
    <w:rsid w:val="00304D6B"/>
    <w:rsid w:val="003051C2"/>
    <w:rsid w:val="003053AB"/>
    <w:rsid w:val="0030549D"/>
    <w:rsid w:val="00305505"/>
    <w:rsid w:val="003062B4"/>
    <w:rsid w:val="003065E0"/>
    <w:rsid w:val="00306930"/>
    <w:rsid w:val="00306C0A"/>
    <w:rsid w:val="0030787D"/>
    <w:rsid w:val="00307B45"/>
    <w:rsid w:val="00310173"/>
    <w:rsid w:val="00310DC3"/>
    <w:rsid w:val="00311046"/>
    <w:rsid w:val="003117C4"/>
    <w:rsid w:val="00311D40"/>
    <w:rsid w:val="0031220D"/>
    <w:rsid w:val="00312296"/>
    <w:rsid w:val="00312A1A"/>
    <w:rsid w:val="003139DC"/>
    <w:rsid w:val="003141CE"/>
    <w:rsid w:val="003148EB"/>
    <w:rsid w:val="00314F0E"/>
    <w:rsid w:val="00315413"/>
    <w:rsid w:val="003156A5"/>
    <w:rsid w:val="003158D4"/>
    <w:rsid w:val="003166F4"/>
    <w:rsid w:val="00317A1A"/>
    <w:rsid w:val="00317CFB"/>
    <w:rsid w:val="00317E8C"/>
    <w:rsid w:val="003218B4"/>
    <w:rsid w:val="00321935"/>
    <w:rsid w:val="00321D8E"/>
    <w:rsid w:val="003221E4"/>
    <w:rsid w:val="003229CC"/>
    <w:rsid w:val="00323059"/>
    <w:rsid w:val="00323EDB"/>
    <w:rsid w:val="0032415F"/>
    <w:rsid w:val="003243F0"/>
    <w:rsid w:val="00324511"/>
    <w:rsid w:val="003248F1"/>
    <w:rsid w:val="0032528F"/>
    <w:rsid w:val="00325928"/>
    <w:rsid w:val="00325B77"/>
    <w:rsid w:val="00326594"/>
    <w:rsid w:val="003270C4"/>
    <w:rsid w:val="003273C1"/>
    <w:rsid w:val="003277D1"/>
    <w:rsid w:val="00327823"/>
    <w:rsid w:val="0032792E"/>
    <w:rsid w:val="003279FF"/>
    <w:rsid w:val="003302DE"/>
    <w:rsid w:val="0033072B"/>
    <w:rsid w:val="00331D6A"/>
    <w:rsid w:val="00331E7C"/>
    <w:rsid w:val="00332445"/>
    <w:rsid w:val="00332863"/>
    <w:rsid w:val="00334377"/>
    <w:rsid w:val="00334C92"/>
    <w:rsid w:val="0033529A"/>
    <w:rsid w:val="003354F6"/>
    <w:rsid w:val="0033684D"/>
    <w:rsid w:val="00336CBA"/>
    <w:rsid w:val="00336F54"/>
    <w:rsid w:val="00337947"/>
    <w:rsid w:val="00337B42"/>
    <w:rsid w:val="00337F1E"/>
    <w:rsid w:val="003407CE"/>
    <w:rsid w:val="00340807"/>
    <w:rsid w:val="0034144F"/>
    <w:rsid w:val="00341ABB"/>
    <w:rsid w:val="00341B42"/>
    <w:rsid w:val="00342829"/>
    <w:rsid w:val="00342C68"/>
    <w:rsid w:val="00343122"/>
    <w:rsid w:val="0034348F"/>
    <w:rsid w:val="00345E0E"/>
    <w:rsid w:val="00345F7D"/>
    <w:rsid w:val="003460A9"/>
    <w:rsid w:val="0034647A"/>
    <w:rsid w:val="00346C2B"/>
    <w:rsid w:val="003506FE"/>
    <w:rsid w:val="00351576"/>
    <w:rsid w:val="0035299C"/>
    <w:rsid w:val="00352A47"/>
    <w:rsid w:val="00352C11"/>
    <w:rsid w:val="00352F84"/>
    <w:rsid w:val="003536CA"/>
    <w:rsid w:val="00353E0A"/>
    <w:rsid w:val="00354B1E"/>
    <w:rsid w:val="00356653"/>
    <w:rsid w:val="00356D17"/>
    <w:rsid w:val="0035743F"/>
    <w:rsid w:val="00357756"/>
    <w:rsid w:val="00357979"/>
    <w:rsid w:val="00357B4F"/>
    <w:rsid w:val="00357BE2"/>
    <w:rsid w:val="00357BFB"/>
    <w:rsid w:val="0036170C"/>
    <w:rsid w:val="00361C3B"/>
    <w:rsid w:val="003622DC"/>
    <w:rsid w:val="003625D7"/>
    <w:rsid w:val="0036331A"/>
    <w:rsid w:val="003637A8"/>
    <w:rsid w:val="003639BA"/>
    <w:rsid w:val="00363A3F"/>
    <w:rsid w:val="0036481A"/>
    <w:rsid w:val="00365AAA"/>
    <w:rsid w:val="0036601E"/>
    <w:rsid w:val="00366E0F"/>
    <w:rsid w:val="00370930"/>
    <w:rsid w:val="00371341"/>
    <w:rsid w:val="00371560"/>
    <w:rsid w:val="00371C3C"/>
    <w:rsid w:val="00372489"/>
    <w:rsid w:val="003724C1"/>
    <w:rsid w:val="0037323A"/>
    <w:rsid w:val="00373331"/>
    <w:rsid w:val="0037486F"/>
    <w:rsid w:val="00375221"/>
    <w:rsid w:val="0037694D"/>
    <w:rsid w:val="00376EFE"/>
    <w:rsid w:val="00376FED"/>
    <w:rsid w:val="003771FA"/>
    <w:rsid w:val="0037740A"/>
    <w:rsid w:val="003803BB"/>
    <w:rsid w:val="0038126C"/>
    <w:rsid w:val="0038171D"/>
    <w:rsid w:val="00381931"/>
    <w:rsid w:val="00381A72"/>
    <w:rsid w:val="00382CA8"/>
    <w:rsid w:val="00383E94"/>
    <w:rsid w:val="00384676"/>
    <w:rsid w:val="003853F2"/>
    <w:rsid w:val="003855EC"/>
    <w:rsid w:val="00385623"/>
    <w:rsid w:val="00386059"/>
    <w:rsid w:val="00386469"/>
    <w:rsid w:val="00390857"/>
    <w:rsid w:val="00390B97"/>
    <w:rsid w:val="003919C3"/>
    <w:rsid w:val="00391AFC"/>
    <w:rsid w:val="003929FE"/>
    <w:rsid w:val="00393756"/>
    <w:rsid w:val="0039481A"/>
    <w:rsid w:val="00394DC1"/>
    <w:rsid w:val="00395191"/>
    <w:rsid w:val="003962E4"/>
    <w:rsid w:val="00396DD9"/>
    <w:rsid w:val="003973F3"/>
    <w:rsid w:val="003A014A"/>
    <w:rsid w:val="003A037B"/>
    <w:rsid w:val="003A06FC"/>
    <w:rsid w:val="003A0BE1"/>
    <w:rsid w:val="003A2499"/>
    <w:rsid w:val="003A28CC"/>
    <w:rsid w:val="003A2E41"/>
    <w:rsid w:val="003A3174"/>
    <w:rsid w:val="003A35BC"/>
    <w:rsid w:val="003A36A3"/>
    <w:rsid w:val="003A3AF2"/>
    <w:rsid w:val="003A4BF3"/>
    <w:rsid w:val="003A4F75"/>
    <w:rsid w:val="003A59BB"/>
    <w:rsid w:val="003A63C4"/>
    <w:rsid w:val="003A6D45"/>
    <w:rsid w:val="003A6EAF"/>
    <w:rsid w:val="003A751F"/>
    <w:rsid w:val="003A7E04"/>
    <w:rsid w:val="003A7F2E"/>
    <w:rsid w:val="003B17E0"/>
    <w:rsid w:val="003B22FD"/>
    <w:rsid w:val="003B3503"/>
    <w:rsid w:val="003B420D"/>
    <w:rsid w:val="003B6058"/>
    <w:rsid w:val="003B60FB"/>
    <w:rsid w:val="003B705C"/>
    <w:rsid w:val="003B71F6"/>
    <w:rsid w:val="003C0619"/>
    <w:rsid w:val="003C1309"/>
    <w:rsid w:val="003C1B93"/>
    <w:rsid w:val="003C2115"/>
    <w:rsid w:val="003C2D75"/>
    <w:rsid w:val="003C3D6E"/>
    <w:rsid w:val="003C3E66"/>
    <w:rsid w:val="003C3EDD"/>
    <w:rsid w:val="003C4A52"/>
    <w:rsid w:val="003C4E26"/>
    <w:rsid w:val="003C4F2B"/>
    <w:rsid w:val="003C6688"/>
    <w:rsid w:val="003C679C"/>
    <w:rsid w:val="003C6ADE"/>
    <w:rsid w:val="003C6C16"/>
    <w:rsid w:val="003C6C29"/>
    <w:rsid w:val="003C755B"/>
    <w:rsid w:val="003C757A"/>
    <w:rsid w:val="003D0283"/>
    <w:rsid w:val="003D0439"/>
    <w:rsid w:val="003D0DE7"/>
    <w:rsid w:val="003D1427"/>
    <w:rsid w:val="003D2F48"/>
    <w:rsid w:val="003D3859"/>
    <w:rsid w:val="003D3B90"/>
    <w:rsid w:val="003D4CFE"/>
    <w:rsid w:val="003D52D0"/>
    <w:rsid w:val="003D5C0B"/>
    <w:rsid w:val="003D5E8F"/>
    <w:rsid w:val="003D6965"/>
    <w:rsid w:val="003D69DD"/>
    <w:rsid w:val="003D7542"/>
    <w:rsid w:val="003D78DD"/>
    <w:rsid w:val="003D794D"/>
    <w:rsid w:val="003D7CB4"/>
    <w:rsid w:val="003E04EB"/>
    <w:rsid w:val="003E0561"/>
    <w:rsid w:val="003E0758"/>
    <w:rsid w:val="003E1720"/>
    <w:rsid w:val="003E1EE6"/>
    <w:rsid w:val="003E22E9"/>
    <w:rsid w:val="003E23F1"/>
    <w:rsid w:val="003E274C"/>
    <w:rsid w:val="003E28ED"/>
    <w:rsid w:val="003E3023"/>
    <w:rsid w:val="003E3058"/>
    <w:rsid w:val="003E4D2B"/>
    <w:rsid w:val="003E56B1"/>
    <w:rsid w:val="003E61A6"/>
    <w:rsid w:val="003E6D37"/>
    <w:rsid w:val="003E6F28"/>
    <w:rsid w:val="003E76A9"/>
    <w:rsid w:val="003F00AD"/>
    <w:rsid w:val="003F0809"/>
    <w:rsid w:val="003F18B0"/>
    <w:rsid w:val="003F1FD6"/>
    <w:rsid w:val="003F22DB"/>
    <w:rsid w:val="003F2749"/>
    <w:rsid w:val="003F2A44"/>
    <w:rsid w:val="003F33BD"/>
    <w:rsid w:val="003F35CF"/>
    <w:rsid w:val="003F3898"/>
    <w:rsid w:val="003F3A9F"/>
    <w:rsid w:val="003F3AFA"/>
    <w:rsid w:val="003F577A"/>
    <w:rsid w:val="003F6A8C"/>
    <w:rsid w:val="003F73A3"/>
    <w:rsid w:val="003F755C"/>
    <w:rsid w:val="003F759F"/>
    <w:rsid w:val="003F7FAC"/>
    <w:rsid w:val="004002AC"/>
    <w:rsid w:val="00400B53"/>
    <w:rsid w:val="004014C3"/>
    <w:rsid w:val="00401540"/>
    <w:rsid w:val="004032C6"/>
    <w:rsid w:val="00403445"/>
    <w:rsid w:val="004060F0"/>
    <w:rsid w:val="00406480"/>
    <w:rsid w:val="00406F01"/>
    <w:rsid w:val="00407095"/>
    <w:rsid w:val="00407748"/>
    <w:rsid w:val="00407CA5"/>
    <w:rsid w:val="004105BD"/>
    <w:rsid w:val="00410707"/>
    <w:rsid w:val="00410FC0"/>
    <w:rsid w:val="00411A76"/>
    <w:rsid w:val="00411BE5"/>
    <w:rsid w:val="00411C24"/>
    <w:rsid w:val="00412306"/>
    <w:rsid w:val="00412B77"/>
    <w:rsid w:val="0041334B"/>
    <w:rsid w:val="004134D0"/>
    <w:rsid w:val="00413CEA"/>
    <w:rsid w:val="00416D50"/>
    <w:rsid w:val="00416E17"/>
    <w:rsid w:val="00416FD5"/>
    <w:rsid w:val="004174FF"/>
    <w:rsid w:val="00417772"/>
    <w:rsid w:val="00420A35"/>
    <w:rsid w:val="00420E3A"/>
    <w:rsid w:val="00420E6A"/>
    <w:rsid w:val="00420FA0"/>
    <w:rsid w:val="00421A86"/>
    <w:rsid w:val="00421DAD"/>
    <w:rsid w:val="0042224B"/>
    <w:rsid w:val="00423508"/>
    <w:rsid w:val="00423A63"/>
    <w:rsid w:val="00423BA5"/>
    <w:rsid w:val="00424FB8"/>
    <w:rsid w:val="00425331"/>
    <w:rsid w:val="0042580D"/>
    <w:rsid w:val="00425A9E"/>
    <w:rsid w:val="00425C51"/>
    <w:rsid w:val="00426B0E"/>
    <w:rsid w:val="00426D6B"/>
    <w:rsid w:val="00427002"/>
    <w:rsid w:val="004272DE"/>
    <w:rsid w:val="00427678"/>
    <w:rsid w:val="00427FE6"/>
    <w:rsid w:val="00431652"/>
    <w:rsid w:val="00431E6C"/>
    <w:rsid w:val="004326B9"/>
    <w:rsid w:val="00432A2A"/>
    <w:rsid w:val="00433108"/>
    <w:rsid w:val="00433CE7"/>
    <w:rsid w:val="00434003"/>
    <w:rsid w:val="0043466F"/>
    <w:rsid w:val="00434ECC"/>
    <w:rsid w:val="004352E2"/>
    <w:rsid w:val="00436CE9"/>
    <w:rsid w:val="004377DF"/>
    <w:rsid w:val="00437CA9"/>
    <w:rsid w:val="00437E42"/>
    <w:rsid w:val="004416A2"/>
    <w:rsid w:val="0044312F"/>
    <w:rsid w:val="0044423C"/>
    <w:rsid w:val="004448ED"/>
    <w:rsid w:val="0044785A"/>
    <w:rsid w:val="0045089D"/>
    <w:rsid w:val="0045094A"/>
    <w:rsid w:val="00451511"/>
    <w:rsid w:val="004515CC"/>
    <w:rsid w:val="0045170B"/>
    <w:rsid w:val="00452738"/>
    <w:rsid w:val="00452E52"/>
    <w:rsid w:val="00453176"/>
    <w:rsid w:val="00453607"/>
    <w:rsid w:val="00453BE3"/>
    <w:rsid w:val="004543DA"/>
    <w:rsid w:val="0045474C"/>
    <w:rsid w:val="00454A08"/>
    <w:rsid w:val="00455186"/>
    <w:rsid w:val="00455335"/>
    <w:rsid w:val="004553C3"/>
    <w:rsid w:val="00455F1A"/>
    <w:rsid w:val="00456091"/>
    <w:rsid w:val="004567B6"/>
    <w:rsid w:val="00457326"/>
    <w:rsid w:val="00457CE0"/>
    <w:rsid w:val="004600B9"/>
    <w:rsid w:val="00461299"/>
    <w:rsid w:val="004617F3"/>
    <w:rsid w:val="00461D6F"/>
    <w:rsid w:val="0046265D"/>
    <w:rsid w:val="0046418F"/>
    <w:rsid w:val="00464C0F"/>
    <w:rsid w:val="004652A4"/>
    <w:rsid w:val="00465302"/>
    <w:rsid w:val="00466321"/>
    <w:rsid w:val="004707B4"/>
    <w:rsid w:val="004719C0"/>
    <w:rsid w:val="004719C6"/>
    <w:rsid w:val="004732ED"/>
    <w:rsid w:val="00473DD6"/>
    <w:rsid w:val="00473E75"/>
    <w:rsid w:val="00474CF9"/>
    <w:rsid w:val="00474D3A"/>
    <w:rsid w:val="004756EE"/>
    <w:rsid w:val="00475BCF"/>
    <w:rsid w:val="0047652A"/>
    <w:rsid w:val="004820DA"/>
    <w:rsid w:val="004820E2"/>
    <w:rsid w:val="00482C5F"/>
    <w:rsid w:val="0048375A"/>
    <w:rsid w:val="00483A1F"/>
    <w:rsid w:val="00483CC8"/>
    <w:rsid w:val="0048445C"/>
    <w:rsid w:val="004844A4"/>
    <w:rsid w:val="00484B9B"/>
    <w:rsid w:val="00485453"/>
    <w:rsid w:val="004855F6"/>
    <w:rsid w:val="004856C8"/>
    <w:rsid w:val="004858C5"/>
    <w:rsid w:val="00486283"/>
    <w:rsid w:val="00486336"/>
    <w:rsid w:val="004865F1"/>
    <w:rsid w:val="0048661E"/>
    <w:rsid w:val="00487AF3"/>
    <w:rsid w:val="004915CA"/>
    <w:rsid w:val="00493297"/>
    <w:rsid w:val="004934A1"/>
    <w:rsid w:val="004935D3"/>
    <w:rsid w:val="004937FD"/>
    <w:rsid w:val="004938DA"/>
    <w:rsid w:val="00494093"/>
    <w:rsid w:val="004941BF"/>
    <w:rsid w:val="00494670"/>
    <w:rsid w:val="00495BB4"/>
    <w:rsid w:val="00496236"/>
    <w:rsid w:val="0049717D"/>
    <w:rsid w:val="00497F0E"/>
    <w:rsid w:val="004A1275"/>
    <w:rsid w:val="004A204C"/>
    <w:rsid w:val="004A2501"/>
    <w:rsid w:val="004A2C20"/>
    <w:rsid w:val="004A3823"/>
    <w:rsid w:val="004A3F98"/>
    <w:rsid w:val="004A41BA"/>
    <w:rsid w:val="004A5964"/>
    <w:rsid w:val="004A6A18"/>
    <w:rsid w:val="004A7161"/>
    <w:rsid w:val="004A7425"/>
    <w:rsid w:val="004A7AB8"/>
    <w:rsid w:val="004A7AF1"/>
    <w:rsid w:val="004A7D47"/>
    <w:rsid w:val="004B0405"/>
    <w:rsid w:val="004B2129"/>
    <w:rsid w:val="004B2CCE"/>
    <w:rsid w:val="004B2E3E"/>
    <w:rsid w:val="004B3674"/>
    <w:rsid w:val="004B3798"/>
    <w:rsid w:val="004B417C"/>
    <w:rsid w:val="004B47D8"/>
    <w:rsid w:val="004B488C"/>
    <w:rsid w:val="004B4E2A"/>
    <w:rsid w:val="004B525C"/>
    <w:rsid w:val="004B5AA7"/>
    <w:rsid w:val="004B5F33"/>
    <w:rsid w:val="004B6697"/>
    <w:rsid w:val="004B6FF2"/>
    <w:rsid w:val="004B7A12"/>
    <w:rsid w:val="004B7D49"/>
    <w:rsid w:val="004C00F3"/>
    <w:rsid w:val="004C247B"/>
    <w:rsid w:val="004C26A0"/>
    <w:rsid w:val="004C3774"/>
    <w:rsid w:val="004C3835"/>
    <w:rsid w:val="004C4566"/>
    <w:rsid w:val="004C4C47"/>
    <w:rsid w:val="004C5862"/>
    <w:rsid w:val="004C62F9"/>
    <w:rsid w:val="004C78C0"/>
    <w:rsid w:val="004D003C"/>
    <w:rsid w:val="004D04AC"/>
    <w:rsid w:val="004D1472"/>
    <w:rsid w:val="004D182B"/>
    <w:rsid w:val="004D1F92"/>
    <w:rsid w:val="004D2D68"/>
    <w:rsid w:val="004D3C04"/>
    <w:rsid w:val="004D4A4D"/>
    <w:rsid w:val="004D4B1A"/>
    <w:rsid w:val="004D4D25"/>
    <w:rsid w:val="004D50BE"/>
    <w:rsid w:val="004D5326"/>
    <w:rsid w:val="004D5CA8"/>
    <w:rsid w:val="004D5E31"/>
    <w:rsid w:val="004D5FF2"/>
    <w:rsid w:val="004D604F"/>
    <w:rsid w:val="004D62DF"/>
    <w:rsid w:val="004D6CF1"/>
    <w:rsid w:val="004D7175"/>
    <w:rsid w:val="004D7665"/>
    <w:rsid w:val="004E168C"/>
    <w:rsid w:val="004E19C3"/>
    <w:rsid w:val="004E2294"/>
    <w:rsid w:val="004E31CC"/>
    <w:rsid w:val="004E442D"/>
    <w:rsid w:val="004E4C5C"/>
    <w:rsid w:val="004E5506"/>
    <w:rsid w:val="004E58FA"/>
    <w:rsid w:val="004E5B40"/>
    <w:rsid w:val="004E6125"/>
    <w:rsid w:val="004E6946"/>
    <w:rsid w:val="004E77A9"/>
    <w:rsid w:val="004E7D4A"/>
    <w:rsid w:val="004F0242"/>
    <w:rsid w:val="004F02B5"/>
    <w:rsid w:val="004F037A"/>
    <w:rsid w:val="004F0F89"/>
    <w:rsid w:val="004F13B9"/>
    <w:rsid w:val="004F1441"/>
    <w:rsid w:val="004F1503"/>
    <w:rsid w:val="004F1AD8"/>
    <w:rsid w:val="004F1BB9"/>
    <w:rsid w:val="004F1D38"/>
    <w:rsid w:val="004F44FA"/>
    <w:rsid w:val="004F5FA0"/>
    <w:rsid w:val="004F61ED"/>
    <w:rsid w:val="004F6A52"/>
    <w:rsid w:val="004F7472"/>
    <w:rsid w:val="004F793A"/>
    <w:rsid w:val="004F7CC9"/>
    <w:rsid w:val="00500DB8"/>
    <w:rsid w:val="005013D9"/>
    <w:rsid w:val="00501AED"/>
    <w:rsid w:val="00503193"/>
    <w:rsid w:val="00503267"/>
    <w:rsid w:val="00503581"/>
    <w:rsid w:val="005039CB"/>
    <w:rsid w:val="0050426B"/>
    <w:rsid w:val="0050526B"/>
    <w:rsid w:val="0050558F"/>
    <w:rsid w:val="005061AB"/>
    <w:rsid w:val="005061B5"/>
    <w:rsid w:val="00506286"/>
    <w:rsid w:val="005067F0"/>
    <w:rsid w:val="00510813"/>
    <w:rsid w:val="00510E61"/>
    <w:rsid w:val="00511014"/>
    <w:rsid w:val="00511990"/>
    <w:rsid w:val="00511DE0"/>
    <w:rsid w:val="0051351B"/>
    <w:rsid w:val="0051476C"/>
    <w:rsid w:val="00514870"/>
    <w:rsid w:val="00514B9B"/>
    <w:rsid w:val="00514E34"/>
    <w:rsid w:val="005158D3"/>
    <w:rsid w:val="0051590E"/>
    <w:rsid w:val="00515DCF"/>
    <w:rsid w:val="00517AFF"/>
    <w:rsid w:val="00517F02"/>
    <w:rsid w:val="00520D4B"/>
    <w:rsid w:val="00521721"/>
    <w:rsid w:val="00522699"/>
    <w:rsid w:val="0052270E"/>
    <w:rsid w:val="00522D0D"/>
    <w:rsid w:val="005234B2"/>
    <w:rsid w:val="00524303"/>
    <w:rsid w:val="005243F3"/>
    <w:rsid w:val="005244E8"/>
    <w:rsid w:val="00525548"/>
    <w:rsid w:val="00525852"/>
    <w:rsid w:val="005258A2"/>
    <w:rsid w:val="00525A12"/>
    <w:rsid w:val="00525A36"/>
    <w:rsid w:val="0052610D"/>
    <w:rsid w:val="00526538"/>
    <w:rsid w:val="00531D8F"/>
    <w:rsid w:val="0053292B"/>
    <w:rsid w:val="005349BB"/>
    <w:rsid w:val="00534A88"/>
    <w:rsid w:val="00534D27"/>
    <w:rsid w:val="005352EE"/>
    <w:rsid w:val="00536706"/>
    <w:rsid w:val="00536725"/>
    <w:rsid w:val="005369A0"/>
    <w:rsid w:val="00536A48"/>
    <w:rsid w:val="005401AE"/>
    <w:rsid w:val="00540CBA"/>
    <w:rsid w:val="00540DC6"/>
    <w:rsid w:val="0054270C"/>
    <w:rsid w:val="00542E07"/>
    <w:rsid w:val="00544554"/>
    <w:rsid w:val="00545424"/>
    <w:rsid w:val="0054588E"/>
    <w:rsid w:val="00545C0A"/>
    <w:rsid w:val="005465AB"/>
    <w:rsid w:val="00546A89"/>
    <w:rsid w:val="00546E57"/>
    <w:rsid w:val="00546EF7"/>
    <w:rsid w:val="00547C7E"/>
    <w:rsid w:val="00547E89"/>
    <w:rsid w:val="00550CB5"/>
    <w:rsid w:val="00551B68"/>
    <w:rsid w:val="00552ED8"/>
    <w:rsid w:val="00554A7B"/>
    <w:rsid w:val="0055572C"/>
    <w:rsid w:val="005563A7"/>
    <w:rsid w:val="00556FF7"/>
    <w:rsid w:val="00557E0F"/>
    <w:rsid w:val="00560963"/>
    <w:rsid w:val="0056106A"/>
    <w:rsid w:val="00561609"/>
    <w:rsid w:val="00562827"/>
    <w:rsid w:val="0056288A"/>
    <w:rsid w:val="005628F2"/>
    <w:rsid w:val="00562C76"/>
    <w:rsid w:val="00562D63"/>
    <w:rsid w:val="0056335E"/>
    <w:rsid w:val="005659F5"/>
    <w:rsid w:val="00566561"/>
    <w:rsid w:val="00566B2C"/>
    <w:rsid w:val="0057052C"/>
    <w:rsid w:val="00570CA6"/>
    <w:rsid w:val="005718D4"/>
    <w:rsid w:val="00571CBD"/>
    <w:rsid w:val="005720AE"/>
    <w:rsid w:val="0057242B"/>
    <w:rsid w:val="00573804"/>
    <w:rsid w:val="0057428A"/>
    <w:rsid w:val="005771D6"/>
    <w:rsid w:val="0058002D"/>
    <w:rsid w:val="00581CCA"/>
    <w:rsid w:val="005833B9"/>
    <w:rsid w:val="00583887"/>
    <w:rsid w:val="00585CFF"/>
    <w:rsid w:val="005909B6"/>
    <w:rsid w:val="005911D9"/>
    <w:rsid w:val="0059188D"/>
    <w:rsid w:val="00591AD0"/>
    <w:rsid w:val="00591EB3"/>
    <w:rsid w:val="00592E5F"/>
    <w:rsid w:val="00594D77"/>
    <w:rsid w:val="00595177"/>
    <w:rsid w:val="00595DBD"/>
    <w:rsid w:val="005969E4"/>
    <w:rsid w:val="005A0299"/>
    <w:rsid w:val="005A06B7"/>
    <w:rsid w:val="005A08E9"/>
    <w:rsid w:val="005A0AEE"/>
    <w:rsid w:val="005A1759"/>
    <w:rsid w:val="005A1891"/>
    <w:rsid w:val="005A3177"/>
    <w:rsid w:val="005A3352"/>
    <w:rsid w:val="005A37EF"/>
    <w:rsid w:val="005A3F1A"/>
    <w:rsid w:val="005A4147"/>
    <w:rsid w:val="005A4FE2"/>
    <w:rsid w:val="005A57A5"/>
    <w:rsid w:val="005A6048"/>
    <w:rsid w:val="005A64A5"/>
    <w:rsid w:val="005A64B3"/>
    <w:rsid w:val="005A68A7"/>
    <w:rsid w:val="005A6FBC"/>
    <w:rsid w:val="005A7B25"/>
    <w:rsid w:val="005B1487"/>
    <w:rsid w:val="005B1662"/>
    <w:rsid w:val="005B1873"/>
    <w:rsid w:val="005B20A7"/>
    <w:rsid w:val="005B2743"/>
    <w:rsid w:val="005B29BD"/>
    <w:rsid w:val="005B2EF8"/>
    <w:rsid w:val="005B39A9"/>
    <w:rsid w:val="005B3BF0"/>
    <w:rsid w:val="005B4964"/>
    <w:rsid w:val="005B4C99"/>
    <w:rsid w:val="005B5464"/>
    <w:rsid w:val="005B57BC"/>
    <w:rsid w:val="005B5962"/>
    <w:rsid w:val="005B5970"/>
    <w:rsid w:val="005B5E41"/>
    <w:rsid w:val="005B640A"/>
    <w:rsid w:val="005B6A11"/>
    <w:rsid w:val="005B713D"/>
    <w:rsid w:val="005B789A"/>
    <w:rsid w:val="005B7ADE"/>
    <w:rsid w:val="005B7C71"/>
    <w:rsid w:val="005B7E7D"/>
    <w:rsid w:val="005C0046"/>
    <w:rsid w:val="005C0502"/>
    <w:rsid w:val="005C0646"/>
    <w:rsid w:val="005C07B0"/>
    <w:rsid w:val="005C0B3E"/>
    <w:rsid w:val="005C0DA3"/>
    <w:rsid w:val="005C0F40"/>
    <w:rsid w:val="005C17DA"/>
    <w:rsid w:val="005C236F"/>
    <w:rsid w:val="005C38C3"/>
    <w:rsid w:val="005C4332"/>
    <w:rsid w:val="005C48D9"/>
    <w:rsid w:val="005C4AC9"/>
    <w:rsid w:val="005C6A01"/>
    <w:rsid w:val="005C6F82"/>
    <w:rsid w:val="005C7897"/>
    <w:rsid w:val="005D0352"/>
    <w:rsid w:val="005D0FD3"/>
    <w:rsid w:val="005D12DA"/>
    <w:rsid w:val="005D1E0F"/>
    <w:rsid w:val="005D3353"/>
    <w:rsid w:val="005D36AB"/>
    <w:rsid w:val="005D6691"/>
    <w:rsid w:val="005D6BF1"/>
    <w:rsid w:val="005D6C47"/>
    <w:rsid w:val="005E0110"/>
    <w:rsid w:val="005E0E94"/>
    <w:rsid w:val="005E10F3"/>
    <w:rsid w:val="005E14D4"/>
    <w:rsid w:val="005E1AF7"/>
    <w:rsid w:val="005E1B4E"/>
    <w:rsid w:val="005E251B"/>
    <w:rsid w:val="005E35B8"/>
    <w:rsid w:val="005E3BF9"/>
    <w:rsid w:val="005E422D"/>
    <w:rsid w:val="005E42D7"/>
    <w:rsid w:val="005E4374"/>
    <w:rsid w:val="005E469C"/>
    <w:rsid w:val="005E47CD"/>
    <w:rsid w:val="005E4B88"/>
    <w:rsid w:val="005E4E8F"/>
    <w:rsid w:val="005E5518"/>
    <w:rsid w:val="005E5FC6"/>
    <w:rsid w:val="005E6CD0"/>
    <w:rsid w:val="005E73B6"/>
    <w:rsid w:val="005E7AFB"/>
    <w:rsid w:val="005E7C68"/>
    <w:rsid w:val="005F066D"/>
    <w:rsid w:val="005F089F"/>
    <w:rsid w:val="005F0A4D"/>
    <w:rsid w:val="005F0CFA"/>
    <w:rsid w:val="005F21B4"/>
    <w:rsid w:val="005F2FA2"/>
    <w:rsid w:val="005F3BCC"/>
    <w:rsid w:val="005F5435"/>
    <w:rsid w:val="005F62C9"/>
    <w:rsid w:val="005F63CF"/>
    <w:rsid w:val="005F6E62"/>
    <w:rsid w:val="005F79BF"/>
    <w:rsid w:val="006005AE"/>
    <w:rsid w:val="00600778"/>
    <w:rsid w:val="00600EC1"/>
    <w:rsid w:val="00601077"/>
    <w:rsid w:val="00601455"/>
    <w:rsid w:val="0060154C"/>
    <w:rsid w:val="006017AF"/>
    <w:rsid w:val="006026E8"/>
    <w:rsid w:val="00602C77"/>
    <w:rsid w:val="00603ECE"/>
    <w:rsid w:val="00604E35"/>
    <w:rsid w:val="0060523E"/>
    <w:rsid w:val="00605D34"/>
    <w:rsid w:val="00605EF4"/>
    <w:rsid w:val="00606B9C"/>
    <w:rsid w:val="00607A38"/>
    <w:rsid w:val="00607BE3"/>
    <w:rsid w:val="00607C61"/>
    <w:rsid w:val="006105AC"/>
    <w:rsid w:val="0061104C"/>
    <w:rsid w:val="0061155A"/>
    <w:rsid w:val="006115E0"/>
    <w:rsid w:val="00612ED4"/>
    <w:rsid w:val="00613DC0"/>
    <w:rsid w:val="00614C3B"/>
    <w:rsid w:val="006178A8"/>
    <w:rsid w:val="00617CC3"/>
    <w:rsid w:val="0062002C"/>
    <w:rsid w:val="00621CCE"/>
    <w:rsid w:val="006223D6"/>
    <w:rsid w:val="00622C50"/>
    <w:rsid w:val="006232A9"/>
    <w:rsid w:val="00623DD4"/>
    <w:rsid w:val="00625818"/>
    <w:rsid w:val="00626535"/>
    <w:rsid w:val="0062683C"/>
    <w:rsid w:val="006310B8"/>
    <w:rsid w:val="006316F2"/>
    <w:rsid w:val="00631C87"/>
    <w:rsid w:val="006322C3"/>
    <w:rsid w:val="00632389"/>
    <w:rsid w:val="006329BF"/>
    <w:rsid w:val="0063303C"/>
    <w:rsid w:val="00633093"/>
    <w:rsid w:val="00633929"/>
    <w:rsid w:val="006345D7"/>
    <w:rsid w:val="0063541A"/>
    <w:rsid w:val="00635675"/>
    <w:rsid w:val="0063593F"/>
    <w:rsid w:val="00636B2D"/>
    <w:rsid w:val="00636D73"/>
    <w:rsid w:val="00636FC9"/>
    <w:rsid w:val="00637123"/>
    <w:rsid w:val="006377A6"/>
    <w:rsid w:val="00637A3D"/>
    <w:rsid w:val="00637CA2"/>
    <w:rsid w:val="00640364"/>
    <w:rsid w:val="00640451"/>
    <w:rsid w:val="00640A9C"/>
    <w:rsid w:val="006411EF"/>
    <w:rsid w:val="00643B79"/>
    <w:rsid w:val="00643B88"/>
    <w:rsid w:val="00643D73"/>
    <w:rsid w:val="00644131"/>
    <w:rsid w:val="00644290"/>
    <w:rsid w:val="00645AD5"/>
    <w:rsid w:val="00646325"/>
    <w:rsid w:val="00646DCC"/>
    <w:rsid w:val="00647302"/>
    <w:rsid w:val="006507EB"/>
    <w:rsid w:val="00650B85"/>
    <w:rsid w:val="00650F14"/>
    <w:rsid w:val="006525D2"/>
    <w:rsid w:val="00652686"/>
    <w:rsid w:val="006531EF"/>
    <w:rsid w:val="00654FDC"/>
    <w:rsid w:val="00655D00"/>
    <w:rsid w:val="00656435"/>
    <w:rsid w:val="006567D0"/>
    <w:rsid w:val="0065747F"/>
    <w:rsid w:val="006611D1"/>
    <w:rsid w:val="0066120E"/>
    <w:rsid w:val="006612DB"/>
    <w:rsid w:val="00662262"/>
    <w:rsid w:val="006631B8"/>
    <w:rsid w:val="00663334"/>
    <w:rsid w:val="00664237"/>
    <w:rsid w:val="00664493"/>
    <w:rsid w:val="00664ABE"/>
    <w:rsid w:val="00664E0A"/>
    <w:rsid w:val="0066540C"/>
    <w:rsid w:val="00665B35"/>
    <w:rsid w:val="00666A61"/>
    <w:rsid w:val="00667467"/>
    <w:rsid w:val="006674DB"/>
    <w:rsid w:val="00667D54"/>
    <w:rsid w:val="0067014A"/>
    <w:rsid w:val="00670364"/>
    <w:rsid w:val="0067153E"/>
    <w:rsid w:val="006716EE"/>
    <w:rsid w:val="00671EF1"/>
    <w:rsid w:val="00672AA7"/>
    <w:rsid w:val="00672C57"/>
    <w:rsid w:val="00673059"/>
    <w:rsid w:val="006734CC"/>
    <w:rsid w:val="006748B8"/>
    <w:rsid w:val="00674FC8"/>
    <w:rsid w:val="006756A6"/>
    <w:rsid w:val="00676562"/>
    <w:rsid w:val="006775C3"/>
    <w:rsid w:val="00680000"/>
    <w:rsid w:val="00681871"/>
    <w:rsid w:val="00681A47"/>
    <w:rsid w:val="00681BE6"/>
    <w:rsid w:val="00681E94"/>
    <w:rsid w:val="006829A2"/>
    <w:rsid w:val="00684BB7"/>
    <w:rsid w:val="00684CE1"/>
    <w:rsid w:val="00685C5D"/>
    <w:rsid w:val="0068655B"/>
    <w:rsid w:val="006865F7"/>
    <w:rsid w:val="00687484"/>
    <w:rsid w:val="00687601"/>
    <w:rsid w:val="0069034A"/>
    <w:rsid w:val="0069052E"/>
    <w:rsid w:val="00691395"/>
    <w:rsid w:val="00692006"/>
    <w:rsid w:val="0069290A"/>
    <w:rsid w:val="0069330C"/>
    <w:rsid w:val="006933F1"/>
    <w:rsid w:val="006934EA"/>
    <w:rsid w:val="00695F3D"/>
    <w:rsid w:val="006970F3"/>
    <w:rsid w:val="006973B7"/>
    <w:rsid w:val="0069775A"/>
    <w:rsid w:val="00697813"/>
    <w:rsid w:val="006A0217"/>
    <w:rsid w:val="006A08A1"/>
    <w:rsid w:val="006A1F68"/>
    <w:rsid w:val="006A2636"/>
    <w:rsid w:val="006A3EE8"/>
    <w:rsid w:val="006A5D77"/>
    <w:rsid w:val="006A60B5"/>
    <w:rsid w:val="006A6720"/>
    <w:rsid w:val="006A6CD3"/>
    <w:rsid w:val="006A72BF"/>
    <w:rsid w:val="006A7ADE"/>
    <w:rsid w:val="006A7F87"/>
    <w:rsid w:val="006B03F2"/>
    <w:rsid w:val="006B1363"/>
    <w:rsid w:val="006B13B8"/>
    <w:rsid w:val="006B14EF"/>
    <w:rsid w:val="006B3154"/>
    <w:rsid w:val="006B3413"/>
    <w:rsid w:val="006B37DC"/>
    <w:rsid w:val="006B3973"/>
    <w:rsid w:val="006B4056"/>
    <w:rsid w:val="006B41D8"/>
    <w:rsid w:val="006B446C"/>
    <w:rsid w:val="006B48BB"/>
    <w:rsid w:val="006B4F68"/>
    <w:rsid w:val="006B7023"/>
    <w:rsid w:val="006B73A5"/>
    <w:rsid w:val="006B7990"/>
    <w:rsid w:val="006C01A5"/>
    <w:rsid w:val="006C0592"/>
    <w:rsid w:val="006C0C54"/>
    <w:rsid w:val="006C1CF3"/>
    <w:rsid w:val="006C230E"/>
    <w:rsid w:val="006C272E"/>
    <w:rsid w:val="006C337F"/>
    <w:rsid w:val="006C399A"/>
    <w:rsid w:val="006C3CBA"/>
    <w:rsid w:val="006C41EA"/>
    <w:rsid w:val="006C4B9D"/>
    <w:rsid w:val="006C5479"/>
    <w:rsid w:val="006C5B14"/>
    <w:rsid w:val="006C61C9"/>
    <w:rsid w:val="006C751B"/>
    <w:rsid w:val="006C77FB"/>
    <w:rsid w:val="006D0FA1"/>
    <w:rsid w:val="006D100D"/>
    <w:rsid w:val="006D13B5"/>
    <w:rsid w:val="006D1432"/>
    <w:rsid w:val="006D327F"/>
    <w:rsid w:val="006D3B76"/>
    <w:rsid w:val="006D3DC2"/>
    <w:rsid w:val="006D4ADB"/>
    <w:rsid w:val="006D5013"/>
    <w:rsid w:val="006D5345"/>
    <w:rsid w:val="006D536E"/>
    <w:rsid w:val="006D65E1"/>
    <w:rsid w:val="006D6B61"/>
    <w:rsid w:val="006D776B"/>
    <w:rsid w:val="006E077C"/>
    <w:rsid w:val="006E0A29"/>
    <w:rsid w:val="006E12FF"/>
    <w:rsid w:val="006E1B07"/>
    <w:rsid w:val="006E21F5"/>
    <w:rsid w:val="006E29D3"/>
    <w:rsid w:val="006E373E"/>
    <w:rsid w:val="006E57C3"/>
    <w:rsid w:val="006E5887"/>
    <w:rsid w:val="006E607E"/>
    <w:rsid w:val="006E6169"/>
    <w:rsid w:val="006E64B8"/>
    <w:rsid w:val="006E67E5"/>
    <w:rsid w:val="006F01F1"/>
    <w:rsid w:val="006F0AEE"/>
    <w:rsid w:val="006F0C00"/>
    <w:rsid w:val="006F2247"/>
    <w:rsid w:val="006F232F"/>
    <w:rsid w:val="006F2390"/>
    <w:rsid w:val="006F29A1"/>
    <w:rsid w:val="006F34A1"/>
    <w:rsid w:val="006F34DD"/>
    <w:rsid w:val="006F3684"/>
    <w:rsid w:val="006F3A1C"/>
    <w:rsid w:val="006F46BE"/>
    <w:rsid w:val="006F4703"/>
    <w:rsid w:val="006F4835"/>
    <w:rsid w:val="006F48D1"/>
    <w:rsid w:val="006F4B98"/>
    <w:rsid w:val="006F4E13"/>
    <w:rsid w:val="006F652E"/>
    <w:rsid w:val="006F6D3F"/>
    <w:rsid w:val="006F7803"/>
    <w:rsid w:val="006F7B75"/>
    <w:rsid w:val="007008D7"/>
    <w:rsid w:val="00701DDA"/>
    <w:rsid w:val="00702DA3"/>
    <w:rsid w:val="007033EE"/>
    <w:rsid w:val="0070366D"/>
    <w:rsid w:val="007039AC"/>
    <w:rsid w:val="0070413E"/>
    <w:rsid w:val="0070654E"/>
    <w:rsid w:val="007069E4"/>
    <w:rsid w:val="00706C5D"/>
    <w:rsid w:val="00706D7D"/>
    <w:rsid w:val="0070741C"/>
    <w:rsid w:val="00707702"/>
    <w:rsid w:val="00707B91"/>
    <w:rsid w:val="00707F00"/>
    <w:rsid w:val="007108DD"/>
    <w:rsid w:val="00710A36"/>
    <w:rsid w:val="007119C8"/>
    <w:rsid w:val="00711E25"/>
    <w:rsid w:val="00714957"/>
    <w:rsid w:val="00714D40"/>
    <w:rsid w:val="007150AF"/>
    <w:rsid w:val="007154BE"/>
    <w:rsid w:val="00715602"/>
    <w:rsid w:val="00715EB5"/>
    <w:rsid w:val="00715ECC"/>
    <w:rsid w:val="007171FE"/>
    <w:rsid w:val="0071792C"/>
    <w:rsid w:val="00717C88"/>
    <w:rsid w:val="00720266"/>
    <w:rsid w:val="00720DB8"/>
    <w:rsid w:val="00721CA1"/>
    <w:rsid w:val="00722A72"/>
    <w:rsid w:val="00723CC8"/>
    <w:rsid w:val="00723F14"/>
    <w:rsid w:val="00724A10"/>
    <w:rsid w:val="00724E0B"/>
    <w:rsid w:val="00724F0C"/>
    <w:rsid w:val="00725203"/>
    <w:rsid w:val="00725368"/>
    <w:rsid w:val="00725AC9"/>
    <w:rsid w:val="0072626E"/>
    <w:rsid w:val="00726335"/>
    <w:rsid w:val="0072660D"/>
    <w:rsid w:val="00726B4E"/>
    <w:rsid w:val="0072777D"/>
    <w:rsid w:val="0072779E"/>
    <w:rsid w:val="007306CD"/>
    <w:rsid w:val="007307D0"/>
    <w:rsid w:val="00731621"/>
    <w:rsid w:val="00731BE7"/>
    <w:rsid w:val="00732416"/>
    <w:rsid w:val="00732922"/>
    <w:rsid w:val="007342EA"/>
    <w:rsid w:val="00734747"/>
    <w:rsid w:val="00734BB3"/>
    <w:rsid w:val="007354E6"/>
    <w:rsid w:val="00736137"/>
    <w:rsid w:val="0073623E"/>
    <w:rsid w:val="007365EB"/>
    <w:rsid w:val="00737F3D"/>
    <w:rsid w:val="00740114"/>
    <w:rsid w:val="00740F4D"/>
    <w:rsid w:val="00740F81"/>
    <w:rsid w:val="0074179E"/>
    <w:rsid w:val="00741CF0"/>
    <w:rsid w:val="007420F7"/>
    <w:rsid w:val="0074220B"/>
    <w:rsid w:val="007428E4"/>
    <w:rsid w:val="00742D56"/>
    <w:rsid w:val="007433E2"/>
    <w:rsid w:val="0074357C"/>
    <w:rsid w:val="007438D5"/>
    <w:rsid w:val="00745EB7"/>
    <w:rsid w:val="007476EA"/>
    <w:rsid w:val="007503EA"/>
    <w:rsid w:val="00750494"/>
    <w:rsid w:val="00750D38"/>
    <w:rsid w:val="007511EE"/>
    <w:rsid w:val="0075162E"/>
    <w:rsid w:val="00751806"/>
    <w:rsid w:val="007520B6"/>
    <w:rsid w:val="00752443"/>
    <w:rsid w:val="00753B09"/>
    <w:rsid w:val="00754034"/>
    <w:rsid w:val="00754188"/>
    <w:rsid w:val="00754323"/>
    <w:rsid w:val="00756556"/>
    <w:rsid w:val="0075709A"/>
    <w:rsid w:val="007573C1"/>
    <w:rsid w:val="00761011"/>
    <w:rsid w:val="007618C4"/>
    <w:rsid w:val="0076261B"/>
    <w:rsid w:val="00762827"/>
    <w:rsid w:val="00763033"/>
    <w:rsid w:val="007632B7"/>
    <w:rsid w:val="0076390C"/>
    <w:rsid w:val="0076480D"/>
    <w:rsid w:val="00764EE6"/>
    <w:rsid w:val="00765BEB"/>
    <w:rsid w:val="00766369"/>
    <w:rsid w:val="007669FB"/>
    <w:rsid w:val="00767980"/>
    <w:rsid w:val="0077021E"/>
    <w:rsid w:val="00770B19"/>
    <w:rsid w:val="00771641"/>
    <w:rsid w:val="00772903"/>
    <w:rsid w:val="007730A7"/>
    <w:rsid w:val="00773227"/>
    <w:rsid w:val="00774067"/>
    <w:rsid w:val="0077463F"/>
    <w:rsid w:val="0077537D"/>
    <w:rsid w:val="00775A30"/>
    <w:rsid w:val="00776554"/>
    <w:rsid w:val="00777429"/>
    <w:rsid w:val="00777702"/>
    <w:rsid w:val="00777853"/>
    <w:rsid w:val="00780B9D"/>
    <w:rsid w:val="00780E6F"/>
    <w:rsid w:val="00780EF6"/>
    <w:rsid w:val="00781107"/>
    <w:rsid w:val="00781C87"/>
    <w:rsid w:val="0078213E"/>
    <w:rsid w:val="0078255E"/>
    <w:rsid w:val="007829CA"/>
    <w:rsid w:val="0078307B"/>
    <w:rsid w:val="0078316B"/>
    <w:rsid w:val="007836EA"/>
    <w:rsid w:val="00783884"/>
    <w:rsid w:val="00783BA5"/>
    <w:rsid w:val="00784588"/>
    <w:rsid w:val="00784CDA"/>
    <w:rsid w:val="00785077"/>
    <w:rsid w:val="00785400"/>
    <w:rsid w:val="00787F55"/>
    <w:rsid w:val="00787FE6"/>
    <w:rsid w:val="0079012A"/>
    <w:rsid w:val="00790370"/>
    <w:rsid w:val="0079055A"/>
    <w:rsid w:val="007906C4"/>
    <w:rsid w:val="00790D66"/>
    <w:rsid w:val="00791079"/>
    <w:rsid w:val="00791629"/>
    <w:rsid w:val="007916B5"/>
    <w:rsid w:val="007921D3"/>
    <w:rsid w:val="007923D4"/>
    <w:rsid w:val="00793BA0"/>
    <w:rsid w:val="00793D55"/>
    <w:rsid w:val="007940EA"/>
    <w:rsid w:val="00795D19"/>
    <w:rsid w:val="007967E8"/>
    <w:rsid w:val="00797409"/>
    <w:rsid w:val="007A0460"/>
    <w:rsid w:val="007A0555"/>
    <w:rsid w:val="007A19D6"/>
    <w:rsid w:val="007A2170"/>
    <w:rsid w:val="007A22BF"/>
    <w:rsid w:val="007A24B6"/>
    <w:rsid w:val="007A318E"/>
    <w:rsid w:val="007A3323"/>
    <w:rsid w:val="007A3512"/>
    <w:rsid w:val="007A4EE8"/>
    <w:rsid w:val="007A4FF9"/>
    <w:rsid w:val="007A5293"/>
    <w:rsid w:val="007A554D"/>
    <w:rsid w:val="007A61BC"/>
    <w:rsid w:val="007A6622"/>
    <w:rsid w:val="007A74E0"/>
    <w:rsid w:val="007A7E80"/>
    <w:rsid w:val="007B0FD0"/>
    <w:rsid w:val="007B121F"/>
    <w:rsid w:val="007B219E"/>
    <w:rsid w:val="007B2A2F"/>
    <w:rsid w:val="007B31B3"/>
    <w:rsid w:val="007B31DF"/>
    <w:rsid w:val="007B4A54"/>
    <w:rsid w:val="007B4DEF"/>
    <w:rsid w:val="007B58C6"/>
    <w:rsid w:val="007B5D68"/>
    <w:rsid w:val="007B5E1D"/>
    <w:rsid w:val="007B63E0"/>
    <w:rsid w:val="007B699A"/>
    <w:rsid w:val="007B6A96"/>
    <w:rsid w:val="007B72B8"/>
    <w:rsid w:val="007B7A58"/>
    <w:rsid w:val="007C0790"/>
    <w:rsid w:val="007C0CA3"/>
    <w:rsid w:val="007C21B5"/>
    <w:rsid w:val="007C2F27"/>
    <w:rsid w:val="007C3152"/>
    <w:rsid w:val="007C3A23"/>
    <w:rsid w:val="007C3EBF"/>
    <w:rsid w:val="007C3F51"/>
    <w:rsid w:val="007C46DC"/>
    <w:rsid w:val="007C557C"/>
    <w:rsid w:val="007C60C6"/>
    <w:rsid w:val="007C6183"/>
    <w:rsid w:val="007C62D4"/>
    <w:rsid w:val="007C67D9"/>
    <w:rsid w:val="007C7ACB"/>
    <w:rsid w:val="007D04FA"/>
    <w:rsid w:val="007D1D21"/>
    <w:rsid w:val="007D2088"/>
    <w:rsid w:val="007D341E"/>
    <w:rsid w:val="007D598E"/>
    <w:rsid w:val="007D676A"/>
    <w:rsid w:val="007D731B"/>
    <w:rsid w:val="007E12B4"/>
    <w:rsid w:val="007E24D3"/>
    <w:rsid w:val="007E272E"/>
    <w:rsid w:val="007E4086"/>
    <w:rsid w:val="007E467C"/>
    <w:rsid w:val="007E4778"/>
    <w:rsid w:val="007E4BD2"/>
    <w:rsid w:val="007E5296"/>
    <w:rsid w:val="007E5B85"/>
    <w:rsid w:val="007E6449"/>
    <w:rsid w:val="007E6BC4"/>
    <w:rsid w:val="007F0149"/>
    <w:rsid w:val="007F0893"/>
    <w:rsid w:val="007F22FB"/>
    <w:rsid w:val="007F235D"/>
    <w:rsid w:val="007F2C7E"/>
    <w:rsid w:val="007F42B6"/>
    <w:rsid w:val="007F440E"/>
    <w:rsid w:val="007F5429"/>
    <w:rsid w:val="007F566B"/>
    <w:rsid w:val="007F5C92"/>
    <w:rsid w:val="007F5D07"/>
    <w:rsid w:val="007F64F1"/>
    <w:rsid w:val="007F7E64"/>
    <w:rsid w:val="00800DDF"/>
    <w:rsid w:val="00801032"/>
    <w:rsid w:val="00801393"/>
    <w:rsid w:val="00801648"/>
    <w:rsid w:val="0080284D"/>
    <w:rsid w:val="00802F88"/>
    <w:rsid w:val="0080315F"/>
    <w:rsid w:val="00803603"/>
    <w:rsid w:val="00804203"/>
    <w:rsid w:val="008046B2"/>
    <w:rsid w:val="00804A04"/>
    <w:rsid w:val="00805120"/>
    <w:rsid w:val="008051EE"/>
    <w:rsid w:val="00805ADE"/>
    <w:rsid w:val="00806210"/>
    <w:rsid w:val="008074BE"/>
    <w:rsid w:val="00807879"/>
    <w:rsid w:val="00811118"/>
    <w:rsid w:val="00811BBC"/>
    <w:rsid w:val="008128F3"/>
    <w:rsid w:val="0081292B"/>
    <w:rsid w:val="0081293E"/>
    <w:rsid w:val="008130BB"/>
    <w:rsid w:val="00813791"/>
    <w:rsid w:val="008145CA"/>
    <w:rsid w:val="00814C5E"/>
    <w:rsid w:val="00814D70"/>
    <w:rsid w:val="00815374"/>
    <w:rsid w:val="00815465"/>
    <w:rsid w:val="00815988"/>
    <w:rsid w:val="00816C29"/>
    <w:rsid w:val="00817119"/>
    <w:rsid w:val="00817928"/>
    <w:rsid w:val="00817DF9"/>
    <w:rsid w:val="00817E9A"/>
    <w:rsid w:val="00820316"/>
    <w:rsid w:val="00820530"/>
    <w:rsid w:val="00820702"/>
    <w:rsid w:val="00820FAF"/>
    <w:rsid w:val="008212C3"/>
    <w:rsid w:val="008215BE"/>
    <w:rsid w:val="008216BD"/>
    <w:rsid w:val="008217F2"/>
    <w:rsid w:val="00821958"/>
    <w:rsid w:val="00821C13"/>
    <w:rsid w:val="00822639"/>
    <w:rsid w:val="00822A46"/>
    <w:rsid w:val="00824456"/>
    <w:rsid w:val="00824C8C"/>
    <w:rsid w:val="00825F0F"/>
    <w:rsid w:val="008264C7"/>
    <w:rsid w:val="008265D4"/>
    <w:rsid w:val="008271BF"/>
    <w:rsid w:val="008274A8"/>
    <w:rsid w:val="00827C49"/>
    <w:rsid w:val="00827F8D"/>
    <w:rsid w:val="008306BD"/>
    <w:rsid w:val="00831787"/>
    <w:rsid w:val="00831A80"/>
    <w:rsid w:val="008322A1"/>
    <w:rsid w:val="00832B4A"/>
    <w:rsid w:val="00832B4F"/>
    <w:rsid w:val="00833743"/>
    <w:rsid w:val="008340A4"/>
    <w:rsid w:val="00834217"/>
    <w:rsid w:val="00835918"/>
    <w:rsid w:val="00836741"/>
    <w:rsid w:val="008367D8"/>
    <w:rsid w:val="00841694"/>
    <w:rsid w:val="008418B3"/>
    <w:rsid w:val="00843416"/>
    <w:rsid w:val="0084363E"/>
    <w:rsid w:val="00843D1B"/>
    <w:rsid w:val="00844290"/>
    <w:rsid w:val="008448D0"/>
    <w:rsid w:val="008452B9"/>
    <w:rsid w:val="00845C46"/>
    <w:rsid w:val="00846348"/>
    <w:rsid w:val="00846ADD"/>
    <w:rsid w:val="00846C86"/>
    <w:rsid w:val="00847A9B"/>
    <w:rsid w:val="008500EA"/>
    <w:rsid w:val="0085012D"/>
    <w:rsid w:val="00850D6D"/>
    <w:rsid w:val="00850F08"/>
    <w:rsid w:val="008528BB"/>
    <w:rsid w:val="0085431D"/>
    <w:rsid w:val="0085521D"/>
    <w:rsid w:val="00856A74"/>
    <w:rsid w:val="00857277"/>
    <w:rsid w:val="0085734E"/>
    <w:rsid w:val="00860681"/>
    <w:rsid w:val="00860AC0"/>
    <w:rsid w:val="008610FF"/>
    <w:rsid w:val="00861302"/>
    <w:rsid w:val="00861566"/>
    <w:rsid w:val="00862C23"/>
    <w:rsid w:val="00862F61"/>
    <w:rsid w:val="008632DE"/>
    <w:rsid w:val="00863736"/>
    <w:rsid w:val="00864161"/>
    <w:rsid w:val="008648CC"/>
    <w:rsid w:val="00864997"/>
    <w:rsid w:val="00864D47"/>
    <w:rsid w:val="00864E46"/>
    <w:rsid w:val="00864E57"/>
    <w:rsid w:val="00865112"/>
    <w:rsid w:val="0086596D"/>
    <w:rsid w:val="00865FA1"/>
    <w:rsid w:val="0086711B"/>
    <w:rsid w:val="0086786D"/>
    <w:rsid w:val="0086790F"/>
    <w:rsid w:val="00867BB6"/>
    <w:rsid w:val="00870116"/>
    <w:rsid w:val="00870816"/>
    <w:rsid w:val="0087135F"/>
    <w:rsid w:val="00871E4F"/>
    <w:rsid w:val="00872224"/>
    <w:rsid w:val="00872500"/>
    <w:rsid w:val="00872792"/>
    <w:rsid w:val="00872A57"/>
    <w:rsid w:val="00872D94"/>
    <w:rsid w:val="0087325C"/>
    <w:rsid w:val="008732D4"/>
    <w:rsid w:val="00873C21"/>
    <w:rsid w:val="008741A1"/>
    <w:rsid w:val="00874885"/>
    <w:rsid w:val="008759A6"/>
    <w:rsid w:val="00876315"/>
    <w:rsid w:val="0087639A"/>
    <w:rsid w:val="0087641E"/>
    <w:rsid w:val="00876638"/>
    <w:rsid w:val="00877262"/>
    <w:rsid w:val="008773DB"/>
    <w:rsid w:val="00877CFE"/>
    <w:rsid w:val="00880364"/>
    <w:rsid w:val="008805C3"/>
    <w:rsid w:val="008809AB"/>
    <w:rsid w:val="00880E08"/>
    <w:rsid w:val="0088244F"/>
    <w:rsid w:val="00883CEB"/>
    <w:rsid w:val="00883EF3"/>
    <w:rsid w:val="008841FC"/>
    <w:rsid w:val="00884711"/>
    <w:rsid w:val="00885D5D"/>
    <w:rsid w:val="00886383"/>
    <w:rsid w:val="0088703C"/>
    <w:rsid w:val="00887141"/>
    <w:rsid w:val="00887BE5"/>
    <w:rsid w:val="00891592"/>
    <w:rsid w:val="00891E9E"/>
    <w:rsid w:val="00892193"/>
    <w:rsid w:val="00892791"/>
    <w:rsid w:val="00893AE5"/>
    <w:rsid w:val="00893B82"/>
    <w:rsid w:val="00894C7B"/>
    <w:rsid w:val="00894CFA"/>
    <w:rsid w:val="00894DA3"/>
    <w:rsid w:val="00895DDA"/>
    <w:rsid w:val="0089698F"/>
    <w:rsid w:val="0089703F"/>
    <w:rsid w:val="00897F45"/>
    <w:rsid w:val="008A06AF"/>
    <w:rsid w:val="008A0EE6"/>
    <w:rsid w:val="008A0F68"/>
    <w:rsid w:val="008A14D8"/>
    <w:rsid w:val="008A1619"/>
    <w:rsid w:val="008A1BFF"/>
    <w:rsid w:val="008A1C7A"/>
    <w:rsid w:val="008A2E43"/>
    <w:rsid w:val="008A2F68"/>
    <w:rsid w:val="008A2F8F"/>
    <w:rsid w:val="008A3288"/>
    <w:rsid w:val="008A3F27"/>
    <w:rsid w:val="008A441F"/>
    <w:rsid w:val="008A49E0"/>
    <w:rsid w:val="008A532E"/>
    <w:rsid w:val="008A533B"/>
    <w:rsid w:val="008A5883"/>
    <w:rsid w:val="008A5989"/>
    <w:rsid w:val="008A5C3B"/>
    <w:rsid w:val="008A6477"/>
    <w:rsid w:val="008A6C64"/>
    <w:rsid w:val="008A6FD9"/>
    <w:rsid w:val="008A7A6B"/>
    <w:rsid w:val="008A7B9B"/>
    <w:rsid w:val="008B071B"/>
    <w:rsid w:val="008B0E33"/>
    <w:rsid w:val="008B15E9"/>
    <w:rsid w:val="008B2F16"/>
    <w:rsid w:val="008B37E8"/>
    <w:rsid w:val="008B423C"/>
    <w:rsid w:val="008B4B66"/>
    <w:rsid w:val="008B4FA6"/>
    <w:rsid w:val="008B500C"/>
    <w:rsid w:val="008B5282"/>
    <w:rsid w:val="008B549D"/>
    <w:rsid w:val="008B58C5"/>
    <w:rsid w:val="008B5A07"/>
    <w:rsid w:val="008B6082"/>
    <w:rsid w:val="008B610E"/>
    <w:rsid w:val="008B643B"/>
    <w:rsid w:val="008B7999"/>
    <w:rsid w:val="008B7A69"/>
    <w:rsid w:val="008B7C17"/>
    <w:rsid w:val="008B7F20"/>
    <w:rsid w:val="008C031A"/>
    <w:rsid w:val="008C054E"/>
    <w:rsid w:val="008C0ECF"/>
    <w:rsid w:val="008C13E5"/>
    <w:rsid w:val="008C170C"/>
    <w:rsid w:val="008C1C13"/>
    <w:rsid w:val="008C2D01"/>
    <w:rsid w:val="008C3AA2"/>
    <w:rsid w:val="008C40E6"/>
    <w:rsid w:val="008C44DE"/>
    <w:rsid w:val="008C5535"/>
    <w:rsid w:val="008C696B"/>
    <w:rsid w:val="008C72C6"/>
    <w:rsid w:val="008C7618"/>
    <w:rsid w:val="008C79CE"/>
    <w:rsid w:val="008C7CD2"/>
    <w:rsid w:val="008D0F7A"/>
    <w:rsid w:val="008D10AA"/>
    <w:rsid w:val="008D14DB"/>
    <w:rsid w:val="008D3A40"/>
    <w:rsid w:val="008D4AA8"/>
    <w:rsid w:val="008D4CF0"/>
    <w:rsid w:val="008D5E19"/>
    <w:rsid w:val="008D6304"/>
    <w:rsid w:val="008D64D2"/>
    <w:rsid w:val="008D66A7"/>
    <w:rsid w:val="008D66F3"/>
    <w:rsid w:val="008D68E4"/>
    <w:rsid w:val="008D7700"/>
    <w:rsid w:val="008D7A2F"/>
    <w:rsid w:val="008D7DDE"/>
    <w:rsid w:val="008E0506"/>
    <w:rsid w:val="008E059A"/>
    <w:rsid w:val="008E0CFF"/>
    <w:rsid w:val="008E2635"/>
    <w:rsid w:val="008E2686"/>
    <w:rsid w:val="008E2B31"/>
    <w:rsid w:val="008E3FDA"/>
    <w:rsid w:val="008E51DB"/>
    <w:rsid w:val="008E5D6B"/>
    <w:rsid w:val="008E76F0"/>
    <w:rsid w:val="008F13F7"/>
    <w:rsid w:val="008F15FE"/>
    <w:rsid w:val="008F1BAF"/>
    <w:rsid w:val="008F2232"/>
    <w:rsid w:val="008F2D29"/>
    <w:rsid w:val="008F4819"/>
    <w:rsid w:val="008F5187"/>
    <w:rsid w:val="008F5DC7"/>
    <w:rsid w:val="008F60D8"/>
    <w:rsid w:val="009004C7"/>
    <w:rsid w:val="00900B6C"/>
    <w:rsid w:val="00901A53"/>
    <w:rsid w:val="00901F37"/>
    <w:rsid w:val="00902727"/>
    <w:rsid w:val="0090312B"/>
    <w:rsid w:val="00903150"/>
    <w:rsid w:val="00903451"/>
    <w:rsid w:val="009035CB"/>
    <w:rsid w:val="00904469"/>
    <w:rsid w:val="00904F98"/>
    <w:rsid w:val="009062E4"/>
    <w:rsid w:val="0090660C"/>
    <w:rsid w:val="00906E6B"/>
    <w:rsid w:val="00906F21"/>
    <w:rsid w:val="0090701C"/>
    <w:rsid w:val="00907FA6"/>
    <w:rsid w:val="00910A8F"/>
    <w:rsid w:val="00910BBA"/>
    <w:rsid w:val="00910F70"/>
    <w:rsid w:val="0091150F"/>
    <w:rsid w:val="009122BF"/>
    <w:rsid w:val="00912A33"/>
    <w:rsid w:val="009133AB"/>
    <w:rsid w:val="00913B37"/>
    <w:rsid w:val="009145EE"/>
    <w:rsid w:val="0091508B"/>
    <w:rsid w:val="0091545D"/>
    <w:rsid w:val="0091655F"/>
    <w:rsid w:val="009167E8"/>
    <w:rsid w:val="00916D6C"/>
    <w:rsid w:val="0091736D"/>
    <w:rsid w:val="00917C33"/>
    <w:rsid w:val="00917D1E"/>
    <w:rsid w:val="00920906"/>
    <w:rsid w:val="00920B24"/>
    <w:rsid w:val="00922F80"/>
    <w:rsid w:val="0092353E"/>
    <w:rsid w:val="0092399A"/>
    <w:rsid w:val="00924247"/>
    <w:rsid w:val="0092571B"/>
    <w:rsid w:val="00926079"/>
    <w:rsid w:val="00927065"/>
    <w:rsid w:val="0093037A"/>
    <w:rsid w:val="00930AFE"/>
    <w:rsid w:val="009322E7"/>
    <w:rsid w:val="009323E7"/>
    <w:rsid w:val="00932D96"/>
    <w:rsid w:val="0093352D"/>
    <w:rsid w:val="00933BDD"/>
    <w:rsid w:val="00935D07"/>
    <w:rsid w:val="00936360"/>
    <w:rsid w:val="00936DB3"/>
    <w:rsid w:val="00937618"/>
    <w:rsid w:val="0093791F"/>
    <w:rsid w:val="00937B37"/>
    <w:rsid w:val="0094081A"/>
    <w:rsid w:val="00940B07"/>
    <w:rsid w:val="00941077"/>
    <w:rsid w:val="0094154D"/>
    <w:rsid w:val="0094166A"/>
    <w:rsid w:val="00942979"/>
    <w:rsid w:val="0094397A"/>
    <w:rsid w:val="00943DF8"/>
    <w:rsid w:val="00944436"/>
    <w:rsid w:val="00945752"/>
    <w:rsid w:val="009457D4"/>
    <w:rsid w:val="0094686A"/>
    <w:rsid w:val="009475A0"/>
    <w:rsid w:val="009476FD"/>
    <w:rsid w:val="00950F7F"/>
    <w:rsid w:val="0095155F"/>
    <w:rsid w:val="00951B34"/>
    <w:rsid w:val="00952760"/>
    <w:rsid w:val="00952E08"/>
    <w:rsid w:val="0095334D"/>
    <w:rsid w:val="00953558"/>
    <w:rsid w:val="00953B88"/>
    <w:rsid w:val="00953EEE"/>
    <w:rsid w:val="009540F8"/>
    <w:rsid w:val="009542D2"/>
    <w:rsid w:val="00954429"/>
    <w:rsid w:val="00954987"/>
    <w:rsid w:val="009554F7"/>
    <w:rsid w:val="00955903"/>
    <w:rsid w:val="00955CFA"/>
    <w:rsid w:val="00955F2C"/>
    <w:rsid w:val="009563C7"/>
    <w:rsid w:val="009563CE"/>
    <w:rsid w:val="00956DA7"/>
    <w:rsid w:val="00957760"/>
    <w:rsid w:val="00957E8C"/>
    <w:rsid w:val="00960885"/>
    <w:rsid w:val="00960E34"/>
    <w:rsid w:val="00961739"/>
    <w:rsid w:val="00961E63"/>
    <w:rsid w:val="00962272"/>
    <w:rsid w:val="009629DF"/>
    <w:rsid w:val="0096510B"/>
    <w:rsid w:val="0096518C"/>
    <w:rsid w:val="009652D3"/>
    <w:rsid w:val="009660B9"/>
    <w:rsid w:val="00967449"/>
    <w:rsid w:val="00967A54"/>
    <w:rsid w:val="00967AE6"/>
    <w:rsid w:val="00967F2A"/>
    <w:rsid w:val="00970C4A"/>
    <w:rsid w:val="009719EA"/>
    <w:rsid w:val="00972560"/>
    <w:rsid w:val="009725B6"/>
    <w:rsid w:val="00972818"/>
    <w:rsid w:val="00973829"/>
    <w:rsid w:val="00973874"/>
    <w:rsid w:val="00974145"/>
    <w:rsid w:val="009742CB"/>
    <w:rsid w:val="009751CD"/>
    <w:rsid w:val="00975BD1"/>
    <w:rsid w:val="00976328"/>
    <w:rsid w:val="0097680D"/>
    <w:rsid w:val="00976B4A"/>
    <w:rsid w:val="00980514"/>
    <w:rsid w:val="00981346"/>
    <w:rsid w:val="00982438"/>
    <w:rsid w:val="00982C69"/>
    <w:rsid w:val="009831DA"/>
    <w:rsid w:val="00983CA2"/>
    <w:rsid w:val="0098404C"/>
    <w:rsid w:val="0098524A"/>
    <w:rsid w:val="00985283"/>
    <w:rsid w:val="009854C2"/>
    <w:rsid w:val="00986447"/>
    <w:rsid w:val="0098656B"/>
    <w:rsid w:val="0098661E"/>
    <w:rsid w:val="00986714"/>
    <w:rsid w:val="00986E27"/>
    <w:rsid w:val="00992F22"/>
    <w:rsid w:val="00993318"/>
    <w:rsid w:val="00993E41"/>
    <w:rsid w:val="0099445E"/>
    <w:rsid w:val="00995424"/>
    <w:rsid w:val="00995918"/>
    <w:rsid w:val="00995992"/>
    <w:rsid w:val="00995DFD"/>
    <w:rsid w:val="00996286"/>
    <w:rsid w:val="00996ADC"/>
    <w:rsid w:val="00996EF0"/>
    <w:rsid w:val="00996FC1"/>
    <w:rsid w:val="009A02EE"/>
    <w:rsid w:val="009A03E5"/>
    <w:rsid w:val="009A0F3B"/>
    <w:rsid w:val="009A12F7"/>
    <w:rsid w:val="009A1B2A"/>
    <w:rsid w:val="009A1BB4"/>
    <w:rsid w:val="009A2628"/>
    <w:rsid w:val="009A2FEE"/>
    <w:rsid w:val="009A3200"/>
    <w:rsid w:val="009A32F9"/>
    <w:rsid w:val="009A34C8"/>
    <w:rsid w:val="009A3DEF"/>
    <w:rsid w:val="009A5B86"/>
    <w:rsid w:val="009A6AE0"/>
    <w:rsid w:val="009A7BF5"/>
    <w:rsid w:val="009B0897"/>
    <w:rsid w:val="009B0D2C"/>
    <w:rsid w:val="009B0D30"/>
    <w:rsid w:val="009B12DB"/>
    <w:rsid w:val="009B1848"/>
    <w:rsid w:val="009B247D"/>
    <w:rsid w:val="009B301F"/>
    <w:rsid w:val="009B33AF"/>
    <w:rsid w:val="009B33F9"/>
    <w:rsid w:val="009B3736"/>
    <w:rsid w:val="009B4C5F"/>
    <w:rsid w:val="009B4CE9"/>
    <w:rsid w:val="009B634B"/>
    <w:rsid w:val="009B640B"/>
    <w:rsid w:val="009B64B0"/>
    <w:rsid w:val="009B6B60"/>
    <w:rsid w:val="009B74AE"/>
    <w:rsid w:val="009B7BD9"/>
    <w:rsid w:val="009C0DB2"/>
    <w:rsid w:val="009C1A91"/>
    <w:rsid w:val="009C212A"/>
    <w:rsid w:val="009C2976"/>
    <w:rsid w:val="009C3E7D"/>
    <w:rsid w:val="009C40AB"/>
    <w:rsid w:val="009C419D"/>
    <w:rsid w:val="009C4641"/>
    <w:rsid w:val="009C49F3"/>
    <w:rsid w:val="009C4BE7"/>
    <w:rsid w:val="009C52C0"/>
    <w:rsid w:val="009C5E43"/>
    <w:rsid w:val="009C6926"/>
    <w:rsid w:val="009C6C96"/>
    <w:rsid w:val="009C74F0"/>
    <w:rsid w:val="009C77B4"/>
    <w:rsid w:val="009C77C0"/>
    <w:rsid w:val="009C7816"/>
    <w:rsid w:val="009C7DC6"/>
    <w:rsid w:val="009C7DD5"/>
    <w:rsid w:val="009D0237"/>
    <w:rsid w:val="009D1B5F"/>
    <w:rsid w:val="009D3529"/>
    <w:rsid w:val="009D3CA9"/>
    <w:rsid w:val="009D3E1A"/>
    <w:rsid w:val="009D3FDE"/>
    <w:rsid w:val="009D4079"/>
    <w:rsid w:val="009D4242"/>
    <w:rsid w:val="009D4A1A"/>
    <w:rsid w:val="009D53A7"/>
    <w:rsid w:val="009D70B4"/>
    <w:rsid w:val="009E0BE7"/>
    <w:rsid w:val="009E10AF"/>
    <w:rsid w:val="009E20A6"/>
    <w:rsid w:val="009E227D"/>
    <w:rsid w:val="009E25A8"/>
    <w:rsid w:val="009E3EE8"/>
    <w:rsid w:val="009E403E"/>
    <w:rsid w:val="009E49A2"/>
    <w:rsid w:val="009E5019"/>
    <w:rsid w:val="009E58B2"/>
    <w:rsid w:val="009E6FB8"/>
    <w:rsid w:val="009E74BF"/>
    <w:rsid w:val="009E752A"/>
    <w:rsid w:val="009F11B7"/>
    <w:rsid w:val="009F1852"/>
    <w:rsid w:val="009F1A59"/>
    <w:rsid w:val="009F2177"/>
    <w:rsid w:val="009F2711"/>
    <w:rsid w:val="009F46B6"/>
    <w:rsid w:val="009F521C"/>
    <w:rsid w:val="009F547A"/>
    <w:rsid w:val="009F6760"/>
    <w:rsid w:val="00A00FDC"/>
    <w:rsid w:val="00A0150A"/>
    <w:rsid w:val="00A016BF"/>
    <w:rsid w:val="00A02878"/>
    <w:rsid w:val="00A0433D"/>
    <w:rsid w:val="00A04B05"/>
    <w:rsid w:val="00A04F1B"/>
    <w:rsid w:val="00A0501B"/>
    <w:rsid w:val="00A060A7"/>
    <w:rsid w:val="00A06218"/>
    <w:rsid w:val="00A070BB"/>
    <w:rsid w:val="00A100EA"/>
    <w:rsid w:val="00A103EF"/>
    <w:rsid w:val="00A10611"/>
    <w:rsid w:val="00A11FEA"/>
    <w:rsid w:val="00A12994"/>
    <w:rsid w:val="00A13295"/>
    <w:rsid w:val="00A136FF"/>
    <w:rsid w:val="00A14947"/>
    <w:rsid w:val="00A14B77"/>
    <w:rsid w:val="00A14C94"/>
    <w:rsid w:val="00A155C3"/>
    <w:rsid w:val="00A171A1"/>
    <w:rsid w:val="00A177E2"/>
    <w:rsid w:val="00A17EB7"/>
    <w:rsid w:val="00A208A1"/>
    <w:rsid w:val="00A21452"/>
    <w:rsid w:val="00A217C8"/>
    <w:rsid w:val="00A21C1B"/>
    <w:rsid w:val="00A2255F"/>
    <w:rsid w:val="00A2283A"/>
    <w:rsid w:val="00A22FF5"/>
    <w:rsid w:val="00A23210"/>
    <w:rsid w:val="00A236FE"/>
    <w:rsid w:val="00A23850"/>
    <w:rsid w:val="00A23FC0"/>
    <w:rsid w:val="00A24F8A"/>
    <w:rsid w:val="00A264D3"/>
    <w:rsid w:val="00A26EC3"/>
    <w:rsid w:val="00A279A2"/>
    <w:rsid w:val="00A31CF6"/>
    <w:rsid w:val="00A31E5F"/>
    <w:rsid w:val="00A32468"/>
    <w:rsid w:val="00A3274B"/>
    <w:rsid w:val="00A32A83"/>
    <w:rsid w:val="00A352E2"/>
    <w:rsid w:val="00A35527"/>
    <w:rsid w:val="00A35D8A"/>
    <w:rsid w:val="00A35E21"/>
    <w:rsid w:val="00A365E6"/>
    <w:rsid w:val="00A3688A"/>
    <w:rsid w:val="00A368DB"/>
    <w:rsid w:val="00A3765E"/>
    <w:rsid w:val="00A37805"/>
    <w:rsid w:val="00A4026E"/>
    <w:rsid w:val="00A406C3"/>
    <w:rsid w:val="00A40961"/>
    <w:rsid w:val="00A41169"/>
    <w:rsid w:val="00A41259"/>
    <w:rsid w:val="00A421E9"/>
    <w:rsid w:val="00A4222B"/>
    <w:rsid w:val="00A423AA"/>
    <w:rsid w:val="00A4292B"/>
    <w:rsid w:val="00A429F4"/>
    <w:rsid w:val="00A43092"/>
    <w:rsid w:val="00A4339E"/>
    <w:rsid w:val="00A4366D"/>
    <w:rsid w:val="00A43BAD"/>
    <w:rsid w:val="00A45EE0"/>
    <w:rsid w:val="00A4696A"/>
    <w:rsid w:val="00A471D6"/>
    <w:rsid w:val="00A47603"/>
    <w:rsid w:val="00A477E8"/>
    <w:rsid w:val="00A47DC2"/>
    <w:rsid w:val="00A5033B"/>
    <w:rsid w:val="00A5077C"/>
    <w:rsid w:val="00A50902"/>
    <w:rsid w:val="00A50BB6"/>
    <w:rsid w:val="00A53BA4"/>
    <w:rsid w:val="00A53EC6"/>
    <w:rsid w:val="00A53FBE"/>
    <w:rsid w:val="00A54525"/>
    <w:rsid w:val="00A54D14"/>
    <w:rsid w:val="00A5561F"/>
    <w:rsid w:val="00A55644"/>
    <w:rsid w:val="00A55C0F"/>
    <w:rsid w:val="00A55F91"/>
    <w:rsid w:val="00A57E00"/>
    <w:rsid w:val="00A60B25"/>
    <w:rsid w:val="00A60E4F"/>
    <w:rsid w:val="00A612D4"/>
    <w:rsid w:val="00A61489"/>
    <w:rsid w:val="00A614F1"/>
    <w:rsid w:val="00A6231F"/>
    <w:rsid w:val="00A63951"/>
    <w:rsid w:val="00A648F8"/>
    <w:rsid w:val="00A65566"/>
    <w:rsid w:val="00A660CD"/>
    <w:rsid w:val="00A6771D"/>
    <w:rsid w:val="00A7119B"/>
    <w:rsid w:val="00A712A2"/>
    <w:rsid w:val="00A718AD"/>
    <w:rsid w:val="00A727FF"/>
    <w:rsid w:val="00A72F38"/>
    <w:rsid w:val="00A73874"/>
    <w:rsid w:val="00A739E4"/>
    <w:rsid w:val="00A73AE7"/>
    <w:rsid w:val="00A74D92"/>
    <w:rsid w:val="00A753B4"/>
    <w:rsid w:val="00A75AE7"/>
    <w:rsid w:val="00A76E4F"/>
    <w:rsid w:val="00A77EE0"/>
    <w:rsid w:val="00A77F63"/>
    <w:rsid w:val="00A8053A"/>
    <w:rsid w:val="00A808CA"/>
    <w:rsid w:val="00A809CD"/>
    <w:rsid w:val="00A8117B"/>
    <w:rsid w:val="00A8162F"/>
    <w:rsid w:val="00A82113"/>
    <w:rsid w:val="00A8232F"/>
    <w:rsid w:val="00A82887"/>
    <w:rsid w:val="00A8334D"/>
    <w:rsid w:val="00A83D9F"/>
    <w:rsid w:val="00A857FF"/>
    <w:rsid w:val="00A85A7E"/>
    <w:rsid w:val="00A85EA5"/>
    <w:rsid w:val="00A860F9"/>
    <w:rsid w:val="00A8713F"/>
    <w:rsid w:val="00A906B6"/>
    <w:rsid w:val="00A90996"/>
    <w:rsid w:val="00A90BA1"/>
    <w:rsid w:val="00A90EE8"/>
    <w:rsid w:val="00A9300F"/>
    <w:rsid w:val="00A93E55"/>
    <w:rsid w:val="00A947C4"/>
    <w:rsid w:val="00A94AE9"/>
    <w:rsid w:val="00A94C48"/>
    <w:rsid w:val="00A94CAD"/>
    <w:rsid w:val="00A9510E"/>
    <w:rsid w:val="00A95F1A"/>
    <w:rsid w:val="00A96BB7"/>
    <w:rsid w:val="00A974A5"/>
    <w:rsid w:val="00A97A9A"/>
    <w:rsid w:val="00AA0671"/>
    <w:rsid w:val="00AA0809"/>
    <w:rsid w:val="00AA12D7"/>
    <w:rsid w:val="00AA1768"/>
    <w:rsid w:val="00AA23CD"/>
    <w:rsid w:val="00AA2531"/>
    <w:rsid w:val="00AA28DA"/>
    <w:rsid w:val="00AA2FC1"/>
    <w:rsid w:val="00AA3395"/>
    <w:rsid w:val="00AA34C8"/>
    <w:rsid w:val="00AA372D"/>
    <w:rsid w:val="00AA3B48"/>
    <w:rsid w:val="00AA3D79"/>
    <w:rsid w:val="00AA3E19"/>
    <w:rsid w:val="00AA3EDC"/>
    <w:rsid w:val="00AA45CB"/>
    <w:rsid w:val="00AA507E"/>
    <w:rsid w:val="00AA628B"/>
    <w:rsid w:val="00AA68D3"/>
    <w:rsid w:val="00AA6C65"/>
    <w:rsid w:val="00AA7528"/>
    <w:rsid w:val="00AA7A8E"/>
    <w:rsid w:val="00AB02DC"/>
    <w:rsid w:val="00AB05D7"/>
    <w:rsid w:val="00AB0933"/>
    <w:rsid w:val="00AB1478"/>
    <w:rsid w:val="00AB15DD"/>
    <w:rsid w:val="00AB1E09"/>
    <w:rsid w:val="00AB2EB8"/>
    <w:rsid w:val="00AB36FE"/>
    <w:rsid w:val="00AB3ACB"/>
    <w:rsid w:val="00AB3B72"/>
    <w:rsid w:val="00AB414C"/>
    <w:rsid w:val="00AB43DB"/>
    <w:rsid w:val="00AB4918"/>
    <w:rsid w:val="00AB5330"/>
    <w:rsid w:val="00AB54B5"/>
    <w:rsid w:val="00AB5F59"/>
    <w:rsid w:val="00AB7352"/>
    <w:rsid w:val="00AB74D5"/>
    <w:rsid w:val="00AB7747"/>
    <w:rsid w:val="00AC0233"/>
    <w:rsid w:val="00AC0A7F"/>
    <w:rsid w:val="00AC0CDE"/>
    <w:rsid w:val="00AC1296"/>
    <w:rsid w:val="00AC14CE"/>
    <w:rsid w:val="00AC15A4"/>
    <w:rsid w:val="00AC28C2"/>
    <w:rsid w:val="00AC2A56"/>
    <w:rsid w:val="00AC2E0D"/>
    <w:rsid w:val="00AC373C"/>
    <w:rsid w:val="00AC40E6"/>
    <w:rsid w:val="00AC4546"/>
    <w:rsid w:val="00AC4EF8"/>
    <w:rsid w:val="00AC55ED"/>
    <w:rsid w:val="00AC7138"/>
    <w:rsid w:val="00AC7303"/>
    <w:rsid w:val="00AD010A"/>
    <w:rsid w:val="00AD0204"/>
    <w:rsid w:val="00AD0557"/>
    <w:rsid w:val="00AD055E"/>
    <w:rsid w:val="00AD0B8D"/>
    <w:rsid w:val="00AD17C1"/>
    <w:rsid w:val="00AD18CC"/>
    <w:rsid w:val="00AD1B36"/>
    <w:rsid w:val="00AD1EAC"/>
    <w:rsid w:val="00AD34D7"/>
    <w:rsid w:val="00AD4193"/>
    <w:rsid w:val="00AD47A7"/>
    <w:rsid w:val="00AD492F"/>
    <w:rsid w:val="00AD4B29"/>
    <w:rsid w:val="00AD5634"/>
    <w:rsid w:val="00AD57F1"/>
    <w:rsid w:val="00AD5EEE"/>
    <w:rsid w:val="00AD6222"/>
    <w:rsid w:val="00AD633F"/>
    <w:rsid w:val="00AD6397"/>
    <w:rsid w:val="00AD67AF"/>
    <w:rsid w:val="00AD67BA"/>
    <w:rsid w:val="00AD68BD"/>
    <w:rsid w:val="00AD79B5"/>
    <w:rsid w:val="00AD7F36"/>
    <w:rsid w:val="00AE0AA7"/>
    <w:rsid w:val="00AE223E"/>
    <w:rsid w:val="00AE2A04"/>
    <w:rsid w:val="00AE2AAD"/>
    <w:rsid w:val="00AE2E39"/>
    <w:rsid w:val="00AE3A88"/>
    <w:rsid w:val="00AE3ADB"/>
    <w:rsid w:val="00AE3B9E"/>
    <w:rsid w:val="00AE3D88"/>
    <w:rsid w:val="00AE434C"/>
    <w:rsid w:val="00AE4C15"/>
    <w:rsid w:val="00AE4CAD"/>
    <w:rsid w:val="00AE52E4"/>
    <w:rsid w:val="00AE587F"/>
    <w:rsid w:val="00AE59A9"/>
    <w:rsid w:val="00AE6175"/>
    <w:rsid w:val="00AE64EB"/>
    <w:rsid w:val="00AE671C"/>
    <w:rsid w:val="00AE7A28"/>
    <w:rsid w:val="00AE7F9C"/>
    <w:rsid w:val="00AF0CBF"/>
    <w:rsid w:val="00AF17C2"/>
    <w:rsid w:val="00AF1DBD"/>
    <w:rsid w:val="00AF257F"/>
    <w:rsid w:val="00AF2BE8"/>
    <w:rsid w:val="00AF33CF"/>
    <w:rsid w:val="00AF47AB"/>
    <w:rsid w:val="00AF4C18"/>
    <w:rsid w:val="00AF4CB0"/>
    <w:rsid w:val="00AF4D50"/>
    <w:rsid w:val="00AF5A59"/>
    <w:rsid w:val="00AF6179"/>
    <w:rsid w:val="00AF6915"/>
    <w:rsid w:val="00AF7F99"/>
    <w:rsid w:val="00B0035D"/>
    <w:rsid w:val="00B01034"/>
    <w:rsid w:val="00B01291"/>
    <w:rsid w:val="00B012DA"/>
    <w:rsid w:val="00B018F6"/>
    <w:rsid w:val="00B01EA7"/>
    <w:rsid w:val="00B020F5"/>
    <w:rsid w:val="00B02A51"/>
    <w:rsid w:val="00B03666"/>
    <w:rsid w:val="00B04BC2"/>
    <w:rsid w:val="00B0554A"/>
    <w:rsid w:val="00B056A0"/>
    <w:rsid w:val="00B06BDE"/>
    <w:rsid w:val="00B074BC"/>
    <w:rsid w:val="00B075E2"/>
    <w:rsid w:val="00B1225B"/>
    <w:rsid w:val="00B1244A"/>
    <w:rsid w:val="00B1295A"/>
    <w:rsid w:val="00B13A78"/>
    <w:rsid w:val="00B1459B"/>
    <w:rsid w:val="00B14B28"/>
    <w:rsid w:val="00B152A9"/>
    <w:rsid w:val="00B157C6"/>
    <w:rsid w:val="00B15FF3"/>
    <w:rsid w:val="00B16D96"/>
    <w:rsid w:val="00B16F3A"/>
    <w:rsid w:val="00B1709E"/>
    <w:rsid w:val="00B170CB"/>
    <w:rsid w:val="00B20405"/>
    <w:rsid w:val="00B20662"/>
    <w:rsid w:val="00B207EF"/>
    <w:rsid w:val="00B20A45"/>
    <w:rsid w:val="00B21022"/>
    <w:rsid w:val="00B21294"/>
    <w:rsid w:val="00B215AB"/>
    <w:rsid w:val="00B21C98"/>
    <w:rsid w:val="00B22AB6"/>
    <w:rsid w:val="00B22C12"/>
    <w:rsid w:val="00B22C5C"/>
    <w:rsid w:val="00B22DB9"/>
    <w:rsid w:val="00B23777"/>
    <w:rsid w:val="00B24F30"/>
    <w:rsid w:val="00B26ABF"/>
    <w:rsid w:val="00B2769A"/>
    <w:rsid w:val="00B27ECE"/>
    <w:rsid w:val="00B30070"/>
    <w:rsid w:val="00B30287"/>
    <w:rsid w:val="00B30653"/>
    <w:rsid w:val="00B30B1A"/>
    <w:rsid w:val="00B31378"/>
    <w:rsid w:val="00B31462"/>
    <w:rsid w:val="00B31ABF"/>
    <w:rsid w:val="00B33BE3"/>
    <w:rsid w:val="00B344D8"/>
    <w:rsid w:val="00B3464E"/>
    <w:rsid w:val="00B34793"/>
    <w:rsid w:val="00B3526A"/>
    <w:rsid w:val="00B3620D"/>
    <w:rsid w:val="00B400C5"/>
    <w:rsid w:val="00B403F7"/>
    <w:rsid w:val="00B40C10"/>
    <w:rsid w:val="00B41356"/>
    <w:rsid w:val="00B415D9"/>
    <w:rsid w:val="00B423B1"/>
    <w:rsid w:val="00B42676"/>
    <w:rsid w:val="00B42B5D"/>
    <w:rsid w:val="00B42D78"/>
    <w:rsid w:val="00B435FC"/>
    <w:rsid w:val="00B43ED0"/>
    <w:rsid w:val="00B44761"/>
    <w:rsid w:val="00B4489C"/>
    <w:rsid w:val="00B45D35"/>
    <w:rsid w:val="00B501AE"/>
    <w:rsid w:val="00B508FD"/>
    <w:rsid w:val="00B51A9E"/>
    <w:rsid w:val="00B51E30"/>
    <w:rsid w:val="00B52430"/>
    <w:rsid w:val="00B52570"/>
    <w:rsid w:val="00B53B5D"/>
    <w:rsid w:val="00B53BAA"/>
    <w:rsid w:val="00B5518F"/>
    <w:rsid w:val="00B5527F"/>
    <w:rsid w:val="00B555B9"/>
    <w:rsid w:val="00B55D3B"/>
    <w:rsid w:val="00B56693"/>
    <w:rsid w:val="00B5684C"/>
    <w:rsid w:val="00B57087"/>
    <w:rsid w:val="00B6055E"/>
    <w:rsid w:val="00B6075F"/>
    <w:rsid w:val="00B61CB6"/>
    <w:rsid w:val="00B62E2B"/>
    <w:rsid w:val="00B6317D"/>
    <w:rsid w:val="00B63702"/>
    <w:rsid w:val="00B649FB"/>
    <w:rsid w:val="00B650A1"/>
    <w:rsid w:val="00B65655"/>
    <w:rsid w:val="00B6579E"/>
    <w:rsid w:val="00B66EDC"/>
    <w:rsid w:val="00B672AC"/>
    <w:rsid w:val="00B67FFE"/>
    <w:rsid w:val="00B70549"/>
    <w:rsid w:val="00B718C3"/>
    <w:rsid w:val="00B718F9"/>
    <w:rsid w:val="00B71956"/>
    <w:rsid w:val="00B7279A"/>
    <w:rsid w:val="00B72919"/>
    <w:rsid w:val="00B72AF2"/>
    <w:rsid w:val="00B72B7D"/>
    <w:rsid w:val="00B73F11"/>
    <w:rsid w:val="00B74F1E"/>
    <w:rsid w:val="00B7517F"/>
    <w:rsid w:val="00B75C0F"/>
    <w:rsid w:val="00B75FD9"/>
    <w:rsid w:val="00B76285"/>
    <w:rsid w:val="00B769E3"/>
    <w:rsid w:val="00B7723F"/>
    <w:rsid w:val="00B77C40"/>
    <w:rsid w:val="00B77CB3"/>
    <w:rsid w:val="00B80186"/>
    <w:rsid w:val="00B801A5"/>
    <w:rsid w:val="00B802D2"/>
    <w:rsid w:val="00B80534"/>
    <w:rsid w:val="00B81602"/>
    <w:rsid w:val="00B81823"/>
    <w:rsid w:val="00B81C28"/>
    <w:rsid w:val="00B81D28"/>
    <w:rsid w:val="00B82606"/>
    <w:rsid w:val="00B8359C"/>
    <w:rsid w:val="00B8433C"/>
    <w:rsid w:val="00B8531C"/>
    <w:rsid w:val="00B85939"/>
    <w:rsid w:val="00B860BE"/>
    <w:rsid w:val="00B86483"/>
    <w:rsid w:val="00B86D07"/>
    <w:rsid w:val="00B86E9D"/>
    <w:rsid w:val="00B871E8"/>
    <w:rsid w:val="00B87491"/>
    <w:rsid w:val="00B87BAF"/>
    <w:rsid w:val="00B90422"/>
    <w:rsid w:val="00B9154B"/>
    <w:rsid w:val="00B93212"/>
    <w:rsid w:val="00B93224"/>
    <w:rsid w:val="00B94487"/>
    <w:rsid w:val="00B9449C"/>
    <w:rsid w:val="00B95B0D"/>
    <w:rsid w:val="00B95EC6"/>
    <w:rsid w:val="00B96E83"/>
    <w:rsid w:val="00BA178F"/>
    <w:rsid w:val="00BA2158"/>
    <w:rsid w:val="00BA236B"/>
    <w:rsid w:val="00BA29E9"/>
    <w:rsid w:val="00BA2EBE"/>
    <w:rsid w:val="00BA50CD"/>
    <w:rsid w:val="00BA66C0"/>
    <w:rsid w:val="00BA70A1"/>
    <w:rsid w:val="00BA7142"/>
    <w:rsid w:val="00BA7911"/>
    <w:rsid w:val="00BB0D02"/>
    <w:rsid w:val="00BB2025"/>
    <w:rsid w:val="00BB2237"/>
    <w:rsid w:val="00BB237C"/>
    <w:rsid w:val="00BB23BE"/>
    <w:rsid w:val="00BB2450"/>
    <w:rsid w:val="00BB286F"/>
    <w:rsid w:val="00BB3017"/>
    <w:rsid w:val="00BB3154"/>
    <w:rsid w:val="00BB3169"/>
    <w:rsid w:val="00BB3575"/>
    <w:rsid w:val="00BB3D9B"/>
    <w:rsid w:val="00BB41A3"/>
    <w:rsid w:val="00BB42E1"/>
    <w:rsid w:val="00BB49FE"/>
    <w:rsid w:val="00BB516E"/>
    <w:rsid w:val="00BB6C0D"/>
    <w:rsid w:val="00BB72D6"/>
    <w:rsid w:val="00BB7472"/>
    <w:rsid w:val="00BB7FCB"/>
    <w:rsid w:val="00BC0FBE"/>
    <w:rsid w:val="00BC1B88"/>
    <w:rsid w:val="00BC2845"/>
    <w:rsid w:val="00BC306E"/>
    <w:rsid w:val="00BC32DC"/>
    <w:rsid w:val="00BC35B6"/>
    <w:rsid w:val="00BC493E"/>
    <w:rsid w:val="00BC4ABA"/>
    <w:rsid w:val="00BC4B6F"/>
    <w:rsid w:val="00BC4DFB"/>
    <w:rsid w:val="00BC59FD"/>
    <w:rsid w:val="00BC7314"/>
    <w:rsid w:val="00BC7A6E"/>
    <w:rsid w:val="00BC7F6C"/>
    <w:rsid w:val="00BD1B51"/>
    <w:rsid w:val="00BD1BB8"/>
    <w:rsid w:val="00BD1F66"/>
    <w:rsid w:val="00BD28C5"/>
    <w:rsid w:val="00BD3E47"/>
    <w:rsid w:val="00BD4596"/>
    <w:rsid w:val="00BD464C"/>
    <w:rsid w:val="00BD56CE"/>
    <w:rsid w:val="00BD6080"/>
    <w:rsid w:val="00BD61DF"/>
    <w:rsid w:val="00BD6771"/>
    <w:rsid w:val="00BD721D"/>
    <w:rsid w:val="00BD76E6"/>
    <w:rsid w:val="00BE1405"/>
    <w:rsid w:val="00BE1C5E"/>
    <w:rsid w:val="00BE2A40"/>
    <w:rsid w:val="00BE2C20"/>
    <w:rsid w:val="00BE312D"/>
    <w:rsid w:val="00BE31DC"/>
    <w:rsid w:val="00BE3CBC"/>
    <w:rsid w:val="00BE41FB"/>
    <w:rsid w:val="00BE686B"/>
    <w:rsid w:val="00BE7D7E"/>
    <w:rsid w:val="00BF001E"/>
    <w:rsid w:val="00BF022D"/>
    <w:rsid w:val="00BF04E5"/>
    <w:rsid w:val="00BF0A64"/>
    <w:rsid w:val="00BF16C2"/>
    <w:rsid w:val="00BF1A41"/>
    <w:rsid w:val="00BF1C20"/>
    <w:rsid w:val="00BF1F81"/>
    <w:rsid w:val="00BF3402"/>
    <w:rsid w:val="00BF35DB"/>
    <w:rsid w:val="00BF4140"/>
    <w:rsid w:val="00BF4408"/>
    <w:rsid w:val="00BF4843"/>
    <w:rsid w:val="00BF5123"/>
    <w:rsid w:val="00BF7A57"/>
    <w:rsid w:val="00C00436"/>
    <w:rsid w:val="00C00AEB"/>
    <w:rsid w:val="00C01164"/>
    <w:rsid w:val="00C015FD"/>
    <w:rsid w:val="00C02E1F"/>
    <w:rsid w:val="00C031DF"/>
    <w:rsid w:val="00C032DC"/>
    <w:rsid w:val="00C0360D"/>
    <w:rsid w:val="00C036B1"/>
    <w:rsid w:val="00C037F3"/>
    <w:rsid w:val="00C04850"/>
    <w:rsid w:val="00C05277"/>
    <w:rsid w:val="00C052D7"/>
    <w:rsid w:val="00C055C3"/>
    <w:rsid w:val="00C057FA"/>
    <w:rsid w:val="00C06CC8"/>
    <w:rsid w:val="00C06EB1"/>
    <w:rsid w:val="00C07042"/>
    <w:rsid w:val="00C07053"/>
    <w:rsid w:val="00C07A49"/>
    <w:rsid w:val="00C10578"/>
    <w:rsid w:val="00C111CC"/>
    <w:rsid w:val="00C1178F"/>
    <w:rsid w:val="00C12D7F"/>
    <w:rsid w:val="00C13249"/>
    <w:rsid w:val="00C135BC"/>
    <w:rsid w:val="00C14221"/>
    <w:rsid w:val="00C14EFE"/>
    <w:rsid w:val="00C14FF2"/>
    <w:rsid w:val="00C15130"/>
    <w:rsid w:val="00C151C4"/>
    <w:rsid w:val="00C1534C"/>
    <w:rsid w:val="00C15491"/>
    <w:rsid w:val="00C155CA"/>
    <w:rsid w:val="00C15C95"/>
    <w:rsid w:val="00C15E8C"/>
    <w:rsid w:val="00C160A9"/>
    <w:rsid w:val="00C20C12"/>
    <w:rsid w:val="00C221D9"/>
    <w:rsid w:val="00C23729"/>
    <w:rsid w:val="00C241B3"/>
    <w:rsid w:val="00C24AFC"/>
    <w:rsid w:val="00C24D09"/>
    <w:rsid w:val="00C25308"/>
    <w:rsid w:val="00C256E6"/>
    <w:rsid w:val="00C2596A"/>
    <w:rsid w:val="00C26348"/>
    <w:rsid w:val="00C26833"/>
    <w:rsid w:val="00C26F0E"/>
    <w:rsid w:val="00C27537"/>
    <w:rsid w:val="00C27B3B"/>
    <w:rsid w:val="00C27B59"/>
    <w:rsid w:val="00C312E0"/>
    <w:rsid w:val="00C31A8F"/>
    <w:rsid w:val="00C32037"/>
    <w:rsid w:val="00C32863"/>
    <w:rsid w:val="00C328FE"/>
    <w:rsid w:val="00C32B94"/>
    <w:rsid w:val="00C32ED5"/>
    <w:rsid w:val="00C330E5"/>
    <w:rsid w:val="00C332E4"/>
    <w:rsid w:val="00C33507"/>
    <w:rsid w:val="00C3437D"/>
    <w:rsid w:val="00C35345"/>
    <w:rsid w:val="00C357C8"/>
    <w:rsid w:val="00C35E53"/>
    <w:rsid w:val="00C3631F"/>
    <w:rsid w:val="00C365CA"/>
    <w:rsid w:val="00C3661C"/>
    <w:rsid w:val="00C37325"/>
    <w:rsid w:val="00C4168A"/>
    <w:rsid w:val="00C421A8"/>
    <w:rsid w:val="00C4224B"/>
    <w:rsid w:val="00C430AC"/>
    <w:rsid w:val="00C43A45"/>
    <w:rsid w:val="00C43CA0"/>
    <w:rsid w:val="00C4409D"/>
    <w:rsid w:val="00C4420E"/>
    <w:rsid w:val="00C446FD"/>
    <w:rsid w:val="00C449B5"/>
    <w:rsid w:val="00C44E72"/>
    <w:rsid w:val="00C45A06"/>
    <w:rsid w:val="00C4625A"/>
    <w:rsid w:val="00C4681C"/>
    <w:rsid w:val="00C47774"/>
    <w:rsid w:val="00C47E5B"/>
    <w:rsid w:val="00C508AB"/>
    <w:rsid w:val="00C51941"/>
    <w:rsid w:val="00C5376B"/>
    <w:rsid w:val="00C538B7"/>
    <w:rsid w:val="00C53CFE"/>
    <w:rsid w:val="00C54DAC"/>
    <w:rsid w:val="00C5521C"/>
    <w:rsid w:val="00C55255"/>
    <w:rsid w:val="00C56009"/>
    <w:rsid w:val="00C56230"/>
    <w:rsid w:val="00C576CA"/>
    <w:rsid w:val="00C57710"/>
    <w:rsid w:val="00C57F7D"/>
    <w:rsid w:val="00C611BE"/>
    <w:rsid w:val="00C6199D"/>
    <w:rsid w:val="00C61B10"/>
    <w:rsid w:val="00C61CE8"/>
    <w:rsid w:val="00C61E4B"/>
    <w:rsid w:val="00C62383"/>
    <w:rsid w:val="00C62B0F"/>
    <w:rsid w:val="00C62B9E"/>
    <w:rsid w:val="00C62DC4"/>
    <w:rsid w:val="00C63354"/>
    <w:rsid w:val="00C64475"/>
    <w:rsid w:val="00C64BFF"/>
    <w:rsid w:val="00C64C86"/>
    <w:rsid w:val="00C65157"/>
    <w:rsid w:val="00C6562E"/>
    <w:rsid w:val="00C66378"/>
    <w:rsid w:val="00C66561"/>
    <w:rsid w:val="00C6753D"/>
    <w:rsid w:val="00C67B7D"/>
    <w:rsid w:val="00C704E9"/>
    <w:rsid w:val="00C71090"/>
    <w:rsid w:val="00C71269"/>
    <w:rsid w:val="00C7126B"/>
    <w:rsid w:val="00C713C6"/>
    <w:rsid w:val="00C7162D"/>
    <w:rsid w:val="00C71D2A"/>
    <w:rsid w:val="00C72A3B"/>
    <w:rsid w:val="00C733EA"/>
    <w:rsid w:val="00C73675"/>
    <w:rsid w:val="00C739EE"/>
    <w:rsid w:val="00C73B1E"/>
    <w:rsid w:val="00C7419A"/>
    <w:rsid w:val="00C74517"/>
    <w:rsid w:val="00C74727"/>
    <w:rsid w:val="00C757EB"/>
    <w:rsid w:val="00C763C9"/>
    <w:rsid w:val="00C76B9D"/>
    <w:rsid w:val="00C77A7D"/>
    <w:rsid w:val="00C80057"/>
    <w:rsid w:val="00C809E0"/>
    <w:rsid w:val="00C812EF"/>
    <w:rsid w:val="00C81715"/>
    <w:rsid w:val="00C81AAE"/>
    <w:rsid w:val="00C81BCC"/>
    <w:rsid w:val="00C82232"/>
    <w:rsid w:val="00C82913"/>
    <w:rsid w:val="00C82EA1"/>
    <w:rsid w:val="00C83951"/>
    <w:rsid w:val="00C83DAB"/>
    <w:rsid w:val="00C83FEE"/>
    <w:rsid w:val="00C84202"/>
    <w:rsid w:val="00C84581"/>
    <w:rsid w:val="00C85022"/>
    <w:rsid w:val="00C85163"/>
    <w:rsid w:val="00C877E5"/>
    <w:rsid w:val="00C90E33"/>
    <w:rsid w:val="00C91478"/>
    <w:rsid w:val="00C923D9"/>
    <w:rsid w:val="00C932F5"/>
    <w:rsid w:val="00C93E83"/>
    <w:rsid w:val="00C94A46"/>
    <w:rsid w:val="00C94D68"/>
    <w:rsid w:val="00C95562"/>
    <w:rsid w:val="00C95673"/>
    <w:rsid w:val="00C95769"/>
    <w:rsid w:val="00C96462"/>
    <w:rsid w:val="00C96B98"/>
    <w:rsid w:val="00C972B1"/>
    <w:rsid w:val="00C977BF"/>
    <w:rsid w:val="00CA09BC"/>
    <w:rsid w:val="00CA0D93"/>
    <w:rsid w:val="00CA0DB4"/>
    <w:rsid w:val="00CA1D94"/>
    <w:rsid w:val="00CA2533"/>
    <w:rsid w:val="00CA2629"/>
    <w:rsid w:val="00CA2CCE"/>
    <w:rsid w:val="00CA351B"/>
    <w:rsid w:val="00CA3E8C"/>
    <w:rsid w:val="00CA3F38"/>
    <w:rsid w:val="00CA3F86"/>
    <w:rsid w:val="00CA4271"/>
    <w:rsid w:val="00CA43FD"/>
    <w:rsid w:val="00CA44F0"/>
    <w:rsid w:val="00CA55DC"/>
    <w:rsid w:val="00CA7EF8"/>
    <w:rsid w:val="00CB00E4"/>
    <w:rsid w:val="00CB0707"/>
    <w:rsid w:val="00CB094F"/>
    <w:rsid w:val="00CB0D13"/>
    <w:rsid w:val="00CB13FC"/>
    <w:rsid w:val="00CB1F50"/>
    <w:rsid w:val="00CB28F7"/>
    <w:rsid w:val="00CB3419"/>
    <w:rsid w:val="00CB421B"/>
    <w:rsid w:val="00CB4288"/>
    <w:rsid w:val="00CB4347"/>
    <w:rsid w:val="00CB4EFC"/>
    <w:rsid w:val="00CB509E"/>
    <w:rsid w:val="00CB5729"/>
    <w:rsid w:val="00CB5FD9"/>
    <w:rsid w:val="00CC0034"/>
    <w:rsid w:val="00CC0566"/>
    <w:rsid w:val="00CC0C8C"/>
    <w:rsid w:val="00CC2094"/>
    <w:rsid w:val="00CC2E12"/>
    <w:rsid w:val="00CC3816"/>
    <w:rsid w:val="00CC3ACB"/>
    <w:rsid w:val="00CC4185"/>
    <w:rsid w:val="00CC438B"/>
    <w:rsid w:val="00CC455A"/>
    <w:rsid w:val="00CC489B"/>
    <w:rsid w:val="00CC52BF"/>
    <w:rsid w:val="00CC5ACE"/>
    <w:rsid w:val="00CC5E3F"/>
    <w:rsid w:val="00CC5F85"/>
    <w:rsid w:val="00CC61BF"/>
    <w:rsid w:val="00CC6D12"/>
    <w:rsid w:val="00CC78EE"/>
    <w:rsid w:val="00CC7D60"/>
    <w:rsid w:val="00CD0123"/>
    <w:rsid w:val="00CD0233"/>
    <w:rsid w:val="00CD1544"/>
    <w:rsid w:val="00CD2096"/>
    <w:rsid w:val="00CD24F0"/>
    <w:rsid w:val="00CD2533"/>
    <w:rsid w:val="00CD2BCD"/>
    <w:rsid w:val="00CD3A4C"/>
    <w:rsid w:val="00CD3BDB"/>
    <w:rsid w:val="00CD3E02"/>
    <w:rsid w:val="00CD403E"/>
    <w:rsid w:val="00CD4088"/>
    <w:rsid w:val="00CD46F1"/>
    <w:rsid w:val="00CD494C"/>
    <w:rsid w:val="00CD4D60"/>
    <w:rsid w:val="00CD5488"/>
    <w:rsid w:val="00CD56AE"/>
    <w:rsid w:val="00CD5EE7"/>
    <w:rsid w:val="00CD781F"/>
    <w:rsid w:val="00CE10E9"/>
    <w:rsid w:val="00CE186A"/>
    <w:rsid w:val="00CE2910"/>
    <w:rsid w:val="00CE3309"/>
    <w:rsid w:val="00CE3723"/>
    <w:rsid w:val="00CE379F"/>
    <w:rsid w:val="00CE4456"/>
    <w:rsid w:val="00CE5393"/>
    <w:rsid w:val="00CE5E00"/>
    <w:rsid w:val="00CE6C42"/>
    <w:rsid w:val="00CE7BE0"/>
    <w:rsid w:val="00CF095A"/>
    <w:rsid w:val="00CF1CE5"/>
    <w:rsid w:val="00CF1DAB"/>
    <w:rsid w:val="00CF2AB6"/>
    <w:rsid w:val="00CF2F29"/>
    <w:rsid w:val="00CF3495"/>
    <w:rsid w:val="00CF36BE"/>
    <w:rsid w:val="00CF5595"/>
    <w:rsid w:val="00CF6000"/>
    <w:rsid w:val="00CF65DB"/>
    <w:rsid w:val="00CF6994"/>
    <w:rsid w:val="00CF715C"/>
    <w:rsid w:val="00CF7987"/>
    <w:rsid w:val="00CF7E64"/>
    <w:rsid w:val="00D003F3"/>
    <w:rsid w:val="00D01301"/>
    <w:rsid w:val="00D027C0"/>
    <w:rsid w:val="00D02C33"/>
    <w:rsid w:val="00D03191"/>
    <w:rsid w:val="00D0364F"/>
    <w:rsid w:val="00D038B0"/>
    <w:rsid w:val="00D03AFF"/>
    <w:rsid w:val="00D0451E"/>
    <w:rsid w:val="00D04A07"/>
    <w:rsid w:val="00D05B2F"/>
    <w:rsid w:val="00D06834"/>
    <w:rsid w:val="00D06C83"/>
    <w:rsid w:val="00D108AD"/>
    <w:rsid w:val="00D13B25"/>
    <w:rsid w:val="00D1662B"/>
    <w:rsid w:val="00D1695D"/>
    <w:rsid w:val="00D170CE"/>
    <w:rsid w:val="00D17402"/>
    <w:rsid w:val="00D20580"/>
    <w:rsid w:val="00D207E3"/>
    <w:rsid w:val="00D20C31"/>
    <w:rsid w:val="00D21234"/>
    <w:rsid w:val="00D2192A"/>
    <w:rsid w:val="00D21A27"/>
    <w:rsid w:val="00D233E1"/>
    <w:rsid w:val="00D23D8E"/>
    <w:rsid w:val="00D24282"/>
    <w:rsid w:val="00D2443F"/>
    <w:rsid w:val="00D24827"/>
    <w:rsid w:val="00D249A2"/>
    <w:rsid w:val="00D25F5D"/>
    <w:rsid w:val="00D2710D"/>
    <w:rsid w:val="00D272AB"/>
    <w:rsid w:val="00D3005E"/>
    <w:rsid w:val="00D305B6"/>
    <w:rsid w:val="00D308ED"/>
    <w:rsid w:val="00D318E4"/>
    <w:rsid w:val="00D31AEE"/>
    <w:rsid w:val="00D34222"/>
    <w:rsid w:val="00D344D8"/>
    <w:rsid w:val="00D34AD9"/>
    <w:rsid w:val="00D34F69"/>
    <w:rsid w:val="00D3502E"/>
    <w:rsid w:val="00D35459"/>
    <w:rsid w:val="00D36D86"/>
    <w:rsid w:val="00D40579"/>
    <w:rsid w:val="00D407E0"/>
    <w:rsid w:val="00D42157"/>
    <w:rsid w:val="00D428AA"/>
    <w:rsid w:val="00D42B48"/>
    <w:rsid w:val="00D436B2"/>
    <w:rsid w:val="00D43B23"/>
    <w:rsid w:val="00D443CC"/>
    <w:rsid w:val="00D448AE"/>
    <w:rsid w:val="00D44EEB"/>
    <w:rsid w:val="00D4558B"/>
    <w:rsid w:val="00D47214"/>
    <w:rsid w:val="00D47E94"/>
    <w:rsid w:val="00D506A2"/>
    <w:rsid w:val="00D50A34"/>
    <w:rsid w:val="00D52CDB"/>
    <w:rsid w:val="00D52FA6"/>
    <w:rsid w:val="00D53B7E"/>
    <w:rsid w:val="00D53E68"/>
    <w:rsid w:val="00D53EFA"/>
    <w:rsid w:val="00D546E6"/>
    <w:rsid w:val="00D55F69"/>
    <w:rsid w:val="00D572A4"/>
    <w:rsid w:val="00D57550"/>
    <w:rsid w:val="00D57A9C"/>
    <w:rsid w:val="00D57ACE"/>
    <w:rsid w:val="00D601E0"/>
    <w:rsid w:val="00D6241D"/>
    <w:rsid w:val="00D624EC"/>
    <w:rsid w:val="00D625BF"/>
    <w:rsid w:val="00D62606"/>
    <w:rsid w:val="00D6348A"/>
    <w:rsid w:val="00D64189"/>
    <w:rsid w:val="00D64290"/>
    <w:rsid w:val="00D642CE"/>
    <w:rsid w:val="00D65C88"/>
    <w:rsid w:val="00D6776B"/>
    <w:rsid w:val="00D71D89"/>
    <w:rsid w:val="00D721AC"/>
    <w:rsid w:val="00D723AE"/>
    <w:rsid w:val="00D7263F"/>
    <w:rsid w:val="00D7285A"/>
    <w:rsid w:val="00D734A3"/>
    <w:rsid w:val="00D73AD1"/>
    <w:rsid w:val="00D7464A"/>
    <w:rsid w:val="00D747BD"/>
    <w:rsid w:val="00D74E38"/>
    <w:rsid w:val="00D7536C"/>
    <w:rsid w:val="00D7571D"/>
    <w:rsid w:val="00D75EF3"/>
    <w:rsid w:val="00D76FC9"/>
    <w:rsid w:val="00D77074"/>
    <w:rsid w:val="00D771A2"/>
    <w:rsid w:val="00D77E17"/>
    <w:rsid w:val="00D80054"/>
    <w:rsid w:val="00D81BCF"/>
    <w:rsid w:val="00D81D0E"/>
    <w:rsid w:val="00D82107"/>
    <w:rsid w:val="00D83273"/>
    <w:rsid w:val="00D83935"/>
    <w:rsid w:val="00D8395B"/>
    <w:rsid w:val="00D83A10"/>
    <w:rsid w:val="00D8492E"/>
    <w:rsid w:val="00D85372"/>
    <w:rsid w:val="00D85701"/>
    <w:rsid w:val="00D862F7"/>
    <w:rsid w:val="00D868A7"/>
    <w:rsid w:val="00D86955"/>
    <w:rsid w:val="00D87632"/>
    <w:rsid w:val="00D87C1A"/>
    <w:rsid w:val="00D87CF3"/>
    <w:rsid w:val="00D87F15"/>
    <w:rsid w:val="00D91D58"/>
    <w:rsid w:val="00D920E5"/>
    <w:rsid w:val="00D9310A"/>
    <w:rsid w:val="00D9367A"/>
    <w:rsid w:val="00D949AD"/>
    <w:rsid w:val="00D94A7C"/>
    <w:rsid w:val="00D95153"/>
    <w:rsid w:val="00D95896"/>
    <w:rsid w:val="00D95BA1"/>
    <w:rsid w:val="00D96541"/>
    <w:rsid w:val="00D967D5"/>
    <w:rsid w:val="00D9781D"/>
    <w:rsid w:val="00DA0C36"/>
    <w:rsid w:val="00DA169C"/>
    <w:rsid w:val="00DA1E18"/>
    <w:rsid w:val="00DA3607"/>
    <w:rsid w:val="00DA3630"/>
    <w:rsid w:val="00DA374B"/>
    <w:rsid w:val="00DA3D89"/>
    <w:rsid w:val="00DA405D"/>
    <w:rsid w:val="00DA464B"/>
    <w:rsid w:val="00DA4D96"/>
    <w:rsid w:val="00DA4DE8"/>
    <w:rsid w:val="00DA5840"/>
    <w:rsid w:val="00DA5E45"/>
    <w:rsid w:val="00DA6145"/>
    <w:rsid w:val="00DA68AD"/>
    <w:rsid w:val="00DA6EE6"/>
    <w:rsid w:val="00DA7A7D"/>
    <w:rsid w:val="00DB16B5"/>
    <w:rsid w:val="00DB1F39"/>
    <w:rsid w:val="00DB2983"/>
    <w:rsid w:val="00DB3A2F"/>
    <w:rsid w:val="00DB4285"/>
    <w:rsid w:val="00DB5AC3"/>
    <w:rsid w:val="00DB683E"/>
    <w:rsid w:val="00DB68FE"/>
    <w:rsid w:val="00DB740E"/>
    <w:rsid w:val="00DB76A3"/>
    <w:rsid w:val="00DC00F9"/>
    <w:rsid w:val="00DC0672"/>
    <w:rsid w:val="00DC081B"/>
    <w:rsid w:val="00DC1257"/>
    <w:rsid w:val="00DC264E"/>
    <w:rsid w:val="00DC31C9"/>
    <w:rsid w:val="00DC32DF"/>
    <w:rsid w:val="00DC378E"/>
    <w:rsid w:val="00DC3958"/>
    <w:rsid w:val="00DC3CB9"/>
    <w:rsid w:val="00DC3DC0"/>
    <w:rsid w:val="00DC4B3A"/>
    <w:rsid w:val="00DC5B2B"/>
    <w:rsid w:val="00DC6394"/>
    <w:rsid w:val="00DC6488"/>
    <w:rsid w:val="00DC6B41"/>
    <w:rsid w:val="00DC725D"/>
    <w:rsid w:val="00DD05D0"/>
    <w:rsid w:val="00DD0B15"/>
    <w:rsid w:val="00DD12B9"/>
    <w:rsid w:val="00DD1587"/>
    <w:rsid w:val="00DD197A"/>
    <w:rsid w:val="00DD1BAF"/>
    <w:rsid w:val="00DD318D"/>
    <w:rsid w:val="00DD3535"/>
    <w:rsid w:val="00DD4915"/>
    <w:rsid w:val="00DD5360"/>
    <w:rsid w:val="00DD5687"/>
    <w:rsid w:val="00DD5745"/>
    <w:rsid w:val="00DD5A1B"/>
    <w:rsid w:val="00DD5E4D"/>
    <w:rsid w:val="00DD668E"/>
    <w:rsid w:val="00DD69FE"/>
    <w:rsid w:val="00DD6C5E"/>
    <w:rsid w:val="00DD7092"/>
    <w:rsid w:val="00DD7505"/>
    <w:rsid w:val="00DE0701"/>
    <w:rsid w:val="00DE0C87"/>
    <w:rsid w:val="00DE0F0E"/>
    <w:rsid w:val="00DE1AF4"/>
    <w:rsid w:val="00DE461A"/>
    <w:rsid w:val="00DE463C"/>
    <w:rsid w:val="00DE46A0"/>
    <w:rsid w:val="00DE5D53"/>
    <w:rsid w:val="00DE691D"/>
    <w:rsid w:val="00DE6A9C"/>
    <w:rsid w:val="00DE7BF7"/>
    <w:rsid w:val="00DE7EF0"/>
    <w:rsid w:val="00DF053B"/>
    <w:rsid w:val="00DF05C3"/>
    <w:rsid w:val="00DF096A"/>
    <w:rsid w:val="00DF09BC"/>
    <w:rsid w:val="00DF0AD9"/>
    <w:rsid w:val="00DF2E12"/>
    <w:rsid w:val="00DF3A6E"/>
    <w:rsid w:val="00DF41C7"/>
    <w:rsid w:val="00DF46D8"/>
    <w:rsid w:val="00DF514A"/>
    <w:rsid w:val="00DF55EA"/>
    <w:rsid w:val="00DF564C"/>
    <w:rsid w:val="00DF6690"/>
    <w:rsid w:val="00DF6804"/>
    <w:rsid w:val="00DF6B50"/>
    <w:rsid w:val="00DF6BE7"/>
    <w:rsid w:val="00DF6C3A"/>
    <w:rsid w:val="00DF7316"/>
    <w:rsid w:val="00E00B70"/>
    <w:rsid w:val="00E00DDE"/>
    <w:rsid w:val="00E00E84"/>
    <w:rsid w:val="00E01078"/>
    <w:rsid w:val="00E01CA0"/>
    <w:rsid w:val="00E01FD5"/>
    <w:rsid w:val="00E02256"/>
    <w:rsid w:val="00E0284F"/>
    <w:rsid w:val="00E02A84"/>
    <w:rsid w:val="00E0333D"/>
    <w:rsid w:val="00E0358D"/>
    <w:rsid w:val="00E035F8"/>
    <w:rsid w:val="00E03D27"/>
    <w:rsid w:val="00E040EF"/>
    <w:rsid w:val="00E04323"/>
    <w:rsid w:val="00E04375"/>
    <w:rsid w:val="00E05D3A"/>
    <w:rsid w:val="00E05F70"/>
    <w:rsid w:val="00E06714"/>
    <w:rsid w:val="00E06F6E"/>
    <w:rsid w:val="00E070A2"/>
    <w:rsid w:val="00E074B9"/>
    <w:rsid w:val="00E10A4F"/>
    <w:rsid w:val="00E10E1B"/>
    <w:rsid w:val="00E118ED"/>
    <w:rsid w:val="00E11CC6"/>
    <w:rsid w:val="00E11CEE"/>
    <w:rsid w:val="00E12540"/>
    <w:rsid w:val="00E12915"/>
    <w:rsid w:val="00E139AC"/>
    <w:rsid w:val="00E14ECB"/>
    <w:rsid w:val="00E15417"/>
    <w:rsid w:val="00E158FA"/>
    <w:rsid w:val="00E15AC8"/>
    <w:rsid w:val="00E16343"/>
    <w:rsid w:val="00E16543"/>
    <w:rsid w:val="00E16722"/>
    <w:rsid w:val="00E16BEF"/>
    <w:rsid w:val="00E16C5E"/>
    <w:rsid w:val="00E176D3"/>
    <w:rsid w:val="00E17A1B"/>
    <w:rsid w:val="00E202F0"/>
    <w:rsid w:val="00E2170B"/>
    <w:rsid w:val="00E21AE6"/>
    <w:rsid w:val="00E21E02"/>
    <w:rsid w:val="00E2258B"/>
    <w:rsid w:val="00E227A3"/>
    <w:rsid w:val="00E231E6"/>
    <w:rsid w:val="00E234AA"/>
    <w:rsid w:val="00E248B8"/>
    <w:rsid w:val="00E24CE9"/>
    <w:rsid w:val="00E26461"/>
    <w:rsid w:val="00E2656A"/>
    <w:rsid w:val="00E26633"/>
    <w:rsid w:val="00E26D67"/>
    <w:rsid w:val="00E26FA3"/>
    <w:rsid w:val="00E26FA5"/>
    <w:rsid w:val="00E27177"/>
    <w:rsid w:val="00E27D61"/>
    <w:rsid w:val="00E308C6"/>
    <w:rsid w:val="00E314EE"/>
    <w:rsid w:val="00E32809"/>
    <w:rsid w:val="00E32B14"/>
    <w:rsid w:val="00E34072"/>
    <w:rsid w:val="00E34594"/>
    <w:rsid w:val="00E3483B"/>
    <w:rsid w:val="00E3486E"/>
    <w:rsid w:val="00E35078"/>
    <w:rsid w:val="00E35110"/>
    <w:rsid w:val="00E351CB"/>
    <w:rsid w:val="00E35364"/>
    <w:rsid w:val="00E357EE"/>
    <w:rsid w:val="00E35D61"/>
    <w:rsid w:val="00E36985"/>
    <w:rsid w:val="00E371B6"/>
    <w:rsid w:val="00E372D5"/>
    <w:rsid w:val="00E3731A"/>
    <w:rsid w:val="00E37641"/>
    <w:rsid w:val="00E40796"/>
    <w:rsid w:val="00E41243"/>
    <w:rsid w:val="00E412D0"/>
    <w:rsid w:val="00E41566"/>
    <w:rsid w:val="00E4269A"/>
    <w:rsid w:val="00E43FC4"/>
    <w:rsid w:val="00E443D8"/>
    <w:rsid w:val="00E44935"/>
    <w:rsid w:val="00E44F07"/>
    <w:rsid w:val="00E45067"/>
    <w:rsid w:val="00E45107"/>
    <w:rsid w:val="00E45D07"/>
    <w:rsid w:val="00E45DCD"/>
    <w:rsid w:val="00E46410"/>
    <w:rsid w:val="00E47C0F"/>
    <w:rsid w:val="00E47CDD"/>
    <w:rsid w:val="00E50C58"/>
    <w:rsid w:val="00E51191"/>
    <w:rsid w:val="00E5122E"/>
    <w:rsid w:val="00E51E79"/>
    <w:rsid w:val="00E51EA5"/>
    <w:rsid w:val="00E51EB1"/>
    <w:rsid w:val="00E5313C"/>
    <w:rsid w:val="00E539AA"/>
    <w:rsid w:val="00E543CA"/>
    <w:rsid w:val="00E54775"/>
    <w:rsid w:val="00E54B23"/>
    <w:rsid w:val="00E5553D"/>
    <w:rsid w:val="00E55D8F"/>
    <w:rsid w:val="00E56054"/>
    <w:rsid w:val="00E56322"/>
    <w:rsid w:val="00E568C9"/>
    <w:rsid w:val="00E56A2E"/>
    <w:rsid w:val="00E56FA0"/>
    <w:rsid w:val="00E572A3"/>
    <w:rsid w:val="00E578F6"/>
    <w:rsid w:val="00E57C88"/>
    <w:rsid w:val="00E6088F"/>
    <w:rsid w:val="00E60982"/>
    <w:rsid w:val="00E60DBE"/>
    <w:rsid w:val="00E610FA"/>
    <w:rsid w:val="00E61AFD"/>
    <w:rsid w:val="00E626C6"/>
    <w:rsid w:val="00E62C62"/>
    <w:rsid w:val="00E63614"/>
    <w:rsid w:val="00E637E7"/>
    <w:rsid w:val="00E64751"/>
    <w:rsid w:val="00E648F4"/>
    <w:rsid w:val="00E64B6D"/>
    <w:rsid w:val="00E653B0"/>
    <w:rsid w:val="00E654C1"/>
    <w:rsid w:val="00E6581E"/>
    <w:rsid w:val="00E6583D"/>
    <w:rsid w:val="00E65D97"/>
    <w:rsid w:val="00E66227"/>
    <w:rsid w:val="00E663AD"/>
    <w:rsid w:val="00E66AC9"/>
    <w:rsid w:val="00E66C3B"/>
    <w:rsid w:val="00E67B33"/>
    <w:rsid w:val="00E70BFF"/>
    <w:rsid w:val="00E72632"/>
    <w:rsid w:val="00E72A31"/>
    <w:rsid w:val="00E72A53"/>
    <w:rsid w:val="00E72A5A"/>
    <w:rsid w:val="00E73354"/>
    <w:rsid w:val="00E74120"/>
    <w:rsid w:val="00E74496"/>
    <w:rsid w:val="00E749EF"/>
    <w:rsid w:val="00E7506D"/>
    <w:rsid w:val="00E7566B"/>
    <w:rsid w:val="00E75AD5"/>
    <w:rsid w:val="00E75CAA"/>
    <w:rsid w:val="00E7609B"/>
    <w:rsid w:val="00E7715D"/>
    <w:rsid w:val="00E77AE4"/>
    <w:rsid w:val="00E77F27"/>
    <w:rsid w:val="00E8031A"/>
    <w:rsid w:val="00E80B65"/>
    <w:rsid w:val="00E80FF4"/>
    <w:rsid w:val="00E817B6"/>
    <w:rsid w:val="00E81F49"/>
    <w:rsid w:val="00E81FD3"/>
    <w:rsid w:val="00E8232A"/>
    <w:rsid w:val="00E839B2"/>
    <w:rsid w:val="00E83D85"/>
    <w:rsid w:val="00E841AC"/>
    <w:rsid w:val="00E8444F"/>
    <w:rsid w:val="00E849C9"/>
    <w:rsid w:val="00E855C1"/>
    <w:rsid w:val="00E859B6"/>
    <w:rsid w:val="00E86151"/>
    <w:rsid w:val="00E86642"/>
    <w:rsid w:val="00E90371"/>
    <w:rsid w:val="00E90A5E"/>
    <w:rsid w:val="00E91851"/>
    <w:rsid w:val="00E9242D"/>
    <w:rsid w:val="00E9291F"/>
    <w:rsid w:val="00E92A67"/>
    <w:rsid w:val="00E92C0F"/>
    <w:rsid w:val="00E947C8"/>
    <w:rsid w:val="00E94DB7"/>
    <w:rsid w:val="00E94E34"/>
    <w:rsid w:val="00E94FFC"/>
    <w:rsid w:val="00E9520B"/>
    <w:rsid w:val="00E96405"/>
    <w:rsid w:val="00E965A2"/>
    <w:rsid w:val="00E976DA"/>
    <w:rsid w:val="00E97B08"/>
    <w:rsid w:val="00EA024B"/>
    <w:rsid w:val="00EA046E"/>
    <w:rsid w:val="00EA063A"/>
    <w:rsid w:val="00EA095E"/>
    <w:rsid w:val="00EA09CD"/>
    <w:rsid w:val="00EA0B90"/>
    <w:rsid w:val="00EA1098"/>
    <w:rsid w:val="00EA17BD"/>
    <w:rsid w:val="00EA217F"/>
    <w:rsid w:val="00EA22FC"/>
    <w:rsid w:val="00EA24AF"/>
    <w:rsid w:val="00EA3058"/>
    <w:rsid w:val="00EA397C"/>
    <w:rsid w:val="00EA3BB7"/>
    <w:rsid w:val="00EA4F4E"/>
    <w:rsid w:val="00EA6E7C"/>
    <w:rsid w:val="00EB022B"/>
    <w:rsid w:val="00EB0453"/>
    <w:rsid w:val="00EB0574"/>
    <w:rsid w:val="00EB1A3E"/>
    <w:rsid w:val="00EB37DF"/>
    <w:rsid w:val="00EB40B3"/>
    <w:rsid w:val="00EB4156"/>
    <w:rsid w:val="00EB50FA"/>
    <w:rsid w:val="00EB523A"/>
    <w:rsid w:val="00EB5255"/>
    <w:rsid w:val="00EB58FB"/>
    <w:rsid w:val="00EB5940"/>
    <w:rsid w:val="00EB5C47"/>
    <w:rsid w:val="00EB5CEA"/>
    <w:rsid w:val="00EB5D75"/>
    <w:rsid w:val="00EB5DC7"/>
    <w:rsid w:val="00EB7156"/>
    <w:rsid w:val="00EB7383"/>
    <w:rsid w:val="00EB7C08"/>
    <w:rsid w:val="00EB7FAA"/>
    <w:rsid w:val="00EC0438"/>
    <w:rsid w:val="00EC05F6"/>
    <w:rsid w:val="00EC07AC"/>
    <w:rsid w:val="00EC081A"/>
    <w:rsid w:val="00EC1402"/>
    <w:rsid w:val="00EC1962"/>
    <w:rsid w:val="00EC2229"/>
    <w:rsid w:val="00EC340C"/>
    <w:rsid w:val="00EC40AC"/>
    <w:rsid w:val="00EC41D7"/>
    <w:rsid w:val="00EC4ADA"/>
    <w:rsid w:val="00EC5DE7"/>
    <w:rsid w:val="00EC75E8"/>
    <w:rsid w:val="00EC7C7F"/>
    <w:rsid w:val="00EC7CC6"/>
    <w:rsid w:val="00EC7E74"/>
    <w:rsid w:val="00ED0073"/>
    <w:rsid w:val="00ED0639"/>
    <w:rsid w:val="00ED0809"/>
    <w:rsid w:val="00ED0CFD"/>
    <w:rsid w:val="00ED14A9"/>
    <w:rsid w:val="00ED2ADD"/>
    <w:rsid w:val="00ED318E"/>
    <w:rsid w:val="00ED359A"/>
    <w:rsid w:val="00ED3CAA"/>
    <w:rsid w:val="00ED4133"/>
    <w:rsid w:val="00ED5279"/>
    <w:rsid w:val="00ED52D2"/>
    <w:rsid w:val="00ED591D"/>
    <w:rsid w:val="00ED5A53"/>
    <w:rsid w:val="00ED6C43"/>
    <w:rsid w:val="00ED7430"/>
    <w:rsid w:val="00ED7504"/>
    <w:rsid w:val="00ED787F"/>
    <w:rsid w:val="00ED7B41"/>
    <w:rsid w:val="00EE0A33"/>
    <w:rsid w:val="00EE110D"/>
    <w:rsid w:val="00EE14CF"/>
    <w:rsid w:val="00EE1C2E"/>
    <w:rsid w:val="00EE1F46"/>
    <w:rsid w:val="00EE2A8D"/>
    <w:rsid w:val="00EE3E97"/>
    <w:rsid w:val="00EE47DE"/>
    <w:rsid w:val="00EE4BC6"/>
    <w:rsid w:val="00EE4C2B"/>
    <w:rsid w:val="00EE5349"/>
    <w:rsid w:val="00EE59B6"/>
    <w:rsid w:val="00EE67C7"/>
    <w:rsid w:val="00EE6FDA"/>
    <w:rsid w:val="00EF012F"/>
    <w:rsid w:val="00EF09CF"/>
    <w:rsid w:val="00EF1A0F"/>
    <w:rsid w:val="00EF291A"/>
    <w:rsid w:val="00EF33D4"/>
    <w:rsid w:val="00EF35AD"/>
    <w:rsid w:val="00EF3884"/>
    <w:rsid w:val="00EF3B84"/>
    <w:rsid w:val="00EF4144"/>
    <w:rsid w:val="00EF4755"/>
    <w:rsid w:val="00EF4DF8"/>
    <w:rsid w:val="00EF50FE"/>
    <w:rsid w:val="00EF5345"/>
    <w:rsid w:val="00EF5DFD"/>
    <w:rsid w:val="00EF7135"/>
    <w:rsid w:val="00F000C7"/>
    <w:rsid w:val="00F008B1"/>
    <w:rsid w:val="00F01FD1"/>
    <w:rsid w:val="00F024DF"/>
    <w:rsid w:val="00F026C6"/>
    <w:rsid w:val="00F026E5"/>
    <w:rsid w:val="00F027CC"/>
    <w:rsid w:val="00F027DB"/>
    <w:rsid w:val="00F02D16"/>
    <w:rsid w:val="00F02F68"/>
    <w:rsid w:val="00F03EBF"/>
    <w:rsid w:val="00F0453C"/>
    <w:rsid w:val="00F05997"/>
    <w:rsid w:val="00F06186"/>
    <w:rsid w:val="00F0634E"/>
    <w:rsid w:val="00F0645C"/>
    <w:rsid w:val="00F0665D"/>
    <w:rsid w:val="00F06965"/>
    <w:rsid w:val="00F07934"/>
    <w:rsid w:val="00F07FE2"/>
    <w:rsid w:val="00F10DF9"/>
    <w:rsid w:val="00F11A6A"/>
    <w:rsid w:val="00F12607"/>
    <w:rsid w:val="00F13D2D"/>
    <w:rsid w:val="00F14A7A"/>
    <w:rsid w:val="00F16209"/>
    <w:rsid w:val="00F175E9"/>
    <w:rsid w:val="00F17CCD"/>
    <w:rsid w:val="00F205F0"/>
    <w:rsid w:val="00F20B6E"/>
    <w:rsid w:val="00F20BE9"/>
    <w:rsid w:val="00F22985"/>
    <w:rsid w:val="00F22C53"/>
    <w:rsid w:val="00F23046"/>
    <w:rsid w:val="00F23823"/>
    <w:rsid w:val="00F24579"/>
    <w:rsid w:val="00F24826"/>
    <w:rsid w:val="00F25246"/>
    <w:rsid w:val="00F2591C"/>
    <w:rsid w:val="00F26559"/>
    <w:rsid w:val="00F2748D"/>
    <w:rsid w:val="00F30690"/>
    <w:rsid w:val="00F31304"/>
    <w:rsid w:val="00F313F7"/>
    <w:rsid w:val="00F31EE0"/>
    <w:rsid w:val="00F32951"/>
    <w:rsid w:val="00F3309E"/>
    <w:rsid w:val="00F332A3"/>
    <w:rsid w:val="00F3383E"/>
    <w:rsid w:val="00F33A48"/>
    <w:rsid w:val="00F3411F"/>
    <w:rsid w:val="00F350AD"/>
    <w:rsid w:val="00F35DDC"/>
    <w:rsid w:val="00F36732"/>
    <w:rsid w:val="00F36793"/>
    <w:rsid w:val="00F368F7"/>
    <w:rsid w:val="00F373B8"/>
    <w:rsid w:val="00F37855"/>
    <w:rsid w:val="00F406D5"/>
    <w:rsid w:val="00F40921"/>
    <w:rsid w:val="00F40D65"/>
    <w:rsid w:val="00F4185B"/>
    <w:rsid w:val="00F41E71"/>
    <w:rsid w:val="00F42BE5"/>
    <w:rsid w:val="00F43C8A"/>
    <w:rsid w:val="00F459F6"/>
    <w:rsid w:val="00F45CC6"/>
    <w:rsid w:val="00F45F9E"/>
    <w:rsid w:val="00F46496"/>
    <w:rsid w:val="00F465A7"/>
    <w:rsid w:val="00F465B7"/>
    <w:rsid w:val="00F4687F"/>
    <w:rsid w:val="00F4735F"/>
    <w:rsid w:val="00F47EFD"/>
    <w:rsid w:val="00F50880"/>
    <w:rsid w:val="00F50B7C"/>
    <w:rsid w:val="00F52E15"/>
    <w:rsid w:val="00F53C9E"/>
    <w:rsid w:val="00F543CD"/>
    <w:rsid w:val="00F54462"/>
    <w:rsid w:val="00F54918"/>
    <w:rsid w:val="00F54A8B"/>
    <w:rsid w:val="00F550E6"/>
    <w:rsid w:val="00F5522A"/>
    <w:rsid w:val="00F55880"/>
    <w:rsid w:val="00F559D0"/>
    <w:rsid w:val="00F5635C"/>
    <w:rsid w:val="00F57047"/>
    <w:rsid w:val="00F571AD"/>
    <w:rsid w:val="00F57A2C"/>
    <w:rsid w:val="00F60643"/>
    <w:rsid w:val="00F6175E"/>
    <w:rsid w:val="00F61873"/>
    <w:rsid w:val="00F647A5"/>
    <w:rsid w:val="00F70426"/>
    <w:rsid w:val="00F7051B"/>
    <w:rsid w:val="00F70D03"/>
    <w:rsid w:val="00F729CD"/>
    <w:rsid w:val="00F73BF3"/>
    <w:rsid w:val="00F74345"/>
    <w:rsid w:val="00F746F4"/>
    <w:rsid w:val="00F7517B"/>
    <w:rsid w:val="00F75B99"/>
    <w:rsid w:val="00F767B8"/>
    <w:rsid w:val="00F76C32"/>
    <w:rsid w:val="00F80A0A"/>
    <w:rsid w:val="00F81679"/>
    <w:rsid w:val="00F82B19"/>
    <w:rsid w:val="00F82F87"/>
    <w:rsid w:val="00F83CF8"/>
    <w:rsid w:val="00F83D1B"/>
    <w:rsid w:val="00F84AD6"/>
    <w:rsid w:val="00F853C5"/>
    <w:rsid w:val="00F86200"/>
    <w:rsid w:val="00F87623"/>
    <w:rsid w:val="00F877EE"/>
    <w:rsid w:val="00F87EDF"/>
    <w:rsid w:val="00F87F9E"/>
    <w:rsid w:val="00F90A34"/>
    <w:rsid w:val="00F913AC"/>
    <w:rsid w:val="00F9212D"/>
    <w:rsid w:val="00F92B9E"/>
    <w:rsid w:val="00F92D3B"/>
    <w:rsid w:val="00F931BD"/>
    <w:rsid w:val="00F93670"/>
    <w:rsid w:val="00F93A23"/>
    <w:rsid w:val="00F946DA"/>
    <w:rsid w:val="00F9494E"/>
    <w:rsid w:val="00F95C19"/>
    <w:rsid w:val="00F965DA"/>
    <w:rsid w:val="00F96B2A"/>
    <w:rsid w:val="00F970BF"/>
    <w:rsid w:val="00F9791A"/>
    <w:rsid w:val="00FA17EE"/>
    <w:rsid w:val="00FA24C6"/>
    <w:rsid w:val="00FA2BE1"/>
    <w:rsid w:val="00FA406A"/>
    <w:rsid w:val="00FA43B3"/>
    <w:rsid w:val="00FA4B5F"/>
    <w:rsid w:val="00FA501D"/>
    <w:rsid w:val="00FA5B10"/>
    <w:rsid w:val="00FA6D5A"/>
    <w:rsid w:val="00FA707E"/>
    <w:rsid w:val="00FA7914"/>
    <w:rsid w:val="00FB0646"/>
    <w:rsid w:val="00FB1045"/>
    <w:rsid w:val="00FB135D"/>
    <w:rsid w:val="00FB2925"/>
    <w:rsid w:val="00FB2A2E"/>
    <w:rsid w:val="00FB2ECF"/>
    <w:rsid w:val="00FB2F35"/>
    <w:rsid w:val="00FB332F"/>
    <w:rsid w:val="00FB387A"/>
    <w:rsid w:val="00FB3D76"/>
    <w:rsid w:val="00FB4A1B"/>
    <w:rsid w:val="00FB4A9D"/>
    <w:rsid w:val="00FB503A"/>
    <w:rsid w:val="00FB516C"/>
    <w:rsid w:val="00FB594D"/>
    <w:rsid w:val="00FB63D2"/>
    <w:rsid w:val="00FB654B"/>
    <w:rsid w:val="00FB6B54"/>
    <w:rsid w:val="00FB78C7"/>
    <w:rsid w:val="00FB7C91"/>
    <w:rsid w:val="00FC0B61"/>
    <w:rsid w:val="00FC26A7"/>
    <w:rsid w:val="00FC2A8A"/>
    <w:rsid w:val="00FC3451"/>
    <w:rsid w:val="00FC4032"/>
    <w:rsid w:val="00FC4387"/>
    <w:rsid w:val="00FC6391"/>
    <w:rsid w:val="00FC6404"/>
    <w:rsid w:val="00FC6B53"/>
    <w:rsid w:val="00FC70F2"/>
    <w:rsid w:val="00FD014E"/>
    <w:rsid w:val="00FD0236"/>
    <w:rsid w:val="00FD03DC"/>
    <w:rsid w:val="00FD0516"/>
    <w:rsid w:val="00FD086D"/>
    <w:rsid w:val="00FD0B90"/>
    <w:rsid w:val="00FD0E98"/>
    <w:rsid w:val="00FD17D2"/>
    <w:rsid w:val="00FD187F"/>
    <w:rsid w:val="00FD18F4"/>
    <w:rsid w:val="00FD2156"/>
    <w:rsid w:val="00FD2428"/>
    <w:rsid w:val="00FD2B2E"/>
    <w:rsid w:val="00FD2B6A"/>
    <w:rsid w:val="00FD3549"/>
    <w:rsid w:val="00FD35B8"/>
    <w:rsid w:val="00FD383B"/>
    <w:rsid w:val="00FD4402"/>
    <w:rsid w:val="00FD5241"/>
    <w:rsid w:val="00FD54DB"/>
    <w:rsid w:val="00FD593B"/>
    <w:rsid w:val="00FD619F"/>
    <w:rsid w:val="00FD7AF7"/>
    <w:rsid w:val="00FD7D7A"/>
    <w:rsid w:val="00FD7F46"/>
    <w:rsid w:val="00FD7F74"/>
    <w:rsid w:val="00FE0DF4"/>
    <w:rsid w:val="00FE0F5A"/>
    <w:rsid w:val="00FE1854"/>
    <w:rsid w:val="00FE1D42"/>
    <w:rsid w:val="00FE2062"/>
    <w:rsid w:val="00FE2217"/>
    <w:rsid w:val="00FE23C3"/>
    <w:rsid w:val="00FE2653"/>
    <w:rsid w:val="00FE29EB"/>
    <w:rsid w:val="00FE2C45"/>
    <w:rsid w:val="00FE32F6"/>
    <w:rsid w:val="00FE3650"/>
    <w:rsid w:val="00FE378D"/>
    <w:rsid w:val="00FE3E1E"/>
    <w:rsid w:val="00FE4533"/>
    <w:rsid w:val="00FE498E"/>
    <w:rsid w:val="00FE4B51"/>
    <w:rsid w:val="00FE4EF0"/>
    <w:rsid w:val="00FE4F1E"/>
    <w:rsid w:val="00FE5124"/>
    <w:rsid w:val="00FE5650"/>
    <w:rsid w:val="00FE5EFD"/>
    <w:rsid w:val="00FE7191"/>
    <w:rsid w:val="00FE7563"/>
    <w:rsid w:val="00FF10FA"/>
    <w:rsid w:val="00FF2629"/>
    <w:rsid w:val="00FF35FF"/>
    <w:rsid w:val="00FF4B5E"/>
    <w:rsid w:val="00FF4B7F"/>
    <w:rsid w:val="00FF4D78"/>
    <w:rsid w:val="00FF53AB"/>
    <w:rsid w:val="00FF5977"/>
    <w:rsid w:val="00FF5B24"/>
    <w:rsid w:val="00FF6849"/>
    <w:rsid w:val="00FF6CF2"/>
    <w:rsid w:val="00FF6E0F"/>
    <w:rsid w:val="00FF6EB0"/>
    <w:rsid w:val="00FF75C0"/>
    <w:rsid w:val="01034A21"/>
    <w:rsid w:val="010B6E2F"/>
    <w:rsid w:val="01290F7E"/>
    <w:rsid w:val="015D1E09"/>
    <w:rsid w:val="01627E0F"/>
    <w:rsid w:val="02697903"/>
    <w:rsid w:val="02F96569"/>
    <w:rsid w:val="03B1713F"/>
    <w:rsid w:val="03DB37AA"/>
    <w:rsid w:val="03EA7B21"/>
    <w:rsid w:val="04610B65"/>
    <w:rsid w:val="05F83EAE"/>
    <w:rsid w:val="063E7D85"/>
    <w:rsid w:val="06A0349B"/>
    <w:rsid w:val="07293586"/>
    <w:rsid w:val="07295285"/>
    <w:rsid w:val="07636392"/>
    <w:rsid w:val="07770C56"/>
    <w:rsid w:val="085309C9"/>
    <w:rsid w:val="08F3326C"/>
    <w:rsid w:val="092217DD"/>
    <w:rsid w:val="093A7294"/>
    <w:rsid w:val="096351A0"/>
    <w:rsid w:val="0A263993"/>
    <w:rsid w:val="0A2D3AC2"/>
    <w:rsid w:val="0AA755DF"/>
    <w:rsid w:val="0AC0183A"/>
    <w:rsid w:val="0AFA761E"/>
    <w:rsid w:val="0B120D44"/>
    <w:rsid w:val="0BD27BF6"/>
    <w:rsid w:val="0C3B3C7D"/>
    <w:rsid w:val="0CAB2EAE"/>
    <w:rsid w:val="0D621C7D"/>
    <w:rsid w:val="0DB16D12"/>
    <w:rsid w:val="0DCB5D3B"/>
    <w:rsid w:val="0DDA3736"/>
    <w:rsid w:val="0DF423B5"/>
    <w:rsid w:val="0E73034D"/>
    <w:rsid w:val="0F13775A"/>
    <w:rsid w:val="0F5B294D"/>
    <w:rsid w:val="0F5F45FE"/>
    <w:rsid w:val="0F9A112B"/>
    <w:rsid w:val="0FD17132"/>
    <w:rsid w:val="106D2F64"/>
    <w:rsid w:val="10AA1470"/>
    <w:rsid w:val="10B63710"/>
    <w:rsid w:val="10F10820"/>
    <w:rsid w:val="111C2F7A"/>
    <w:rsid w:val="11665CA1"/>
    <w:rsid w:val="133904DD"/>
    <w:rsid w:val="13951726"/>
    <w:rsid w:val="13AA35DD"/>
    <w:rsid w:val="14396509"/>
    <w:rsid w:val="14DD2C3C"/>
    <w:rsid w:val="15C272E4"/>
    <w:rsid w:val="16087E1D"/>
    <w:rsid w:val="16FC184C"/>
    <w:rsid w:val="17701D14"/>
    <w:rsid w:val="17735226"/>
    <w:rsid w:val="17B16AD0"/>
    <w:rsid w:val="17D418FD"/>
    <w:rsid w:val="189F624C"/>
    <w:rsid w:val="1A1C66C0"/>
    <w:rsid w:val="1A42393B"/>
    <w:rsid w:val="1AAD45DE"/>
    <w:rsid w:val="1B046F80"/>
    <w:rsid w:val="1B3267B5"/>
    <w:rsid w:val="1B40161D"/>
    <w:rsid w:val="1B441859"/>
    <w:rsid w:val="1B6606B1"/>
    <w:rsid w:val="1B6A4D43"/>
    <w:rsid w:val="1B762CF0"/>
    <w:rsid w:val="1C5E7925"/>
    <w:rsid w:val="1C62528F"/>
    <w:rsid w:val="1CFD070F"/>
    <w:rsid w:val="1D5F6196"/>
    <w:rsid w:val="1D6132A5"/>
    <w:rsid w:val="1D8E56D5"/>
    <w:rsid w:val="1E7A43DA"/>
    <w:rsid w:val="1F650546"/>
    <w:rsid w:val="1FE7539E"/>
    <w:rsid w:val="20671BE0"/>
    <w:rsid w:val="20963CB8"/>
    <w:rsid w:val="20A81A1B"/>
    <w:rsid w:val="20B07FB6"/>
    <w:rsid w:val="20B646FB"/>
    <w:rsid w:val="20D46DA3"/>
    <w:rsid w:val="213B74B1"/>
    <w:rsid w:val="215A2310"/>
    <w:rsid w:val="21DE318A"/>
    <w:rsid w:val="21EF5B80"/>
    <w:rsid w:val="22576990"/>
    <w:rsid w:val="22F47480"/>
    <w:rsid w:val="233D2346"/>
    <w:rsid w:val="236D4403"/>
    <w:rsid w:val="23DE1C48"/>
    <w:rsid w:val="240210CD"/>
    <w:rsid w:val="24BF09F7"/>
    <w:rsid w:val="252D53FE"/>
    <w:rsid w:val="25EC2D81"/>
    <w:rsid w:val="26E3163B"/>
    <w:rsid w:val="26E9579B"/>
    <w:rsid w:val="277057A2"/>
    <w:rsid w:val="28A2248D"/>
    <w:rsid w:val="29206EB8"/>
    <w:rsid w:val="29595666"/>
    <w:rsid w:val="29874881"/>
    <w:rsid w:val="299E3CCA"/>
    <w:rsid w:val="29E325E0"/>
    <w:rsid w:val="2A452503"/>
    <w:rsid w:val="2BA936A8"/>
    <w:rsid w:val="2C0F5595"/>
    <w:rsid w:val="2C315A5A"/>
    <w:rsid w:val="2C4B1C25"/>
    <w:rsid w:val="2D337152"/>
    <w:rsid w:val="2D9E56F5"/>
    <w:rsid w:val="2E667F96"/>
    <w:rsid w:val="2E8226AB"/>
    <w:rsid w:val="2EA16E83"/>
    <w:rsid w:val="2EB74CAC"/>
    <w:rsid w:val="2FD065E6"/>
    <w:rsid w:val="2FD8456E"/>
    <w:rsid w:val="2FD96870"/>
    <w:rsid w:val="2FDB0F1C"/>
    <w:rsid w:val="30435C7D"/>
    <w:rsid w:val="30580BC9"/>
    <w:rsid w:val="311E2ED7"/>
    <w:rsid w:val="315619EE"/>
    <w:rsid w:val="315C449C"/>
    <w:rsid w:val="31B82709"/>
    <w:rsid w:val="31D05482"/>
    <w:rsid w:val="31DE198A"/>
    <w:rsid w:val="32400B34"/>
    <w:rsid w:val="329E6876"/>
    <w:rsid w:val="333015F2"/>
    <w:rsid w:val="334B6320"/>
    <w:rsid w:val="33D934D4"/>
    <w:rsid w:val="33FE2F6A"/>
    <w:rsid w:val="340D03F4"/>
    <w:rsid w:val="340E07E5"/>
    <w:rsid w:val="34235BF7"/>
    <w:rsid w:val="358C5FA8"/>
    <w:rsid w:val="35C15DF1"/>
    <w:rsid w:val="36074A7F"/>
    <w:rsid w:val="36923549"/>
    <w:rsid w:val="36AD0534"/>
    <w:rsid w:val="36B75FBF"/>
    <w:rsid w:val="36BD0C45"/>
    <w:rsid w:val="372843FF"/>
    <w:rsid w:val="37E00298"/>
    <w:rsid w:val="38B302F9"/>
    <w:rsid w:val="38F12CD3"/>
    <w:rsid w:val="38F94775"/>
    <w:rsid w:val="392971ED"/>
    <w:rsid w:val="39325651"/>
    <w:rsid w:val="3A872856"/>
    <w:rsid w:val="3B3763D1"/>
    <w:rsid w:val="3C2F6E1E"/>
    <w:rsid w:val="3C4F64BA"/>
    <w:rsid w:val="3CDA245A"/>
    <w:rsid w:val="3D1E06B7"/>
    <w:rsid w:val="3DE93B36"/>
    <w:rsid w:val="3E3922D4"/>
    <w:rsid w:val="3E4B46FA"/>
    <w:rsid w:val="3EDA0523"/>
    <w:rsid w:val="3FFF0320"/>
    <w:rsid w:val="407A6407"/>
    <w:rsid w:val="40AE72C6"/>
    <w:rsid w:val="41A716B4"/>
    <w:rsid w:val="4200449D"/>
    <w:rsid w:val="423A3BCC"/>
    <w:rsid w:val="424E57D2"/>
    <w:rsid w:val="426D1D88"/>
    <w:rsid w:val="42B26C49"/>
    <w:rsid w:val="42C05FD2"/>
    <w:rsid w:val="433A6FE6"/>
    <w:rsid w:val="43480868"/>
    <w:rsid w:val="4350713C"/>
    <w:rsid w:val="436653E0"/>
    <w:rsid w:val="43C4431A"/>
    <w:rsid w:val="44B951CC"/>
    <w:rsid w:val="44CD14E0"/>
    <w:rsid w:val="44F20B0B"/>
    <w:rsid w:val="452E5F4C"/>
    <w:rsid w:val="45612018"/>
    <w:rsid w:val="458946E9"/>
    <w:rsid w:val="45A47C0E"/>
    <w:rsid w:val="45E659D4"/>
    <w:rsid w:val="460C19D8"/>
    <w:rsid w:val="462076B9"/>
    <w:rsid w:val="46577FD6"/>
    <w:rsid w:val="46D955A7"/>
    <w:rsid w:val="47133957"/>
    <w:rsid w:val="47A07E0C"/>
    <w:rsid w:val="4870272E"/>
    <w:rsid w:val="49DC7715"/>
    <w:rsid w:val="4A023139"/>
    <w:rsid w:val="4A7B576F"/>
    <w:rsid w:val="4AF561A9"/>
    <w:rsid w:val="4BB34BAA"/>
    <w:rsid w:val="4C4719BC"/>
    <w:rsid w:val="4C4A0649"/>
    <w:rsid w:val="4C7E5ECA"/>
    <w:rsid w:val="4C876AA5"/>
    <w:rsid w:val="4CC30083"/>
    <w:rsid w:val="4D0E00FB"/>
    <w:rsid w:val="4D1008E7"/>
    <w:rsid w:val="4D176606"/>
    <w:rsid w:val="4DEC4FB0"/>
    <w:rsid w:val="4E075D8A"/>
    <w:rsid w:val="4E90136A"/>
    <w:rsid w:val="4EC00FAD"/>
    <w:rsid w:val="4F9843DC"/>
    <w:rsid w:val="4FC62A8C"/>
    <w:rsid w:val="4FD17D62"/>
    <w:rsid w:val="4FE20F0D"/>
    <w:rsid w:val="4FE51552"/>
    <w:rsid w:val="50504C4B"/>
    <w:rsid w:val="509C6E7C"/>
    <w:rsid w:val="5162104E"/>
    <w:rsid w:val="53725DE7"/>
    <w:rsid w:val="53A039CC"/>
    <w:rsid w:val="53A1505A"/>
    <w:rsid w:val="5406215C"/>
    <w:rsid w:val="54063E08"/>
    <w:rsid w:val="543437E8"/>
    <w:rsid w:val="54F73313"/>
    <w:rsid w:val="54F80955"/>
    <w:rsid w:val="555170A7"/>
    <w:rsid w:val="5587536D"/>
    <w:rsid w:val="559B174B"/>
    <w:rsid w:val="55CE0CF4"/>
    <w:rsid w:val="56173CF6"/>
    <w:rsid w:val="56524AEA"/>
    <w:rsid w:val="56B22A9C"/>
    <w:rsid w:val="57B72A76"/>
    <w:rsid w:val="57C3426C"/>
    <w:rsid w:val="57CE1F93"/>
    <w:rsid w:val="588743D1"/>
    <w:rsid w:val="5887701A"/>
    <w:rsid w:val="59C0439F"/>
    <w:rsid w:val="5ABE2233"/>
    <w:rsid w:val="5BDF5D95"/>
    <w:rsid w:val="5BFE7528"/>
    <w:rsid w:val="5C891F7F"/>
    <w:rsid w:val="5CEC2D02"/>
    <w:rsid w:val="5E2467F1"/>
    <w:rsid w:val="5EAA3F5C"/>
    <w:rsid w:val="5EC12C1D"/>
    <w:rsid w:val="5ECC5D50"/>
    <w:rsid w:val="5F1A2B43"/>
    <w:rsid w:val="5FB837BB"/>
    <w:rsid w:val="60CC405A"/>
    <w:rsid w:val="61E215D8"/>
    <w:rsid w:val="621B3775"/>
    <w:rsid w:val="62364782"/>
    <w:rsid w:val="62745812"/>
    <w:rsid w:val="633C4901"/>
    <w:rsid w:val="6394356A"/>
    <w:rsid w:val="63991AA6"/>
    <w:rsid w:val="63C61B2C"/>
    <w:rsid w:val="63D40BE9"/>
    <w:rsid w:val="64102431"/>
    <w:rsid w:val="64A5243A"/>
    <w:rsid w:val="64B51819"/>
    <w:rsid w:val="64F531DE"/>
    <w:rsid w:val="65373578"/>
    <w:rsid w:val="6603474E"/>
    <w:rsid w:val="66AD0365"/>
    <w:rsid w:val="671F124A"/>
    <w:rsid w:val="673B48C2"/>
    <w:rsid w:val="674277BB"/>
    <w:rsid w:val="677A33C6"/>
    <w:rsid w:val="681F6961"/>
    <w:rsid w:val="68610A2F"/>
    <w:rsid w:val="68805514"/>
    <w:rsid w:val="69316E2F"/>
    <w:rsid w:val="694E2071"/>
    <w:rsid w:val="69766163"/>
    <w:rsid w:val="697A3B33"/>
    <w:rsid w:val="69D44760"/>
    <w:rsid w:val="69E91561"/>
    <w:rsid w:val="6A3B162E"/>
    <w:rsid w:val="6A520EC7"/>
    <w:rsid w:val="6A736F31"/>
    <w:rsid w:val="6ACA31C3"/>
    <w:rsid w:val="6AF87E20"/>
    <w:rsid w:val="6B322639"/>
    <w:rsid w:val="6B7A08A9"/>
    <w:rsid w:val="6C636C38"/>
    <w:rsid w:val="6DB34098"/>
    <w:rsid w:val="6DB545B6"/>
    <w:rsid w:val="6DE02FB4"/>
    <w:rsid w:val="6E514CED"/>
    <w:rsid w:val="6EB563D5"/>
    <w:rsid w:val="6ED92677"/>
    <w:rsid w:val="6EE45DAD"/>
    <w:rsid w:val="6F225983"/>
    <w:rsid w:val="6F6502CB"/>
    <w:rsid w:val="6FFC5590"/>
    <w:rsid w:val="70283AEC"/>
    <w:rsid w:val="706D1DD0"/>
    <w:rsid w:val="70856B87"/>
    <w:rsid w:val="70D527EE"/>
    <w:rsid w:val="715B5300"/>
    <w:rsid w:val="71940950"/>
    <w:rsid w:val="71D27F8A"/>
    <w:rsid w:val="72553024"/>
    <w:rsid w:val="728564EA"/>
    <w:rsid w:val="72DB610A"/>
    <w:rsid w:val="73122968"/>
    <w:rsid w:val="731F5D5E"/>
    <w:rsid w:val="73C51AD5"/>
    <w:rsid w:val="741E793C"/>
    <w:rsid w:val="74592576"/>
    <w:rsid w:val="745E3944"/>
    <w:rsid w:val="74F66D47"/>
    <w:rsid w:val="75D44EAF"/>
    <w:rsid w:val="75D5514C"/>
    <w:rsid w:val="76100E0B"/>
    <w:rsid w:val="7635099D"/>
    <w:rsid w:val="77762421"/>
    <w:rsid w:val="779B5BC9"/>
    <w:rsid w:val="77B56B1F"/>
    <w:rsid w:val="780F09F4"/>
    <w:rsid w:val="787B04DE"/>
    <w:rsid w:val="789F6EB2"/>
    <w:rsid w:val="78A90480"/>
    <w:rsid w:val="7A364017"/>
    <w:rsid w:val="7A8265E1"/>
    <w:rsid w:val="7AD52AC3"/>
    <w:rsid w:val="7B212FFA"/>
    <w:rsid w:val="7B686D42"/>
    <w:rsid w:val="7B841746"/>
    <w:rsid w:val="7C6C5AC7"/>
    <w:rsid w:val="7CC6544B"/>
    <w:rsid w:val="7CD64A27"/>
    <w:rsid w:val="7CE47E46"/>
    <w:rsid w:val="7D0239FF"/>
    <w:rsid w:val="7D5E40CD"/>
    <w:rsid w:val="7D9F2B56"/>
    <w:rsid w:val="7DCD56F2"/>
    <w:rsid w:val="7E563FFC"/>
    <w:rsid w:val="7EC0521B"/>
    <w:rsid w:val="7F001CE7"/>
    <w:rsid w:val="7F274392"/>
    <w:rsid w:val="7FC43DA7"/>
    <w:rsid w:val="7FDA8EAD"/>
    <w:rsid w:val="7FE47E50"/>
    <w:rsid w:val="FF7FA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locked/>
    <w:uiPriority w:val="0"/>
    <w:pPr>
      <w:ind w:firstLine="420" w:firstLineChars="200"/>
    </w:pPr>
  </w:style>
  <w:style w:type="paragraph" w:styleId="4">
    <w:name w:val="caption"/>
    <w:basedOn w:val="1"/>
    <w:next w:val="1"/>
    <w:link w:val="71"/>
    <w:unhideWhenUsed/>
    <w:qFormat/>
    <w:locked/>
    <w:uiPriority w:val="0"/>
    <w:pPr>
      <w:overflowPunct w:val="0"/>
      <w:autoSpaceDE w:val="0"/>
      <w:autoSpaceDN w:val="0"/>
      <w:adjustRightInd w:val="0"/>
      <w:snapToGrid w:val="0"/>
      <w:ind w:firstLine="480" w:firstLineChars="200"/>
      <w:jc w:val="center"/>
    </w:pPr>
    <w:rPr>
      <w:rFonts w:eastAsia="黑体" w:asciiTheme="majorHAnsi" w:hAnsiTheme="majorHAnsi" w:cstheme="majorBidi"/>
      <w:b/>
      <w:kern w:val="0"/>
      <w:sz w:val="20"/>
      <w:szCs w:val="20"/>
      <w:lang w:val="zh-CN"/>
    </w:rPr>
  </w:style>
  <w:style w:type="paragraph" w:styleId="5">
    <w:name w:val="annotation text"/>
    <w:basedOn w:val="1"/>
    <w:link w:val="28"/>
    <w:qFormat/>
    <w:uiPriority w:val="0"/>
    <w:pPr>
      <w:jc w:val="left"/>
    </w:pPr>
    <w:rPr>
      <w:kern w:val="0"/>
      <w:sz w:val="24"/>
      <w:szCs w:val="20"/>
    </w:rPr>
  </w:style>
  <w:style w:type="paragraph" w:styleId="6">
    <w:name w:val="Body Text"/>
    <w:basedOn w:val="1"/>
    <w:next w:val="1"/>
    <w:link w:val="29"/>
    <w:qFormat/>
    <w:uiPriority w:val="0"/>
    <w:pPr>
      <w:widowControl/>
      <w:snapToGrid w:val="0"/>
      <w:spacing w:before="60" w:after="160" w:line="259" w:lineRule="auto"/>
      <w:ind w:right="113"/>
    </w:pPr>
    <w:rPr>
      <w:kern w:val="0"/>
      <w:sz w:val="18"/>
      <w:szCs w:val="20"/>
    </w:rPr>
  </w:style>
  <w:style w:type="paragraph" w:styleId="7">
    <w:name w:val="Body Text Indent"/>
    <w:basedOn w:val="1"/>
    <w:next w:val="8"/>
    <w:link w:val="30"/>
    <w:qFormat/>
    <w:uiPriority w:val="0"/>
    <w:pPr>
      <w:spacing w:after="120"/>
      <w:ind w:left="420" w:leftChars="200"/>
    </w:pPr>
    <w:rPr>
      <w:kern w:val="0"/>
      <w:sz w:val="24"/>
      <w:szCs w:val="20"/>
    </w:rPr>
  </w:style>
  <w:style w:type="paragraph" w:styleId="8">
    <w:name w:val="header"/>
    <w:basedOn w:val="1"/>
    <w:next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9">
    <w:name w:val="Plain Text"/>
    <w:basedOn w:val="1"/>
    <w:link w:val="70"/>
    <w:qFormat/>
    <w:locked/>
    <w:uiPriority w:val="99"/>
    <w:rPr>
      <w:rFonts w:ascii="宋体" w:hAnsi="Courier New"/>
      <w:szCs w:val="20"/>
    </w:rPr>
  </w:style>
  <w:style w:type="paragraph" w:styleId="10">
    <w:name w:val="Date"/>
    <w:basedOn w:val="1"/>
    <w:next w:val="1"/>
    <w:link w:val="32"/>
    <w:qFormat/>
    <w:uiPriority w:val="0"/>
    <w:pPr>
      <w:ind w:left="100" w:leftChars="2500"/>
    </w:pPr>
    <w:rPr>
      <w:kern w:val="0"/>
      <w:sz w:val="24"/>
      <w:szCs w:val="20"/>
    </w:rPr>
  </w:style>
  <w:style w:type="paragraph" w:styleId="11">
    <w:name w:val="Balloon Text"/>
    <w:basedOn w:val="1"/>
    <w:link w:val="33"/>
    <w:semiHidden/>
    <w:qFormat/>
    <w:uiPriority w:val="0"/>
    <w:rPr>
      <w:kern w:val="0"/>
      <w:sz w:val="18"/>
      <w:szCs w:val="20"/>
    </w:rPr>
  </w:style>
  <w:style w:type="paragraph" w:styleId="12">
    <w:name w:val="footer"/>
    <w:basedOn w:val="1"/>
    <w:link w:val="34"/>
    <w:qFormat/>
    <w:uiPriority w:val="99"/>
    <w:pPr>
      <w:tabs>
        <w:tab w:val="center" w:pos="4153"/>
        <w:tab w:val="right" w:pos="8306"/>
      </w:tabs>
      <w:snapToGrid w:val="0"/>
      <w:jc w:val="left"/>
    </w:pPr>
    <w:rPr>
      <w:kern w:val="0"/>
      <w:sz w:val="18"/>
      <w:szCs w:val="20"/>
    </w:rPr>
  </w:style>
  <w:style w:type="paragraph" w:styleId="13">
    <w:name w:val="table of figures"/>
    <w:basedOn w:val="1"/>
    <w:next w:val="1"/>
    <w:qFormat/>
    <w:locked/>
    <w:uiPriority w:val="99"/>
    <w:pPr>
      <w:widowControl/>
      <w:spacing w:line="360" w:lineRule="auto"/>
      <w:ind w:left="840" w:leftChars="200" w:hanging="420" w:hangingChars="200"/>
    </w:pPr>
    <w:rPr>
      <w:kern w:val="0"/>
      <w:sz w:val="24"/>
    </w:rPr>
  </w:style>
  <w:style w:type="paragraph" w:styleId="14">
    <w:name w:val="Body Text 2"/>
    <w:basedOn w:val="1"/>
    <w:link w:val="68"/>
    <w:qFormat/>
    <w:locked/>
    <w:uiPriority w:val="0"/>
    <w:pPr>
      <w:spacing w:after="120" w:line="480" w:lineRule="auto"/>
    </w:pPr>
  </w:style>
  <w:style w:type="paragraph" w:styleId="15">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5"/>
    <w:next w:val="5"/>
    <w:link w:val="37"/>
    <w:semiHidden/>
    <w:qFormat/>
    <w:uiPriority w:val="0"/>
    <w:rPr>
      <w:b/>
    </w:rPr>
  </w:style>
  <w:style w:type="paragraph" w:styleId="17">
    <w:name w:val="Body Text First Indent"/>
    <w:basedOn w:val="6"/>
    <w:link w:val="38"/>
    <w:qFormat/>
    <w:locked/>
    <w:uiPriority w:val="0"/>
    <w:pPr>
      <w:widowControl w:val="0"/>
      <w:snapToGrid/>
      <w:spacing w:before="0" w:after="120" w:line="240" w:lineRule="auto"/>
      <w:ind w:right="0" w:firstLine="420" w:firstLineChars="100"/>
    </w:pPr>
    <w:rPr>
      <w:kern w:val="2"/>
      <w:sz w:val="21"/>
      <w:szCs w:val="24"/>
    </w:rPr>
  </w:style>
  <w:style w:type="paragraph" w:styleId="18">
    <w:name w:val="Body Text First Indent 2"/>
    <w:basedOn w:val="7"/>
    <w:next w:val="1"/>
    <w:link w:val="31"/>
    <w:unhideWhenUsed/>
    <w:qFormat/>
    <w:locked/>
    <w:uiPriority w:val="99"/>
    <w:pPr>
      <w:kinsoku w:val="0"/>
      <w:wordWrap w:val="0"/>
      <w:spacing w:after="0" w:line="360" w:lineRule="auto"/>
      <w:ind w:left="0" w:leftChars="0" w:firstLine="420" w:firstLineChars="200"/>
    </w:pPr>
    <w:rPr>
      <w:color w:val="000000" w:themeColor="text1"/>
      <w:kern w:val="2"/>
      <w:sz w:val="21"/>
      <w:szCs w:val="24"/>
      <w14:textFill>
        <w14:solidFill>
          <w14:schemeClr w14:val="tx1"/>
        </w14:solidFill>
      </w14:textFill>
    </w:rPr>
  </w:style>
  <w:style w:type="table" w:styleId="20">
    <w:name w:val="Table Grid"/>
    <w:basedOn w:val="1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locked/>
    <w:uiPriority w:val="0"/>
    <w:rPr>
      <w:b/>
    </w:rPr>
  </w:style>
  <w:style w:type="character" w:styleId="23">
    <w:name w:val="page number"/>
    <w:qFormat/>
    <w:locked/>
    <w:uiPriority w:val="0"/>
  </w:style>
  <w:style w:type="character" w:styleId="24">
    <w:name w:val="Emphasis"/>
    <w:qFormat/>
    <w:locked/>
    <w:uiPriority w:val="0"/>
    <w:rPr>
      <w:i/>
      <w:iCs/>
    </w:rPr>
  </w:style>
  <w:style w:type="character" w:styleId="25">
    <w:name w:val="annotation reference"/>
    <w:semiHidden/>
    <w:qFormat/>
    <w:uiPriority w:val="0"/>
    <w:rPr>
      <w:sz w:val="21"/>
    </w:rPr>
  </w:style>
  <w:style w:type="paragraph" w:customStyle="1" w:styleId="26">
    <w:name w:val="Default"/>
    <w:basedOn w:val="27"/>
    <w:next w:val="18"/>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27">
    <w:name w:val="批注文字1"/>
    <w:qFormat/>
    <w:uiPriority w:val="0"/>
    <w:pPr>
      <w:widowControl w:val="0"/>
    </w:pPr>
    <w:rPr>
      <w:rFonts w:ascii="Calibri" w:hAnsi="Calibri" w:eastAsia="宋体" w:cs="Times New Roman"/>
      <w:color w:val="000000"/>
      <w:kern w:val="2"/>
      <w:sz w:val="21"/>
      <w:szCs w:val="24"/>
      <w:lang w:val="en-US" w:eastAsia="zh-CN" w:bidi="ar-SA"/>
    </w:rPr>
  </w:style>
  <w:style w:type="character" w:customStyle="1" w:styleId="28">
    <w:name w:val="批注文字 字符"/>
    <w:link w:val="5"/>
    <w:qFormat/>
    <w:locked/>
    <w:uiPriority w:val="0"/>
    <w:rPr>
      <w:rFonts w:ascii="Times New Roman" w:hAnsi="Times New Roman" w:eastAsia="宋体"/>
      <w:sz w:val="24"/>
    </w:rPr>
  </w:style>
  <w:style w:type="character" w:customStyle="1" w:styleId="29">
    <w:name w:val="正文文本 字符"/>
    <w:link w:val="6"/>
    <w:qFormat/>
    <w:locked/>
    <w:uiPriority w:val="0"/>
    <w:rPr>
      <w:sz w:val="18"/>
    </w:rPr>
  </w:style>
  <w:style w:type="character" w:customStyle="1" w:styleId="30">
    <w:name w:val="正文文本缩进 字符"/>
    <w:link w:val="7"/>
    <w:semiHidden/>
    <w:qFormat/>
    <w:locked/>
    <w:uiPriority w:val="0"/>
    <w:rPr>
      <w:rFonts w:ascii="Times New Roman" w:hAnsi="Times New Roman" w:eastAsia="宋体"/>
      <w:sz w:val="24"/>
    </w:rPr>
  </w:style>
  <w:style w:type="character" w:customStyle="1" w:styleId="31">
    <w:name w:val="正文文本首行缩进 2 字符"/>
    <w:link w:val="18"/>
    <w:qFormat/>
    <w:uiPriority w:val="99"/>
    <w:rPr>
      <w:color w:val="000000" w:themeColor="text1"/>
      <w:kern w:val="2"/>
      <w:sz w:val="21"/>
      <w:szCs w:val="24"/>
      <w14:textFill>
        <w14:solidFill>
          <w14:schemeClr w14:val="tx1"/>
        </w14:solidFill>
      </w14:textFill>
    </w:rPr>
  </w:style>
  <w:style w:type="character" w:customStyle="1" w:styleId="32">
    <w:name w:val="日期 字符1"/>
    <w:link w:val="10"/>
    <w:qFormat/>
    <w:locked/>
    <w:uiPriority w:val="0"/>
    <w:rPr>
      <w:rFonts w:ascii="Times New Roman" w:hAnsi="Times New Roman" w:eastAsia="宋体"/>
      <w:sz w:val="24"/>
    </w:rPr>
  </w:style>
  <w:style w:type="character" w:customStyle="1" w:styleId="33">
    <w:name w:val="批注框文本 字符"/>
    <w:link w:val="11"/>
    <w:semiHidden/>
    <w:qFormat/>
    <w:locked/>
    <w:uiPriority w:val="0"/>
    <w:rPr>
      <w:rFonts w:ascii="Times New Roman" w:hAnsi="Times New Roman" w:eastAsia="宋体"/>
      <w:sz w:val="18"/>
    </w:rPr>
  </w:style>
  <w:style w:type="character" w:customStyle="1" w:styleId="34">
    <w:name w:val="页脚 字符1"/>
    <w:link w:val="12"/>
    <w:qFormat/>
    <w:locked/>
    <w:uiPriority w:val="99"/>
    <w:rPr>
      <w:sz w:val="18"/>
    </w:rPr>
  </w:style>
  <w:style w:type="character" w:customStyle="1" w:styleId="35">
    <w:name w:val="页眉 字符"/>
    <w:link w:val="8"/>
    <w:qFormat/>
    <w:locked/>
    <w:uiPriority w:val="0"/>
    <w:rPr>
      <w:sz w:val="18"/>
    </w:rPr>
  </w:style>
  <w:style w:type="character" w:customStyle="1" w:styleId="36">
    <w:name w:val="普通(网站) 字符"/>
    <w:link w:val="15"/>
    <w:qFormat/>
    <w:locked/>
    <w:uiPriority w:val="0"/>
    <w:rPr>
      <w:rFonts w:ascii="宋体" w:hAnsi="宋体" w:eastAsia="宋体"/>
      <w:sz w:val="24"/>
    </w:rPr>
  </w:style>
  <w:style w:type="character" w:customStyle="1" w:styleId="37">
    <w:name w:val="批注主题 字符"/>
    <w:link w:val="16"/>
    <w:semiHidden/>
    <w:qFormat/>
    <w:locked/>
    <w:uiPriority w:val="0"/>
    <w:rPr>
      <w:rFonts w:ascii="Times New Roman" w:hAnsi="Times New Roman" w:eastAsia="宋体"/>
      <w:b/>
      <w:kern w:val="2"/>
      <w:sz w:val="24"/>
    </w:rPr>
  </w:style>
  <w:style w:type="character" w:customStyle="1" w:styleId="38">
    <w:name w:val="正文文本首行缩进 字符"/>
    <w:link w:val="17"/>
    <w:qFormat/>
    <w:uiPriority w:val="0"/>
    <w:rPr>
      <w:kern w:val="2"/>
      <w:sz w:val="21"/>
      <w:szCs w:val="24"/>
    </w:rPr>
  </w:style>
  <w:style w:type="character" w:customStyle="1" w:styleId="39">
    <w:name w:val="页脚 字符"/>
    <w:qFormat/>
    <w:uiPriority w:val="99"/>
  </w:style>
  <w:style w:type="character" w:customStyle="1" w:styleId="40">
    <w:name w:val="fontstyle11"/>
    <w:qFormat/>
    <w:uiPriority w:val="0"/>
    <w:rPr>
      <w:rFonts w:hint="default" w:ascii="Times New Roman" w:hAnsi="Times New Roman" w:cs="Times New Roman"/>
      <w:color w:val="000000"/>
      <w:sz w:val="24"/>
      <w:szCs w:val="24"/>
    </w:rPr>
  </w:style>
  <w:style w:type="character" w:customStyle="1" w:styleId="41">
    <w:name w:val="无间隔 字符"/>
    <w:link w:val="42"/>
    <w:qFormat/>
    <w:uiPriority w:val="1"/>
    <w:rPr>
      <w:kern w:val="2"/>
      <w:sz w:val="18"/>
      <w:szCs w:val="32"/>
    </w:rPr>
  </w:style>
  <w:style w:type="paragraph" w:styleId="42">
    <w:name w:val="No Spacing"/>
    <w:link w:val="41"/>
    <w:qFormat/>
    <w:uiPriority w:val="1"/>
    <w:pPr>
      <w:jc w:val="center"/>
    </w:pPr>
    <w:rPr>
      <w:rFonts w:ascii="Times New Roman" w:hAnsi="Times New Roman" w:eastAsia="宋体" w:cs="Times New Roman"/>
      <w:kern w:val="2"/>
      <w:sz w:val="18"/>
      <w:szCs w:val="32"/>
      <w:lang w:val="en-US" w:eastAsia="zh-CN" w:bidi="ar-SA"/>
    </w:rPr>
  </w:style>
  <w:style w:type="character" w:customStyle="1" w:styleId="43">
    <w:name w:val="正文文本 字符1"/>
    <w:semiHidden/>
    <w:qFormat/>
    <w:uiPriority w:val="0"/>
    <w:rPr>
      <w:rFonts w:ascii="Times New Roman" w:hAnsi="Times New Roman" w:eastAsia="宋体"/>
      <w:sz w:val="24"/>
    </w:rPr>
  </w:style>
  <w:style w:type="character" w:customStyle="1" w:styleId="44">
    <w:name w:val="文本文字 字符"/>
    <w:link w:val="45"/>
    <w:qFormat/>
    <w:uiPriority w:val="0"/>
    <w:rPr>
      <w:rFonts w:ascii="宋体" w:hAnsi="宋体" w:cs="宋体"/>
      <w:kern w:val="2"/>
      <w:sz w:val="21"/>
      <w:szCs w:val="21"/>
    </w:rPr>
  </w:style>
  <w:style w:type="paragraph" w:customStyle="1" w:styleId="45">
    <w:name w:val="文本文字"/>
    <w:basedOn w:val="1"/>
    <w:link w:val="44"/>
    <w:qFormat/>
    <w:uiPriority w:val="0"/>
    <w:pPr>
      <w:spacing w:line="360" w:lineRule="auto"/>
      <w:ind w:firstLine="200" w:firstLineChars="200"/>
    </w:pPr>
    <w:rPr>
      <w:rFonts w:ascii="宋体" w:hAnsi="宋体" w:cs="宋体"/>
      <w:szCs w:val="21"/>
    </w:rPr>
  </w:style>
  <w:style w:type="character" w:customStyle="1" w:styleId="46">
    <w:name w:val="报告正文 Char"/>
    <w:link w:val="47"/>
    <w:qFormat/>
    <w:uiPriority w:val="0"/>
    <w:rPr>
      <w:rFonts w:ascii="宋体"/>
      <w:kern w:val="2"/>
      <w:sz w:val="24"/>
    </w:rPr>
  </w:style>
  <w:style w:type="paragraph" w:customStyle="1" w:styleId="47">
    <w:name w:val="报告正文"/>
    <w:basedOn w:val="1"/>
    <w:link w:val="46"/>
    <w:qFormat/>
    <w:uiPriority w:val="0"/>
    <w:pPr>
      <w:adjustRightInd w:val="0"/>
      <w:snapToGrid w:val="0"/>
      <w:spacing w:line="360" w:lineRule="auto"/>
      <w:ind w:firstLine="200" w:firstLineChars="200"/>
    </w:pPr>
    <w:rPr>
      <w:rFonts w:ascii="宋体"/>
      <w:sz w:val="24"/>
      <w:szCs w:val="20"/>
    </w:rPr>
  </w:style>
  <w:style w:type="character" w:customStyle="1" w:styleId="48">
    <w:name w:val="日期 字符"/>
    <w:semiHidden/>
    <w:qFormat/>
    <w:uiPriority w:val="0"/>
    <w:rPr>
      <w:rFonts w:ascii="Times New Roman" w:hAnsi="Times New Roman" w:eastAsia="宋体"/>
      <w:sz w:val="24"/>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批注主题 字符1"/>
    <w:semiHidden/>
    <w:qFormat/>
    <w:uiPriority w:val="99"/>
    <w:rPr>
      <w:b/>
      <w:bCs/>
    </w:rPr>
  </w:style>
  <w:style w:type="paragraph" w:customStyle="1" w:styleId="53">
    <w:name w:val="正文00"/>
    <w:qFormat/>
    <w:uiPriority w:val="0"/>
    <w:pPr>
      <w:overflowPunct w:val="0"/>
      <w:topLinePunct/>
      <w:adjustRightInd w:val="0"/>
      <w:snapToGrid w:val="0"/>
      <w:spacing w:line="460" w:lineRule="exact"/>
      <w:ind w:firstLine="200" w:firstLineChars="200"/>
      <w:jc w:val="both"/>
    </w:pPr>
    <w:rPr>
      <w:rFonts w:ascii="Times New Roman" w:hAnsi="Times New Roman" w:eastAsia="宋体" w:cs="Times New Roman"/>
      <w:color w:val="0000FF"/>
      <w:kern w:val="2"/>
      <w:sz w:val="24"/>
      <w:szCs w:val="24"/>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正式正文"/>
    <w:basedOn w:val="1"/>
    <w:qFormat/>
    <w:uiPriority w:val="0"/>
    <w:pPr>
      <w:spacing w:line="360" w:lineRule="auto"/>
      <w:ind w:firstLine="480"/>
    </w:pPr>
    <w:rPr>
      <w:sz w:val="24"/>
    </w:rPr>
  </w:style>
  <w:style w:type="paragraph" w:customStyle="1" w:styleId="56">
    <w:name w:val="Table Paragraph"/>
    <w:basedOn w:val="1"/>
    <w:qFormat/>
    <w:uiPriority w:val="1"/>
    <w:pPr>
      <w:spacing w:line="360" w:lineRule="auto"/>
      <w:ind w:firstLine="200" w:firstLineChars="200"/>
    </w:pPr>
    <w:rPr>
      <w:rFonts w:ascii="宋体" w:hAnsi="宋体" w:cs="宋体"/>
    </w:rPr>
  </w:style>
  <w:style w:type="paragraph" w:customStyle="1" w:styleId="5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9">
    <w:name w:val="_Style 63"/>
    <w:semiHidden/>
    <w:qFormat/>
    <w:uiPriority w:val="99"/>
    <w:rPr>
      <w:rFonts w:ascii="Times New Roman" w:hAnsi="Times New Roman" w:eastAsia="宋体" w:cs="Times New Roman"/>
      <w:kern w:val="2"/>
      <w:sz w:val="21"/>
      <w:szCs w:val="24"/>
      <w:lang w:val="en-US" w:eastAsia="zh-CN" w:bidi="ar-SA"/>
    </w:rPr>
  </w:style>
  <w:style w:type="character" w:customStyle="1" w:styleId="60">
    <w:name w:val="无间隔 字符2"/>
    <w:qFormat/>
    <w:uiPriority w:val="1"/>
    <w:rPr>
      <w:rFonts w:ascii="宋体"/>
      <w:kern w:val="2"/>
      <w:sz w:val="21"/>
      <w:szCs w:val="28"/>
    </w:rPr>
  </w:style>
  <w:style w:type="character" w:customStyle="1" w:styleId="61">
    <w:name w:val="批注文字 字符2"/>
    <w:qFormat/>
    <w:locked/>
    <w:uiPriority w:val="0"/>
    <w:rPr>
      <w:rFonts w:ascii="Times New Roman" w:hAnsi="Times New Roman" w:eastAsia="宋体"/>
      <w:sz w:val="24"/>
    </w:rPr>
  </w:style>
  <w:style w:type="paragraph" w:customStyle="1" w:styleId="62">
    <w:name w:val="0表格"/>
    <w:basedOn w:val="1"/>
    <w:qFormat/>
    <w:uiPriority w:val="0"/>
    <w:pPr>
      <w:jc w:val="center"/>
    </w:pPr>
    <w:rPr>
      <w:kern w:val="0"/>
      <w:sz w:val="20"/>
    </w:rPr>
  </w:style>
  <w:style w:type="paragraph" w:customStyle="1" w:styleId="63">
    <w:name w:val="_Style 56"/>
    <w:semiHidden/>
    <w:qFormat/>
    <w:uiPriority w:val="99"/>
    <w:rPr>
      <w:rFonts w:ascii="Times New Roman" w:hAnsi="Times New Roman" w:eastAsia="宋体" w:cs="Times New Roman"/>
      <w:kern w:val="2"/>
      <w:sz w:val="21"/>
      <w:szCs w:val="24"/>
      <w:lang w:val="en-US" w:eastAsia="zh-CN" w:bidi="ar-SA"/>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66">
    <w:name w:val="Table Grid_0"/>
    <w:basedOn w:val="19"/>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font61"/>
    <w:basedOn w:val="21"/>
    <w:qFormat/>
    <w:uiPriority w:val="0"/>
    <w:rPr>
      <w:rFonts w:hint="eastAsia" w:ascii="宋体" w:hAnsi="宋体" w:eastAsia="宋体" w:cs="宋体"/>
      <w:color w:val="000000"/>
      <w:sz w:val="20"/>
      <w:szCs w:val="20"/>
      <w:u w:val="none"/>
    </w:rPr>
  </w:style>
  <w:style w:type="character" w:customStyle="1" w:styleId="68">
    <w:name w:val="正文文本 2 字符"/>
    <w:basedOn w:val="21"/>
    <w:link w:val="14"/>
    <w:qFormat/>
    <w:uiPriority w:val="0"/>
    <w:rPr>
      <w:kern w:val="2"/>
      <w:sz w:val="21"/>
      <w:szCs w:val="24"/>
    </w:rPr>
  </w:style>
  <w:style w:type="paragraph" w:customStyle="1" w:styleId="69">
    <w:name w:val="表格标题"/>
    <w:basedOn w:val="1"/>
    <w:next w:val="1"/>
    <w:qFormat/>
    <w:uiPriority w:val="0"/>
    <w:pPr>
      <w:spacing w:line="360" w:lineRule="auto"/>
      <w:jc w:val="center"/>
    </w:pPr>
    <w:rPr>
      <w:rFonts w:eastAsia="黑体"/>
      <w:b/>
      <w:szCs w:val="21"/>
    </w:rPr>
  </w:style>
  <w:style w:type="character" w:customStyle="1" w:styleId="70">
    <w:name w:val="纯文本 字符"/>
    <w:basedOn w:val="21"/>
    <w:link w:val="9"/>
    <w:qFormat/>
    <w:uiPriority w:val="99"/>
    <w:rPr>
      <w:rFonts w:ascii="宋体" w:hAnsi="Courier New"/>
      <w:kern w:val="2"/>
      <w:sz w:val="21"/>
    </w:rPr>
  </w:style>
  <w:style w:type="character" w:customStyle="1" w:styleId="71">
    <w:name w:val="题注 字符"/>
    <w:basedOn w:val="21"/>
    <w:link w:val="4"/>
    <w:qFormat/>
    <w:uiPriority w:val="99"/>
    <w:rPr>
      <w:rFonts w:eastAsia="黑体" w:asciiTheme="majorHAnsi" w:hAnsiTheme="majorHAnsi" w:cstheme="majorBidi"/>
      <w:b/>
      <w:lang w:val="zh-CN"/>
    </w:rPr>
  </w:style>
  <w:style w:type="paragraph" w:customStyle="1" w:styleId="72">
    <w:name w:val="环正"/>
    <w:basedOn w:val="1"/>
    <w:qFormat/>
    <w:uiPriority w:val="0"/>
    <w:pPr>
      <w:spacing w:line="360" w:lineRule="auto"/>
      <w:ind w:firstLine="480" w:firstLineChars="200"/>
    </w:pPr>
    <w:rPr>
      <w:rFonts w:cstheme="minorBidi"/>
      <w:sz w:val="24"/>
    </w:rPr>
  </w:style>
  <w:style w:type="paragraph" w:customStyle="1" w:styleId="73">
    <w:name w:val="正1"/>
    <w:basedOn w:val="3"/>
    <w:link w:val="74"/>
    <w:qFormat/>
    <w:uiPriority w:val="0"/>
    <w:pPr>
      <w:adjustRightInd w:val="0"/>
      <w:snapToGrid w:val="0"/>
      <w:spacing w:line="360" w:lineRule="auto"/>
      <w:ind w:firstLine="480"/>
    </w:pPr>
    <w:rPr>
      <w:color w:val="000000"/>
      <w:sz w:val="24"/>
    </w:rPr>
  </w:style>
  <w:style w:type="character" w:customStyle="1" w:styleId="74">
    <w:name w:val="正1 字符"/>
    <w:basedOn w:val="21"/>
    <w:link w:val="73"/>
    <w:qFormat/>
    <w:uiPriority w:val="0"/>
    <w:rPr>
      <w:color w:val="000000"/>
      <w:kern w:val="2"/>
      <w:sz w:val="24"/>
      <w:szCs w:val="24"/>
    </w:rPr>
  </w:style>
  <w:style w:type="paragraph" w:customStyle="1" w:styleId="75">
    <w:name w:val="正文-工"/>
    <w:basedOn w:val="1"/>
    <w:qFormat/>
    <w:uiPriority w:val="0"/>
    <w:pPr>
      <w:spacing w:line="360" w:lineRule="auto"/>
      <w:ind w:firstLine="480" w:firstLineChars="200"/>
    </w:pPr>
    <w:rPr>
      <w:rFonts w:cstheme="minorBidi"/>
      <w:sz w:val="24"/>
      <w:szCs w:val="22"/>
    </w:rPr>
  </w:style>
  <w:style w:type="character" w:customStyle="1" w:styleId="76">
    <w:name w:val="text_hmg13"/>
    <w:basedOn w:val="21"/>
    <w:qFormat/>
    <w:uiPriority w:val="0"/>
  </w:style>
  <w:style w:type="paragraph" w:customStyle="1" w:styleId="77">
    <w:name w:val="正文首行缩进 21"/>
    <w:basedOn w:val="7"/>
    <w:semiHidden/>
    <w:qFormat/>
    <w:uiPriority w:val="0"/>
    <w:pPr>
      <w:spacing w:before="100" w:beforeAutospacing="1" w:after="0" w:line="360" w:lineRule="auto"/>
      <w:ind w:left="0" w:leftChars="0" w:firstLine="200" w:firstLineChars="200"/>
    </w:pPr>
    <w:rPr>
      <w:kern w:val="2"/>
      <w:sz w:val="21"/>
      <w:szCs w:val="21"/>
    </w:rPr>
  </w:style>
  <w:style w:type="paragraph" w:customStyle="1" w:styleId="78">
    <w:name w:val="正文1"/>
    <w:qFormat/>
    <w:uiPriority w:val="0"/>
    <w:pPr>
      <w:jc w:val="both"/>
    </w:pPr>
    <w:rPr>
      <w:rFonts w:ascii="Times New Roman" w:hAnsi="Times New Roman" w:eastAsia="宋体" w:cs="Times New Roman"/>
      <w:kern w:val="2"/>
      <w:sz w:val="21"/>
      <w:szCs w:val="21"/>
      <w:lang w:val="en-US" w:eastAsia="zh-CN" w:bidi="ar-SA"/>
    </w:rPr>
  </w:style>
  <w:style w:type="table" w:customStyle="1" w:styleId="79">
    <w:name w:val="A-全框表"/>
    <w:basedOn w:val="19"/>
    <w:qFormat/>
    <w:uiPriority w:val="9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80">
    <w:name w:val="正文首行缩进 22"/>
    <w:basedOn w:val="7"/>
    <w:semiHidden/>
    <w:qFormat/>
    <w:uiPriority w:val="0"/>
    <w:pPr>
      <w:spacing w:before="100" w:beforeAutospacing="1" w:after="0" w:line="360" w:lineRule="auto"/>
      <w:ind w:left="0" w:leftChars="0" w:firstLine="200" w:firstLineChars="200"/>
    </w:pPr>
    <w:rPr>
      <w:kern w:val="2"/>
      <w:sz w:val="21"/>
      <w:szCs w:val="21"/>
    </w:rPr>
  </w:style>
  <w:style w:type="paragraph" w:customStyle="1" w:styleId="81">
    <w:name w:val="表格内"/>
    <w:basedOn w:val="1"/>
    <w:qFormat/>
    <w:uiPriority w:val="0"/>
    <w:pPr>
      <w:adjustRightInd w:val="0"/>
      <w:snapToGrid w:val="0"/>
      <w:spacing w:line="360" w:lineRule="exact"/>
      <w:jc w:val="center"/>
    </w:pPr>
    <w:rPr>
      <w:rFonts w:eastAsia="Times New Roman"/>
      <w:snapToGrid w:val="0"/>
      <w:kern w:val="0"/>
      <w:szCs w:val="21"/>
      <w:lang w:val="zh-CN"/>
    </w:rPr>
  </w:style>
  <w:style w:type="table" w:customStyle="1" w:styleId="82">
    <w:name w:val="Table Normal"/>
    <w:semiHidden/>
    <w:unhideWhenUsed/>
    <w:qFormat/>
    <w:uiPriority w:val="2"/>
    <w:tblPr>
      <w:tblCellMar>
        <w:top w:w="0" w:type="dxa"/>
        <w:left w:w="0" w:type="dxa"/>
        <w:bottom w:w="0" w:type="dxa"/>
        <w:right w:w="0" w:type="dxa"/>
      </w:tblCellMar>
    </w:tblPr>
  </w:style>
  <w:style w:type="paragraph" w:customStyle="1" w:styleId="83">
    <w:name w:val="！正文"/>
    <w:basedOn w:val="1"/>
    <w:qFormat/>
    <w:uiPriority w:val="0"/>
    <w:pPr>
      <w:spacing w:line="480" w:lineRule="exact"/>
      <w:ind w:firstLine="200" w:firstLineChars="200"/>
    </w:pPr>
    <w:rPr>
      <w:kern w:val="0"/>
      <w:sz w:val="24"/>
    </w:rPr>
  </w:style>
  <w:style w:type="paragraph" w:customStyle="1" w:styleId="84">
    <w:name w:val="表格文字邓"/>
    <w:basedOn w:val="1"/>
    <w:qFormat/>
    <w:uiPriority w:val="0"/>
    <w:pPr>
      <w:keepNext w:val="0"/>
      <w:keepLines w:val="0"/>
      <w:widowControl/>
      <w:suppressLineNumbers w:val="0"/>
      <w:snapToGrid w:val="0"/>
      <w:spacing w:before="0" w:beforeAutospacing="0" w:after="0" w:afterAutospacing="0" w:line="240" w:lineRule="exact"/>
      <w:ind w:left="0" w:right="0"/>
      <w:jc w:val="center"/>
    </w:pPr>
    <w:rPr>
      <w:rFonts w:hint="eastAsia" w:ascii="宋体" w:hAnsi="宋体" w:eastAsia="宋体" w:cs="Times New Roman"/>
      <w:color w:val="000000"/>
      <w:kern w:val="2"/>
      <w:sz w:val="18"/>
      <w:szCs w:val="1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8e060de4-b2e5-4528-9351-639e73f485c4</errorID>
      <errorWord>【2024】012号</errorWord>
      <group>L1_Knowledge</group>
      <groupName>知识性问题</groupName>
      <ability>L2_Knowledge</ability>
      <abilityName>其他知识</abilityName>
      <candidateList>
        <item>〔2024〕12号</item>
      </candidateList>
      <explain>发文字号格式错误。</explain>
      <paraID>2D75BBA3</paraID>
      <start>4</start>
      <end>13</end>
      <status>modified</status>
      <modifiedWord>〔2024〕12号</modifiedWord>
      <trackRevisions>false</trackRevisions>
    </reviewItem>
    <reviewItem>
      <errorID>1ab20843-17f6-45df-91b3-869dd177c6f0</errorID>
      <errorWord>[2022]2号</errorWord>
      <group>L1_Knowledge</group>
      <groupName>知识性问题</groupName>
      <ability>L2_Knowledge</ability>
      <abilityName>其他知识</abilityName>
      <candidateList>
        <item>〔2022〕2号</item>
      </candidateList>
      <explain>发文字号格式错误。</explain>
      <paraID>2210DBA8</paraID>
      <start>51</start>
      <end>59</end>
      <status>modified</status>
      <modifiedWord>〔2022〕2号</modifiedWord>
      <trackRevisions>false</trackRevisions>
    </reviewItem>
    <reviewItem>
      <errorID>245a5b49-26f1-4339-b995-90f199db4cac</errorID>
      <errorWord>(</errorWord>
      <group>L1_Format</group>
      <groupName>格式问题</groupName>
      <ability>L2_HalfPunc</ability>
      <abilityName>全半角检查</abilityName>
      <candidateList>
        <item>（</item>
      </candidateList>
      <explain>文本全半角错误。</explain>
      <paraID>1833E597</paraID>
      <start>51</start>
      <end>52</end>
      <status>modified</status>
      <modifiedWord>（</modifiedWord>
      <trackRevisions>false</trackRevisions>
    </reviewItem>
    <reviewItem>
      <errorID>798dec05-d5a0-4bfb-8fab-95caf082856f</errorID>
      <errorWord>)</errorWord>
      <group>L1_Format</group>
      <groupName>格式问题</groupName>
      <ability>L2_HalfPunc</ability>
      <abilityName>全半角检查</abilityName>
      <candidateList>
        <item>）</item>
      </candidateList>
      <explain>文本全半角错误。</explain>
      <paraID>1833E597</paraID>
      <start>66</start>
      <end>67</end>
      <status>modified</status>
      <modifiedWord>）</modifiedWord>
      <trackRevisions>false</trackRevisions>
    </reviewItem>
    <reviewItem>
      <errorID>3a6ff78d-b87f-4426-bc1e-f9ac58be4b29</errorID>
      <errorWord>“</errorWord>
      <group>L1_Punc</group>
      <groupName>标点问题</groupName>
      <ability>L2_Punc</ability>
      <abilityName>标点符号检查</abilityName>
      <candidateList/>
      <explain/>
      <paraID> 12CFA4D</paraID>
      <start>182</start>
      <end>183</end>
      <status>unmodified</status>
      <modifiedWord/>
      <trackRevisions>false</trackRevisions>
    </reviewItem>
    <reviewItem>
      <errorID>59c96eb2-7411-4fd0-84e9-83646521b5a6</errorID>
      <errorWord>(2020)24号</errorWord>
      <group>L1_Knowledge</group>
      <groupName>知识性问题</groupName>
      <ability>L2_Knowledge</ability>
      <abilityName>其他知识</abilityName>
      <candidateList>
        <item>〔2020〕24号</item>
      </candidateList>
      <explain>发文字号格式错误。</explain>
      <paraID>3E0C8789</paraID>
      <start>95</start>
      <end>104</end>
      <status>modified</status>
      <modifiedWord>〔2020〕24号</modifiedWord>
      <trackRevisions>false</trackRevisions>
    </reviewItem>
    <reviewItem>
      <errorID>040645fd-9934-4b59-b516-54dfee8dd475</errorID>
      <errorWord>(</errorWord>
      <group>L1_Punc</group>
      <groupName>标点问题</groupName>
      <ability>L2_Punc</ability>
      <abilityName>标点符号检查</abilityName>
      <candidateList>
        <item>〔</item>
      </candidateList>
      <explain/>
      <paraID>3E0C8789</paraID>
      <start>174</start>
      <end>175</end>
      <status>modified</status>
      <modifiedWord>〔</modifiedWord>
      <trackRevisions>false</trackRevisions>
    </reviewItem>
    <reviewItem>
      <errorID>bbb071c3-6cd2-46c4-9d0d-ac5ff5d30b8e</errorID>
      <errorWord>)</errorWord>
      <group>L1_Format</group>
      <groupName>格式问题</groupName>
      <ability>L2_HalfPunc</ability>
      <abilityName>全半角检查</abilityName>
      <candidateList>
        <item>）</item>
      </candidateList>
      <explain>文本全半角错误。</explain>
      <paraID>3E0C8789</paraID>
      <start>182</start>
      <end>183</end>
      <status>modified</status>
      <modifiedWord>）</modifiedWord>
      <trackRevisions>false</trackRevisions>
    </reviewItem>
    <reviewItem>
      <errorID>5097aaa0-1feb-47ed-8d0e-a1e009164b7d</errorID>
      <errorWord>实现</errorWord>
      <group>L1_Word</group>
      <groupName>字词问题</groupName>
      <ability>L2_Typo</ability>
      <abilityName>字词错误</abilityName>
      <candidateList>
        <item>实行</item>
      </candidateList>
      <explain>〈动〉用行动来实现（纲领、政策、计划等）：～改革｜～承包责任制。</explain>
      <paraID>3E0C8789</paraID>
      <start>328</start>
      <end>330</end>
      <status>ignored</status>
      <modifiedWord/>
      <trackRevisions>false</trackRevisions>
    </reviewItem>
    <reviewItem>
      <errorID>14c5cf5e-096b-491e-bb85-5a79c94742b4</errorID>
      <errorWord>经济和</errorWord>
      <group>L1_Word</group>
      <groupName>字词问题</groupName>
      <ability>L2_Typo</ability>
      <abilityName>字词错误</abilityName>
      <candidateList>
        <item>经济</item>
      </candidateList>
      <explain/>
      <paraID>5C546E5F</paraID>
      <start>68</start>
      <end>70</end>
      <status>modified</status>
      <modifiedWord>经济</modifiedWord>
      <trackRevisions>false</trackRevisions>
    </reviewItem>
    <reviewItem>
      <errorID>63fa871a-3a19-4b96-8ed6-cce93cf18fad</errorID>
      <errorWord>完普</errorWord>
      <group>L1_Word</group>
      <groupName>字词问题</groupName>
      <ability>L2_Typo</ability>
      <abilityName>字词错误</abilityName>
      <candidateList>
        <item>完善</item>
      </candidateList>
      <explain>❶〈形〉完备美好：设备～。❷〈动〉使完善：～管理制度。</explain>
      <paraID>5FB585DD</paraID>
      <start>54</start>
      <end>56</end>
      <status>modified</status>
      <modifiedWord>完善</modifiedWord>
      <trackRevisions>false</trackRevisions>
    </reviewItem>
    <reviewItem>
      <errorID>ad3933f8-b940-41cd-8a9c-ed19ec501bab</errorID>
      <errorWord>士壤环境</errorWord>
      <group>L1_Word</group>
      <groupName>字词问题</groupName>
      <ability>L2_Typo</ability>
      <abilityName>字词错误</abilityName>
      <candidateList>
        <item>土壤环境</item>
      </candidateList>
      <explain/>
      <paraID>5FB585DD</paraID>
      <start>110</start>
      <end>114</end>
      <status>modified</status>
      <modifiedWord>土壤环境</modifiedWord>
      <trackRevisions>false</trackRevisions>
    </reviewItem>
    <reviewItem>
      <errorID>98abecf2-6f72-485d-889f-933ef8c8adf3</errorID>
      <errorWord>要求应</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  9CC06B</paraID>
      <start>11</start>
      <end>13</end>
      <status>modified</status>
      <modifiedWord>要求</modifiedWord>
      <trackRevisions>false</trackRevisions>
    </reviewItem>
    <reviewItem>
      <errorID>10d920f4-6cea-4389-b280-05e37ad9e6c4</errorID>
      <errorWord>要</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446D5AA4</paraID>
      <start>93</start>
      <end>95</end>
      <status>modified</status>
      <modifiedWord>要求</modifiedWord>
      <trackRevisions>false</trackRevisions>
    </reviewItem>
    <reviewItem>
      <errorID>33dab2b6-b4ef-4b54-95b7-96135d494427</errorID>
      <errorWord>&lt;</errorWord>
      <group>L1_Format</group>
      <groupName>格式问题</groupName>
      <ability>L2_HalfPunc</ability>
      <abilityName>全半角检查</abilityName>
      <candidateList>
        <item>〈</item>
      </candidateList>
      <explain>文本全半角错误。</explain>
      <paraID>12F6001D</paraID>
      <start>9</start>
      <end>10</end>
      <status>modified</status>
      <modifiedWord>〈</modifiedWord>
      <trackRevisions>false</trackRevisions>
    </reviewItem>
    <reviewItem>
      <errorID>d46d4ff6-30e8-47d7-ae16-e53bbee6537d</errorID>
      <errorWord>&gt;</errorWord>
      <group>L1_Format</group>
      <groupName>格式问题</groupName>
      <ability>L2_HalfPunc</ability>
      <abilityName>全半角检查</abilityName>
      <candidateList>
        <item>〉</item>
      </candidateList>
      <explain>文本全半角错误。</explain>
      <paraID>12F6001D</paraID>
      <start>44</start>
      <end>45</end>
      <status>modified</status>
      <modifiedWord>〉</modifiedWord>
      <trackRevisions>false</trackRevisions>
    </reviewItem>
    <reviewItem>
      <errorID>58d9dc0f-ec24-463f-9fdb-d7a621418b47</errorID>
      <errorWord>&lt;</errorWord>
      <group>L1_Format</group>
      <groupName>格式问题</groupName>
      <ability>L2_HalfPunc</ability>
      <abilityName>全半角检查</abilityName>
      <candidateList>
        <item>〈</item>
      </candidateList>
      <explain>文本全半角错误。</explain>
      <paraID>6710AAAE</paraID>
      <start>57</start>
      <end>58</end>
      <status>modified</status>
      <modifiedWord>〈</modifiedWord>
      <trackRevisions>false</trackRevisions>
    </reviewItem>
    <reviewItem>
      <errorID>c4917b8c-0024-4deb-992a-d4fa43ff37e7</errorID>
      <errorWord>&gt;</errorWord>
      <group>L1_Format</group>
      <groupName>格式问题</groupName>
      <ability>L2_HalfPunc</ability>
      <abilityName>全半角检查</abilityName>
      <candidateList>
        <item>〉</item>
      </candidateList>
      <explain>文本全半角错误。</explain>
      <paraID>6710AAAE</paraID>
      <start>92</start>
      <end>93</end>
      <status>modified</status>
      <modifiedWord>〉</modifiedWord>
      <trackRevisions>false</trackRevisions>
    </reviewItem>
    <reviewItem>
      <errorID>98e2f197-540e-454c-b5af-64dc627f2cd0</errorID>
      <errorWord>其它</errorWord>
      <group>L1_Word</group>
      <groupName>字词问题</groupName>
      <ability>L2_Alias</ability>
      <abilityName>也作/曾用词</abilityName>
      <candidateList>
        <item>其他</item>
      </candidateList>
      <explain>词汇[其它]为不规范表述或旧称，其规范书面表述为[其他]。</explain>
      <paraID>7406AF0E</paraID>
      <start>35</start>
      <end>37</end>
      <status>modified</status>
      <modifiedWord>其他</modifiedWord>
      <trackRevisions>false</trackRevisions>
    </reviewItem>
    <reviewItem>
      <errorID>ca16f79a-70c6-47b8-9648-67c22efce8ac</errorID>
      <errorWord>经济和</errorWord>
      <group>L1_Word</group>
      <groupName>字词问题</groupName>
      <ability>L2_Typo</ability>
      <abilityName>字词错误</abilityName>
      <candidateList>
        <item>经济</item>
      </candidateList>
      <explain/>
      <paraID>4C7B81F4</paraID>
      <start>39</start>
      <end>41</end>
      <status>modified</status>
      <modifiedWord>经济</modifiedWord>
      <trackRevisions>false</trackRevisions>
    </reviewItem>
    <reviewItem>
      <errorID>26025227-22ae-4b75-8c08-fc9f53d1ec67</errorID>
      <errorWord>达</errorWord>
      <group>L1_Word</group>
      <groupName>字词问题</groupName>
      <ability>L2_Typo</ability>
      <abilityName>字词错误</abilityName>
      <candidateList>
        <item>达到</item>
      </candidateList>
      <explain>〈动〉到（多指抽象事物或程度）：达得到｜达不到｜目的没有～｜～国际水平。</explain>
      <paraID>2C74E472</paraID>
      <start>51</start>
      <end>53</end>
      <status>modified</status>
      <modifiedWord>达到</modifiedWord>
      <trackRevisions>false</trackRevisions>
    </reviewItem>
    <reviewItem>
      <errorID>17df6242-4c7b-490a-a304-654cd8c8d0f2</errorID>
      <errorWord>&lt;</errorWord>
      <group>L1_Format</group>
      <groupName>格式问题</groupName>
      <ability>L2_HalfPunc</ability>
      <abilityName>全半角检查</abilityName>
      <candidateList>
        <item>〈</item>
      </candidateList>
      <explain>文本全半角错误。</explain>
      <paraID>1F8DBB3B</paraID>
      <start>46</start>
      <end>47</end>
      <status>modified</status>
      <modifiedWord>〈</modifiedWord>
      <trackRevisions>false</trackRevisions>
    </reviewItem>
    <reviewItem>
      <errorID>e66cf2c2-0093-4df2-b921-8aeaa0c65996</errorID>
      <errorWord>&gt;</errorWord>
      <group>L1_Format</group>
      <groupName>格式问题</groupName>
      <ability>L2_HalfPunc</ability>
      <abilityName>全半角检查</abilityName>
      <candidateList>
        <item>〉</item>
      </candidateList>
      <explain>文本全半角错误。</explain>
      <paraID>1F8DBB3B</paraID>
      <start>81</start>
      <end>82</end>
      <status>modified</status>
      <modifiedWord>〉</modifiedWord>
      <trackRevisions>false</trackRevisions>
    </reviewItem>
    <reviewItem>
      <errorID>7b082aab-3f62-48fa-bc80-f4972a916de1</errorID>
      <errorWord>发展局会</errorWord>
      <group>L1_Word</group>
      <groupName>字词问题</groupName>
      <ability>L2_Typo</ability>
      <abilityName>字词错误</abilityName>
      <candidateList>
        <item>发展局</item>
      </candidateList>
      <explain/>
      <paraID>7D927FA4</paraID>
      <start>24</start>
      <end>27</end>
      <status>modified</status>
      <modifiedWord>发展局</modifiedWord>
      <trackRevisions>false</trackRevisions>
    </reviewItem>
    <reviewItem>
      <errorID>326bb3b0-8b5a-4c58-aa25-d10e8d0f15f9</errorID>
      <errorWord>【2024】012号</errorWord>
      <group>L1_Knowledge</group>
      <groupName>知识性问题</groupName>
      <ability>L2_Knowledge</ability>
      <abilityName>其他知识</abilityName>
      <candidateList>
        <item>〔2024〕12号</item>
      </candidateList>
      <explain>发文字号格式错误。</explain>
      <paraID>7D927FA4</paraID>
      <start>40</start>
      <end>49</end>
      <status>modified</status>
      <modifiedWord>〔2024〕12号</modifiedWord>
      <trackRevisions>false</trackRevisions>
    </reviewItem>
    <reviewItem>
      <errorID>2f9ce8c6-63b6-4130-8665-7d3b4ce49bb0</errorID>
      <errorWord>印发</errorWord>
      <group>L1_Word</group>
      <groupName>字词问题</groupName>
      <ability>L2_Typo</ability>
      <abilityName>字词错误</abilityName>
      <candidateList>
        <item>引发</item>
      </candidateList>
      <explain>〈动〉引起；触发：天象观测～了大家对天文学的浓厚兴趣。</explain>
      <paraID>597EB4A3</paraID>
      <start>0</start>
      <end>2</end>
      <status>modified</status>
      <modifiedWord>引发</modifiedWord>
      <trackRevisions>false</trackRevisions>
    </reviewItem>
    <reviewItem>
      <errorID>63d4e1c8-8107-4e61-8388-ad31c27f9dd7</errorID>
      <errorWord>，</errorWord>
      <group>L1_Word</group>
      <groupName>字词问题</groupName>
      <ability>L2_Typo</ability>
      <abilityName>字词错误</abilityName>
      <candidateList>
        <item>，对</item>
      </candidateList>
      <explain/>
      <paraID>397BDD7C</paraID>
      <start>132</start>
      <end>134</end>
      <status>modified</status>
      <modifiedWord>，对</modifiedWord>
      <trackRevisions>false</trackRevisions>
    </reviewItem>
    <reviewItem>
      <errorID>59b3cf9a-96a2-428a-8044-ff275a6a4240</errorID>
      <errorWord>目</errorWord>
      <group>L1_Word</group>
      <groupName>字词问题</groupName>
      <ability>L2_Typo</ability>
      <abilityName>字词错误</abilityName>
      <candidateList>
        <item>目是</item>
      </candidateList>
      <explain/>
      <paraID>1AB2FA96</paraID>
      <start>5</start>
      <end>7</end>
      <status>modified</status>
      <modifiedWord>目是</modifiedWord>
      <trackRevisions>false</trackRevisions>
    </reviewItem>
    <reviewItem>
      <errorID>39ede1df-2753-4003-a330-5ffc5a2a61bf</errorID>
      <errorWord>；</errorWord>
      <group>L1_Word</group>
      <groupName>字词问题</groupName>
      <ability>L2_Typo</ability>
      <abilityName>字词错误</abilityName>
      <candidateList>
        <item>；对</item>
      </candidateList>
      <explain/>
      <paraID>70F3A68F</paraID>
      <start>221</start>
      <end>223</end>
      <status>modified</status>
      <modifiedWord>；对</modifiedWord>
      <trackRevisions>false</trackRevisions>
    </reviewItem>
    <reviewItem>
      <errorID>b7e7e0af-d995-41ac-acfe-3fbc569612bd</errorID>
      <errorWord>胜</errorWord>
      <group>L1_Word</group>
      <groupName>字词问题</groupName>
      <ability>L2_Typo</ability>
      <abilityName>字词错误</abilityName>
      <candidateList>
        <item>胜区</item>
      </candidateList>
      <explain/>
      <paraID> 4776D08</paraID>
      <start>15</start>
      <end>17</end>
      <status>modified</status>
      <modifiedWord>胜区</modifiedWord>
      <trackRevisions>false</trackRevisions>
    </reviewItem>
    <reviewItem>
      <errorID>f8146a05-e926-432a-b3c2-c3f38b0d04e6</errorID>
      <errorWord>拟</errorWord>
      <group>L1_Word</group>
      <groupName>字词问题</groupName>
      <ability>L2_Typo</ability>
      <abilityName>字词错误</abilityName>
      <candidateList>
        <item>拟在</item>
      </candidateList>
      <explain/>
      <paraID>75DD65D0</paraID>
      <start>36</start>
      <end>38</end>
      <status>modified</status>
      <modifiedWord>拟在</modifiedWord>
      <trackRevisions>false</trackRevisions>
    </reviewItem>
    <reviewItem>
      <errorID>f464fc7a-8cf4-48d3-a2a5-d41f21e82bd5</errorID>
      <errorWord>仅是</errorWord>
      <group>L1_Word</group>
      <groupName>字词问题</groupName>
      <ability>L2_Typo</ability>
      <abilityName>字词错误</abilityName>
      <candidateList>
        <item>仅</item>
      </candidateList>
      <explain/>
      <paraID>301CC3AF</paraID>
      <start>65</start>
      <end>66</end>
      <status>modified</status>
      <modifiedWord>仅</modifiedWord>
      <trackRevisions>false</trackRevisions>
    </reviewItem>
    <reviewItem>
      <errorID>450e7600-d70e-46eb-9d9a-4cf1b550ffbe</errorID>
      <errorWord>视性</errorWord>
      <group>L1_Word</group>
      <groupName>字词问题</groupName>
      <ability>L2_Typo</ability>
      <abilityName>字词错误</abilityName>
      <candidateList>
        <item>食性</item>
      </candidateList>
      <explain/>
      <paraID>136CCC55</paraID>
      <start>7</start>
      <end>9</end>
      <status>modified</status>
      <modifiedWord>食性</modifiedWord>
      <trackRevisions>false</trackRevisions>
    </reviewItem>
    <reviewItem>
      <errorID>aede77cc-8ec3-4da6-99f2-8948c41deb69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1AAF43EC</paraID>
      <start>30</start>
      <end>31</end>
      <status>modified</status>
      <modifiedWord>—</modifiedWord>
      <trackRevisions>false</trackRevisions>
    </reviewItem>
    <reviewItem>
      <errorID>a778a23c-f930-4d7c-9121-7444d7a34451</errorID>
      <errorWord>粘稠</errorWord>
      <group>L1_Word</group>
      <groupName>字词问题</groupName>
      <ability>L2_Typo</ability>
      <abilityName>字词错误</abilityName>
      <candidateList>
        <item>黏稠</item>
      </candidateList>
      <explain>存在发音相同字词的误用。</explain>
      <paraID>70C6F7CE</paraID>
      <start>0</start>
      <end>2</end>
      <status>modified</status>
      <modifiedWord>黏稠</modifiedWord>
      <trackRevisions>false</trackRevisions>
    </reviewItem>
    <reviewItem>
      <errorID>2b1c7cb6-45d1-4f54-b395-725cb36e85cd</errorID>
      <errorWord>粘稠</errorWord>
      <group>L1_Word</group>
      <groupName>字词问题</groupName>
      <ability>L2_Typo</ability>
      <abilityName>字词错误</abilityName>
      <candidateList>
        <item>黏稠</item>
      </candidateList>
      <explain>存在发音相同字词的误用。</explain>
      <paraID>61506B1E</paraID>
      <start>0</start>
      <end>2</end>
      <status>modified</status>
      <modifiedWord>黏稠</modifiedWord>
      <trackRevisions>false</trackRevisions>
    </reviewItem>
    <reviewItem>
      <errorID>ac325dc1-c275-4017-a627-19cd9ff19ec0</errorID>
      <errorWord>kw</errorWord>
      <group>L1_Word</group>
      <groupName>字词问题</groupName>
      <ability>L2_Typo</ability>
      <abilityName>字词错误</abilityName>
      <candidateList>
        <item>kW</item>
      </candidateList>
      <explain/>
      <paraID>30FE5794</paraID>
      <start>4</start>
      <end>6</end>
      <status>modified</status>
      <modifiedWord>kW</modifiedWord>
      <trackRevisions>false</trackRevisions>
    </reviewItem>
    <reviewItem>
      <errorID>4e686328-cb8a-48f6-8b8f-d3ce18be2f07</errorID>
      <errorWord>~</errorWord>
      <group>L1_Format</group>
      <groupName>格式问题</groupName>
      <ability>L2_HalfPunc</ability>
      <abilityName>全半角检查</abilityName>
      <candidateList>
        <item>～</item>
      </candidateList>
      <explain>文本全半角错误。</explain>
      <paraID>507931F4</paraID>
      <start>135</start>
      <end>136</end>
      <status>modified</status>
      <modifiedWord>～</modifiedWord>
      <trackRevisions>false</trackRevisions>
    </reviewItem>
    <reviewItem>
      <errorID>39658ed2-0ab4-4e03-af27-1e4a2d2df0d0</errorID>
      <errorWord>做为</errorWord>
      <group>L1_Word</group>
      <groupName>字词问题</groupName>
      <ability>L2_Typo</ability>
      <abilityName>字词错误</abilityName>
      <candidateList>
        <item>作为</item>
      </candidateList>
      <explain>存在发音相同字词的误用。</explain>
      <paraID>507931F4</paraID>
      <start>152</start>
      <end>154</end>
      <status>modified</status>
      <modifiedWord>作为</modifiedWord>
      <trackRevisions>false</trackRevisions>
    </reviewItem>
    <reviewItem>
      <errorID>773f30a5-5dd9-431d-aa33-08192272bbf0</errorID>
      <errorWord>~</errorWord>
      <group>L1_Format</group>
      <groupName>格式问题</groupName>
      <ability>L2_HalfPunc</ability>
      <abilityName>全半角检查</abilityName>
      <candidateList>
        <item>～</item>
      </candidateList>
      <explain>文本全半角错误。</explain>
      <paraID>507931F4</paraID>
      <start>175</start>
      <end>176</end>
      <status>modified</status>
      <modifiedWord>～</modifiedWord>
      <trackRevisions>false</trackRevisions>
    </reviewItem>
    <reviewItem>
      <errorID>0aa157fd-b4e8-4f5b-aa55-0f301c76aed1</errorID>
      <errorWord>~</errorWord>
      <group>L1_Format</group>
      <groupName>格式问题</groupName>
      <ability>L2_HalfPunc</ability>
      <abilityName>全半角检查</abilityName>
      <candidateList>
        <item>～</item>
      </candidateList>
      <explain>文本全半角错误。</explain>
      <paraID>507931F4</paraID>
      <start>205</start>
      <end>206</end>
      <status>modified</status>
      <modifiedWord>～</modifiedWord>
      <trackRevisions>false</trackRevisions>
    </reviewItem>
    <reviewItem>
      <errorID>de990e69-07bd-49ce-a04b-48ea1f7a2b3c</errorID>
      <errorWord>短捷</errorWord>
      <group>L1_Word</group>
      <groupName>字词问题</groupName>
      <ability>L2_Typo</ability>
      <abilityName>字词错误</abilityName>
      <candidateList>
        <item>便捷</item>
      </candidateList>
      <explain/>
      <paraID>5E8F0878</paraID>
      <start>29</start>
      <end>31</end>
      <status>modified</status>
      <modifiedWord>便捷</modifiedWord>
      <trackRevisions>false</trackRevisions>
    </reviewItem>
    <reviewItem>
      <errorID>95869666-6e7f-42e9-8fca-40f1d11a8b2e</errorID>
      <errorWord>机</errorWord>
      <group>L1_Word</group>
      <groupName>字词问题</groupName>
      <ability>L2_Typo</ability>
      <abilityName>字词错误</abilityName>
      <candidateList>
        <item>剂</item>
      </candidateList>
      <explain/>
      <paraID>1FE819C1</paraID>
      <start>33</start>
      <end>34</end>
      <status>modified</status>
      <modifiedWord>剂</modifiedWord>
      <trackRevisions>false</trackRevisions>
    </reviewItem>
    <reviewItem>
      <errorID>0504ce5f-4fc6-434d-95bf-185c9b6d364c</errorID>
      <errorWord>（</errorWord>
      <group>L1_Punc</group>
      <groupName>标点问题</groupName>
      <ability>L2_Punc</ability>
      <abilityName>标点符号检查</abilityName>
      <candidateList/>
      <explain>同一形式括号套用。</explain>
      <paraID>20E5B0F0</paraID>
      <start>212</start>
      <end>213</end>
      <status>unmodified</status>
      <modifiedWord/>
      <trackRevisions>false</trackRevisions>
    </reviewItem>
    <reviewItem>
      <errorID>ee7f0a59-3e09-4971-b1db-9d6d0fa34f3a</errorID>
      <errorWord>（</errorWord>
      <group>L1_Punc</group>
      <groupName>标点问题</groupName>
      <ability>L2_Punc</ability>
      <abilityName>标点符号检查</abilityName>
      <candidateList/>
      <explain>同一形式括号套用。</explain>
      <paraID>20E5B0F0</paraID>
      <start>239</start>
      <end>240</end>
      <status>unmodified</status>
      <modifiedWord/>
      <trackRevisions>false</trackRevisions>
    </reviewItem>
    <reviewItem>
      <errorID>c927f2ea-0f72-424e-9f60-fb9324b3063b</errorID>
      <errorWord>（</errorWord>
      <group>L1_Punc</group>
      <groupName>标点问题</groupName>
      <ability>L2_Punc</ability>
      <abilityName>标点符号检查</abilityName>
      <candidateList/>
      <explain>同一形式括号套用。</explain>
      <paraID>20E5B0F0</paraID>
      <start>267</start>
      <end>268</end>
      <status>unmodified</status>
      <modifiedWord/>
      <trackRevisions>false</trackRevisions>
    </reviewItem>
    <reviewItem>
      <errorID>7783dd9f-6bd7-457c-af47-00592f2b5407</errorID>
      <errorWord>（</errorWord>
      <group>L1_Punc</group>
      <groupName>标点问题</groupName>
      <ability>L2_Punc</ability>
      <abilityName>标点符号检查</abilityName>
      <candidateList/>
      <explain>同一形式括号套用。</explain>
      <paraID>20E5B0F0</paraID>
      <start>297</start>
      <end>298</end>
      <status>unmodified</status>
      <modifiedWord/>
      <trackRevisions>false</trackRevisions>
    </reviewItem>
    <reviewItem>
      <errorID>69123e0e-b43d-44d6-bc04-9ee562253cfc</errorID>
      <errorWord>（</errorWord>
      <group>L1_Punc</group>
      <groupName>标点问题</groupName>
      <ability>L2_Punc</ability>
      <abilityName>标点符号检查</abilityName>
      <candidateList/>
      <explain>同一形式括号套用。</explain>
      <paraID>20E5B0F0</paraID>
      <start>326</start>
      <end>327</end>
      <status>unmodified</status>
      <modifiedWord/>
      <trackRevisions>false</trackRevisions>
    </reviewItem>
    <reviewItem>
      <errorID>670f2eed-7b4a-404e-bf89-53900db910f0</errorID>
      <errorWord>年</errorWord>
      <group>L1_Word</group>
      <groupName>字词问题</groupName>
      <ability>L2_Typo</ability>
      <abilityName>字词错误</abilityName>
      <candidateList>
        <item>年度</item>
      </candidateList>
      <explain/>
      <paraID>183C8E87</paraID>
      <start>0</start>
      <end>2</end>
      <status>modified</status>
      <modifiedWord>年度</modifiedWord>
      <trackRevisions>false</trackRevisions>
    </reviewItem>
    <reviewItem>
      <errorID>42b23427-a36b-4652-a4c2-af6693dec8a7</errorID>
      <errorWord>污染为</errorWord>
      <group>L1_Word</group>
      <groupName>字词问题</groupName>
      <ability>L2_Typo</ability>
      <abilityName>字词错误</abilityName>
      <candidateList>
        <item>污染物</item>
      </candidateList>
      <explain/>
      <paraID> 714C7FE</paraID>
      <start>8</start>
      <end>11</end>
      <status>modified</status>
      <modifiedWord>污染物</modifiedWord>
      <trackRevisions>false</trackRevisions>
    </reviewItem>
    <reviewItem>
      <errorID>3228bb89-4502-4806-92ef-ba7d982184fd</errorID>
      <errorWord>护措</errorWord>
      <group>L1_Word</group>
      <groupName>字词问题</groupName>
      <ability>L2_Typo</ability>
      <abilityName>字词错误</abilityName>
      <candidateList>
        <item>举措</item>
      </candidateList>
      <explain>存在发音相近字词的误用。</explain>
      <paraID>2BB3873F</paraID>
      <start>0</start>
      <end>2</end>
      <status>modified</status>
      <modifiedWord>举措</modifiedWord>
      <trackRevisions>false</trackRevisions>
    </reviewItem>
    <reviewItem>
      <errorID>19926c17-d22e-4367-bdc1-b4778dfee72b</errorID>
      <errorWord>围帘</errorWord>
      <group>L1_Word</group>
      <groupName>字词问题</groupName>
      <ability>L2_Typo</ability>
      <abilityName>字词错误</abilityName>
      <candidateList>
        <item>围栏</item>
      </candidateList>
      <explain>存在发音相近字词的误用。</explain>
      <paraID>6046CCDD</paraID>
      <start>10</start>
      <end>12</end>
      <status>modified</status>
      <modifiedWord>围栏</modifiedWord>
      <trackRevisions>false</trackRevisions>
    </reviewItem>
    <reviewItem>
      <errorID>e4c34084-ebe2-4d6b-b2fa-afacbcba9be6</errorID>
      <errorWord>局部的</errorWord>
      <group>L1_Word</group>
      <groupName>字词问题</groupName>
      <ability>L2_Typo</ability>
      <abilityName>字词错误</abilityName>
      <candidateList>
        <item>局部</item>
      </candidateList>
      <explain/>
      <paraID>21F9763B</paraID>
      <start>83</start>
      <end>85</end>
      <status>modified</status>
      <modifiedWord>局部</modifiedWord>
      <trackRevisions>false</trackRevisions>
    </reviewItem>
    <reviewItem>
      <errorID>54a844d0-492d-4a19-b8aa-06228deb895a</errorID>
      <errorWord>门</errorWord>
      <group>L1_Word</group>
      <groupName>字词问题</groupName>
      <ability>L2_Typo</ability>
      <abilityName>字词错误</abilityName>
      <candidateList>
        <item>门在</item>
      </candidateList>
      <explain/>
      <paraID>7AD38B8B</paraID>
      <start>107</start>
      <end>109</end>
      <status>modified</status>
      <modifiedWord>门在</modifiedWord>
      <trackRevisions>false</trackRevisions>
    </reviewItem>
    <reviewItem>
      <errorID>e1fd13c2-7bb9-4cfe-aa1d-82a77b985247</errorID>
      <errorWord>（</errorWord>
      <group>L1_Format</group>
      <groupName>格式问题</groupName>
      <ability>L2_HalfPunc</ability>
      <abilityName>全半角检查</abilityName>
      <candidateList>
        <item>(</item>
      </candidateList>
      <explain>文本全半角错误。</explain>
      <paraID>4D05EB51</paraID>
      <start>0</start>
      <end>1</end>
      <status>modified</status>
      <modifiedWord>(</modifiedWord>
      <trackRevisions>false</trackRevisions>
    </reviewItem>
    <reviewItem>
      <errorID>c516106c-3d47-42f4-bc2f-577881d75c12</errorID>
      <errorWord>《</errorWord>
      <group>L1_Punc</group>
      <groupName>标点问题</groupName>
      <ability>L2_Punc</ability>
      <abilityName>标点符号检查</abilityName>
      <candidateList/>
      <explain/>
      <paraID>7A4EB2B9</paraID>
      <start>28</start>
      <end>29</end>
      <status>unmodified</status>
      <modifiedWord/>
      <trackRevisions>false</trackRevisions>
    </reviewItem>
    <reviewItem>
      <errorID>92122b05-7a23-438a-96c4-91047e278ec4</errorID>
      <errorWord>《</errorWord>
      <group>L1_Punc</group>
      <groupName>标点问题</groupName>
      <ability>L2_Punc</ability>
      <abilityName>标点符号检查</abilityName>
      <candidateList/>
      <explain/>
      <paraID>5BD3DDE6</paraID>
      <start>28</start>
      <end>29</end>
      <status>unmodified</status>
      <modifiedWord/>
      <trackRevisions>false</trackRevisions>
    </reviewItem>
    <reviewItem>
      <errorID>d2d59852-bc9b-454a-91b8-bba0995e6d50</errorID>
      <errorWord>饱和蒸气</errorWord>
      <group>L1_Word</group>
      <groupName>字词问题</groupName>
      <ability>L2_Typo</ability>
      <abilityName>字词错误</abilityName>
      <candidateList>
        <item>饱和蒸汽</item>
      </candidateList>
      <explain/>
      <paraID>6DFFDE19</paraID>
      <start>11</start>
      <end>15</end>
      <status>modified</status>
      <modifiedWord>饱和蒸汽</modifiedWord>
      <trackRevisions>false</trackRevisions>
    </reviewItem>
    <reviewItem>
      <errorID>7012bdcc-e71a-4a29-b817-383830dc90f5</errorID>
      <errorWord>（</errorWord>
      <group>L1_Format</group>
      <groupName>格式问题</groupName>
      <ability>L2_HalfPunc</ability>
      <abilityName>全半角检查</abilityName>
      <candidateList>
        <item>(</item>
      </candidateList>
      <explain>文本全半角错误。</explain>
      <paraID>7C2DA7D8</paraID>
      <start>1</start>
      <end>2</end>
      <status>modified</status>
      <modifiedWord>(</modifiedWord>
      <trackRevisions>false</trackRevisions>
    </reviewItem>
    <reviewItem>
      <errorID>7f103f1b-f35d-4c73-a9d7-f575ed0c6c80</errorID>
      <errorWord>（</errorWord>
      <group>L1_Format</group>
      <groupName>格式问题</groupName>
      <ability>L2_HalfPunc</ability>
      <abilityName>全半角检查</abilityName>
      <candidateList>
        <item>(</item>
      </candidateList>
      <explain>文本全半角错误。</explain>
      <paraID>480C405A</paraID>
      <start>1</start>
      <end>2</end>
      <status>modified</status>
      <modifiedWord>(</modifiedWord>
      <trackRevisions>false</trackRevisions>
    </reviewItem>
    <reviewItem>
      <errorID>545869b5-2da2-4b78-a2f1-24777ca6e56f</errorID>
      <errorWord>（</errorWord>
      <group>L1_Format</group>
      <groupName>格式问题</groupName>
      <ability>L2_HalfPunc</ability>
      <abilityName>全半角检查</abilityName>
      <candidateList>
        <item>(</item>
      </candidateList>
      <explain>文本全半角错误。</explain>
      <paraID>6630BAB8</paraID>
      <start>2</start>
      <end>3</end>
      <status>modified</status>
      <modifiedWord>(</modifiedWord>
      <trackRevisions>false</trackRevisions>
    </reviewItem>
    <reviewItem>
      <errorID>d91c6483-fd1e-49d6-ba09-230f72e4f206</errorID>
      <errorWord>《</errorWord>
      <group>L1_Punc</group>
      <groupName>标点问题</groupName>
      <ability>L2_Punc</ability>
      <abilityName>标点符号检查</abilityName>
      <candidateList/>
      <explain/>
      <paraID>5016B46F</paraID>
      <start>28</start>
      <end>29</end>
      <status>unmodified</status>
      <modifiedWord/>
      <trackRevisions>false</trackRevisions>
    </reviewItem>
    <reviewItem>
      <errorID>0133ae31-1418-41fa-87b8-25185e05fa36</errorID>
      <errorWord>作为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358A606</paraID>
      <start>162</start>
      <end>163</end>
      <status>modified</status>
      <modifiedWord>为</modifiedWord>
      <trackRevisions>false</trackRevisions>
    </reviewItem>
    <reviewItem>
      <errorID>ee714d93-4836-400f-be20-9c5a9b55fa94</errorID>
      <errorWord>，</errorWord>
      <group>L1_Word</group>
      <groupName>字词问题</groupName>
      <ability>L2_Typo</ability>
      <abilityName>字词错误</abilityName>
      <candidateList>
        <item>，对</item>
      </candidateList>
      <explain/>
      <paraID>3B8A2271</paraID>
      <start>76</start>
      <end>78</end>
      <status>modified</status>
      <modifiedWord>，对</modifiedWord>
      <trackRevisions>false</trackRevisions>
    </reviewItem>
    <reviewItem>
      <errorID>16cc4f0d-be91-4f33-8aab-c2f063868167</errorID>
      <errorWord>：</errorWord>
      <group>L1_Format</group>
      <groupName>格式问题</groupName>
      <ability>L2_HalfPunc</ability>
      <abilityName>全半角检查</abilityName>
      <candidateList>
        <item>:</item>
      </candidateList>
      <explain>文本全半角错误。</explain>
      <paraID>5DAF92EF</paraID>
      <start>106</start>
      <end>107</end>
      <status>modified</status>
      <modifiedWord>:</modifiedWord>
      <trackRevisions>false</trackRevisions>
    </reviewItem>
    <reviewItem>
      <errorID>ac29819d-d489-44f0-a2d3-bfad062cf997</errorID>
      <errorWord>采取的</errorWord>
      <group>L1_Word</group>
      <groupName>字词问题</groupName>
      <ability>L2_Typo</ability>
      <abilityName>字词错误</abilityName>
      <candidateList>
        <item>采取</item>
      </candidateList>
      <explain>〈动〉❶选择施行（某种方针、政策、措施、手段、形式、态度等）：～守势｜～紧急措施。❷取：～指纹。</explain>
      <paraID>6C8DEC97</paraID>
      <start>49</start>
      <end>51</end>
      <status>modified</status>
      <modifiedWord>采取</modifiedWord>
      <trackRevisions>false</trackRevisions>
    </reviewItem>
    <reviewItem>
      <errorID>48595fd4-5e59-495f-bd91-5e7f4ddd58ad</errorID>
      <errorWord>减缓措施</errorWord>
      <group>L1_Knowledge</group>
      <groupName>知识性问题</groupName>
      <ability>L2_Term</ability>
      <abilityName>专业术语</abilityName>
      <candidateList>
        <item>减振措施</item>
      </candidateList>
      <explain/>
      <paraID>6C8DEC97</paraID>
      <start>53</start>
      <end>57</end>
      <status>modified</status>
      <modifiedWord>减振措施</modifiedWord>
      <trackRevisions>false</trackRevisions>
    </reviewItem>
    <reviewItem>
      <errorID>b31bc8b3-900f-46d3-904b-cf52c798f9c1</errorID>
      <errorWord>减震</errorWord>
      <group>L1_Word</group>
      <groupName>字词问题</groupName>
      <ability>L2_Typo</ability>
      <abilityName>字词错误</abilityName>
      <candidateList>
        <item>减振</item>
      </candidateList>
      <explain/>
      <paraID>1BBA5DF6</paraID>
      <start>14</start>
      <end>16</end>
      <status>modified</status>
      <modifiedWord>减振</modifiedWord>
      <trackRevisions>false</trackRevisions>
    </reviewItem>
    <reviewItem>
      <errorID>d92586a0-fa8c-43df-a494-4badc295ee96</errorID>
      <errorWord>(</errorWord>
      <group>L1_Format</group>
      <groupName>格式问题</groupName>
      <ability>L2_HalfPunc</ability>
      <abilityName>全半角检查</abilityName>
      <candidateList>
        <item>（</item>
      </candidateList>
      <explain>文本全半角错误。</explain>
      <paraID>47EE2881</paraID>
      <start>23</start>
      <end>24</end>
      <status>modified</status>
      <modifiedWord>（</modifiedWord>
      <trackRevisions>false</trackRevisions>
    </reviewItem>
    <reviewItem>
      <errorID>0bc7508c-6739-4724-b53b-4840e0abf674</errorID>
      <errorWord>(</errorWord>
      <group>L1_Format</group>
      <groupName>格式问题</groupName>
      <ability>L2_HalfPunc</ability>
      <abilityName>全半角检查</abilityName>
      <candidateList>
        <item>（</item>
      </candidateList>
      <explain>文本全半角错误。</explain>
      <paraID>47EE2881</paraID>
      <start>39</start>
      <end>40</end>
      <status>modified</status>
      <modifiedWord>（</modifiedWord>
      <trackRevisions>false</trackRevisions>
    </reviewItem>
    <reviewItem>
      <errorID>db892a27-affe-46df-8f5d-178c0050281c</errorID>
      <errorWord>其它</errorWord>
      <group>L1_Word</group>
      <groupName>字词问题</groupName>
      <ability>L2_Alias</ability>
      <abilityName>也作/曾用词</abilityName>
      <candidateList>
        <item>其他</item>
      </candidateList>
      <explain>词汇[其它]为不规范表述或旧称，其规范书面表述为[其他]。</explain>
      <paraID> 2DC3953</paraID>
      <start>35</start>
      <end>37</end>
      <status>modified</status>
      <modifiedWord>其他</modifiedWord>
      <trackRevisions>false</trackRevisions>
    </reviewItem>
    <reviewItem>
      <errorID>764a7f82-6e1e-46ab-ba3d-e8ec14bb371a</errorID>
      <errorWord>，</errorWord>
      <group>L1_Format</group>
      <groupName>格式问题</groupName>
      <ability>L2_HalfPunc</ability>
      <abilityName>全半角检查</abilityName>
      <candidateList>
        <item>, </item>
      </candidateList>
      <explain>文本全半角错误。</explain>
      <paraID> 8DFAB51</paraID>
      <start>1</start>
      <end>3</end>
      <status>modified</status>
      <modifiedWord>, </modifiedWord>
      <trackRevisions>false</trackRevisions>
    </reviewItem>
    <reviewItem>
      <errorID>ea2ddad0-f50c-4474-aa5e-df0a18828a1d</errorID>
      <errorWord>，</errorWord>
      <group>L1_Format</group>
      <groupName>格式问题</groupName>
      <ability>L2_HalfPunc</ability>
      <abilityName>全半角检查</abilityName>
      <candidateList>
        <item>, </item>
      </candidateList>
      <explain>文本全半角错误。</explain>
      <paraID>51BB83D6</paraID>
      <start>1</start>
      <end>3</end>
      <status>modified</status>
      <modifiedWord>, </modifiedWord>
      <trackRevisions>false</trackRevisions>
    </reviewItem>
    <reviewItem>
      <errorID>14396388-40fe-44aa-ab5d-2a824f08f366</errorID>
      <errorWord>，</errorWord>
      <group>L1_Format</group>
      <groupName>格式问题</groupName>
      <ability>L2_HalfPunc</ability>
      <abilityName>全半角检查</abilityName>
      <candidateList>
        <item>, </item>
      </candidateList>
      <explain>文本全半角错误。</explain>
      <paraID>4C4358E9</paraID>
      <start>1</start>
      <end>3</end>
      <status>modified</status>
      <modifiedWord>, </modifiedWord>
      <trackRevisions>false</trackRevisions>
    </reviewItem>
    <reviewItem>
      <errorID>7ad900c3-b8b1-442e-ba07-445e7eef71e4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6B2FF3E5</paraID>
      <start>29</start>
      <end>30</end>
      <status>modified</status>
      <modifiedWord>—</modifiedWord>
      <trackRevisions>false</trackRevisions>
    </reviewItem>
    <reviewItem>
      <errorID>28d85c25-99e8-49e3-b206-e8663419d54a</errorID>
      <errorWord>危险废物的</errorWord>
      <group>L1_Word</group>
      <groupName>字词问题</groupName>
      <ability>L2_Typo</ability>
      <abilityName>字词错误</abilityName>
      <candidateList>
        <item>危险废物</item>
      </candidateList>
      <explain/>
      <paraID>59152CE5</paraID>
      <start>54</start>
      <end>58</end>
      <status>modified</status>
      <modifiedWord>危险废物</modifiedWord>
      <trackRevisions>false</trackRevisions>
    </reviewItem>
    <reviewItem>
      <errorID>3c226b74-c165-412e-ae0b-ce0aa1402f5f</errorID>
      <errorWord>多种</errorWord>
      <group>L1_Word</group>
      <groupName>字词问题</groupName>
      <ability>L2_Typo</ability>
      <abilityName>字词错误</abilityName>
      <candidateList>
        <item>多重</item>
      </candidateList>
      <explain/>
      <paraID> 72B5FFF</paraID>
      <start>55</start>
      <end>57</end>
      <status>modified</status>
      <modifiedWord>多重</modifiedWord>
      <trackRevisions>false</trackRevisions>
    </reviewItem>
    <reviewItem>
      <errorID>059a9848-61bd-450b-84fe-de2ec84f93d3</errorID>
      <errorWord>，…，</errorWord>
      <group>L1_Punc</group>
      <groupName>标点问题</groupName>
      <ability>L2_Punc</ability>
      <abilityName>标点符号检查</abilityName>
      <candidateList>
        <item>，</item>
      </candidateList>
      <explain/>
      <paraID>5960A156</paraID>
      <start>8</start>
      <end>9</end>
      <status>modified</status>
      <modifiedWord>，</modifiedWord>
      <trackRevisions>false</trackRevisions>
    </reviewItem>
    <reviewItem>
      <errorID>2be09089-cb9a-49e5-abde-103c4c5858cd</errorID>
      <errorWord>，…，</errorWord>
      <group>L1_Punc</group>
      <groupName>标点问题</groupName>
      <ability>L2_Punc</ability>
      <abilityName>标点符号检查</abilityName>
      <candidateList>
        <item>，</item>
      </candidateList>
      <explain/>
      <paraID> F3061DD</paraID>
      <start>5</start>
      <end>6</end>
      <status>modified</status>
      <modifiedWord>，</modifiedWord>
      <trackRevisions>false</trackRevisions>
    </reviewItem>
    <reviewItem>
      <errorID>0d5333e3-90dd-415e-a9d5-1f16a9d95707</errorID>
      <errorWord>作</errorWord>
      <group>L1_Word</group>
      <groupName>字词问题</groupName>
      <ability>L2_Typo</ability>
      <abilityName>字词错误</abilityName>
      <candidateList>
        <item>做</item>
      </candidateList>
      <explain>存在发音相同字词的误用。</explain>
      <paraID> FCAC855</paraID>
      <start>16</start>
      <end>17</end>
      <status>modified</status>
      <modifiedWord>做</modifiedWord>
      <trackRevisions>false</trackRevisions>
    </reviewItem>
    <reviewItem>
      <errorID>f27e0908-6b8a-4c67-898d-b4ea531587d3</errorID>
      <errorWord>。。</errorWord>
      <group>L1_Punc</group>
      <groupName>标点问题</groupName>
      <ability>L2_Punc</ability>
      <abilityName>标点符号检查</abilityName>
      <candidateList>
        <item>。</item>
      </candidateList>
      <explain/>
      <paraID>3468237B</paraID>
      <start>44</start>
      <end>45</end>
      <status>modified</status>
      <modifiedWord>。</modifiedWord>
      <trackRevisions>false</trackRevisions>
    </reviewItem>
    <reviewItem>
      <errorID>0105677a-4487-45bf-96e9-0fdcf0ad1187</errorID>
      <errorWord>内会</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4CE57A30</paraID>
      <start>42</start>
      <end>43</end>
      <status>modified</status>
      <modifiedWord>内</modifiedWord>
      <trackRevisions>false</trackRevisions>
    </reviewItem>
    <reviewItem>
      <errorID>a7fe92c7-4913-4707-8140-a1733d936083</errorID>
      <errorWord>凌晨6：00</errorWord>
      <group>L1_Knowledge</group>
      <groupName>知识性问题</groupName>
      <ability>L2_Time</ability>
      <abilityName>日期时间</abilityName>
      <candidateList/>
      <explain>时间与前缀不匹配，可能的时间前缀有“早晨、早上、上午、下午、傍晚、晚上”。</explain>
      <paraID>39E49B24</paraID>
      <start>28</start>
      <end>34</end>
      <status>ignored</status>
      <modifiedWord/>
      <trackRevisions>false</trackRevisions>
    </reviewItem>
    <reviewItem>
      <errorID>9f156518-4d8f-4d88-93f9-ac3830137aa3</errorID>
      <errorWord>其它</errorWord>
      <group>L1_Word</group>
      <groupName>字词问题</groupName>
      <ability>L2_Alias</ability>
      <abilityName>也作/曾用词</abilityName>
      <candidateList>
        <item>其他</item>
      </candidateList>
      <explain>词汇[其它]为不规范表述或旧称，其规范书面表述为[其他]。</explain>
      <paraID>6CF7BED2</paraID>
      <start>0</start>
      <end>2</end>
      <status>modified</status>
      <modifiedWord>其他</modifiedWord>
      <trackRevisions>false</trackRevisions>
    </reviewItem>
    <reviewItem>
      <errorID>62cddea7-2c87-4d5d-90ec-d8a1c32c83fc</errorID>
      <errorWord>噪音</errorWord>
      <group>L1_Word</group>
      <groupName>字词问题</groupName>
      <ability>L2_Alias</ability>
      <abilityName>也作/曾用词</abilityName>
      <candidateList>
        <item>噪声</item>
      </candidateList>
      <explain>词汇[噪音]为不规范表述或旧称，其规范书面表述为[噪声]。</explain>
      <paraID>210D9864</paraID>
      <start>11</start>
      <end>13</end>
      <status>modified</status>
      <modifiedWord>噪声</modifiedWord>
      <trackRevisions>false</trackRevisions>
    </reviewItem>
    <reviewItem>
      <errorID>f8751103-a553-40c7-95e8-02107dc2aa9f</errorID>
      <errorWord>，</errorWord>
      <group>L1_Word</group>
      <groupName>字词问题</groupName>
      <ability>L2_Typo</ability>
      <abilityName>字词错误</abilityName>
      <candidateList>
        <item>，在</item>
      </candidateList>
      <explain/>
      <paraID>4287D88C</paraID>
      <start>98</start>
      <end>100</end>
      <status>modified</status>
      <modifiedWord>，在</modifiedWord>
      <trackRevisions>false</trackRevisions>
    </reviewItem>
    <reviewItem>
      <errorID>1dbb333f-66ef-47ab-9196-d00fa800390e</errorID>
      <errorWord>，</errorWord>
      <group>L1_Word</group>
      <groupName>字词问题</groupName>
      <ability>L2_Typo</ability>
      <abilityName>字词错误</abilityName>
      <candidateList>
        <item>，在</item>
      </candidateList>
      <explain/>
      <paraID>4287D88C</paraID>
      <start>108</start>
      <end>110</end>
      <status>modified</status>
      <modifiedWord>，在</modifiedWord>
      <trackRevisions>false</trackRevisions>
    </reviewItem>
  </reviewItems>
  <config/>
</contractReview>
</file>

<file path=customXml/itemProps1.xml><?xml version="1.0" encoding="utf-8"?>
<ds:datastoreItem xmlns:ds="http://schemas.openxmlformats.org/officeDocument/2006/customXml" ds:itemID="{a2a2158f-28dd-49aa-a01d-a267c1ee06f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1045</Words>
  <Characters>1149</Characters>
  <Lines>414</Lines>
  <Paragraphs>116</Paragraphs>
  <TotalTime>41</TotalTime>
  <ScaleCrop>false</ScaleCrop>
  <LinksUpToDate>false</LinksUpToDate>
  <CharactersWithSpaces>1149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2023-09-15T04:16:00Z</dcterms:created>
  <dc:creator>lhj</dc:creator>
  <cp:lastModifiedBy>Just_John</cp:lastModifiedBy>
  <cp:lastPrinted>2023-09-15T18:42:00Z</cp:lastPrinted>
  <dcterms:modified xsi:type="dcterms:W3CDTF">2026-03-23T08:23:07Z</dcterms:modified>
  <dc:title>附件2</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CEB8FF10ED17405386069EC5E08DD94D_13</vt:lpwstr>
  </property>
  <property fmtid="{D5CDD505-2E9C-101B-9397-08002B2CF9AE}" pid="4" name="KSOTemplateDocerSaveRecord">
    <vt:lpwstr>eyJoZGlkIjoiNzRkNWRlOGI0N2I4MjBiMTMyZjRkMTI1NThiNWI4NTgiLCJ1c2VySWQiOiIzOTUyODkyNjUifQ==</vt:lpwstr>
  </property>
</Properties>
</file>