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3B84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第七师137团全域旅游基础设施建设</w:t>
      </w:r>
    </w:p>
    <w:p w14:paraId="0FF485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30"/>
          <w:szCs w:val="3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（老二连红色文化）项目实施方案</w:t>
      </w:r>
    </w:p>
    <w:p w14:paraId="4F2C6E99"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一、项目名称</w:t>
      </w:r>
    </w:p>
    <w:p w14:paraId="417C8D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  第七师137团全域旅游基础设施建设（老二连红色文化）项目</w:t>
      </w:r>
    </w:p>
    <w:p w14:paraId="4241909E"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二、项目建设地点</w:t>
      </w:r>
    </w:p>
    <w:p w14:paraId="266548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第七师胡杨河市一三七团七连</w:t>
      </w:r>
    </w:p>
    <w:p w14:paraId="25388459"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三、项目库编号</w:t>
      </w:r>
    </w:p>
    <w:p w14:paraId="6657ACA2"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5700001625850877</w:t>
      </w:r>
    </w:p>
    <w:p w14:paraId="61845981"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四、建设性质</w:t>
      </w:r>
    </w:p>
    <w:p w14:paraId="6429FDB1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Chars="200"/>
        <w:textAlignment w:val="auto"/>
        <w:rPr>
          <w:rFonts w:hint="eastAsia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cs="仿宋_GB2312"/>
          <w:b w:val="0"/>
          <w:bCs w:val="0"/>
          <w:sz w:val="32"/>
          <w:szCs w:val="32"/>
          <w:lang w:val="en-US" w:eastAsia="zh-CN"/>
        </w:rPr>
        <w:t>新建项目</w:t>
      </w:r>
    </w:p>
    <w:p w14:paraId="68041666"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五、项目类型</w:t>
      </w:r>
    </w:p>
    <w:p w14:paraId="4B25AC7A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Chars="200"/>
        <w:textAlignment w:val="auto"/>
        <w:rPr>
          <w:rFonts w:hint="eastAsia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cs="仿宋_GB2312"/>
          <w:b w:val="0"/>
          <w:bCs w:val="0"/>
          <w:sz w:val="32"/>
          <w:szCs w:val="32"/>
          <w:lang w:val="en-US" w:eastAsia="zh-CN"/>
        </w:rPr>
        <w:t>乡村建设行动</w:t>
      </w:r>
    </w:p>
    <w:p w14:paraId="50CAA98A"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六、项目投资规模</w:t>
      </w:r>
    </w:p>
    <w:p w14:paraId="03CE73D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项目总估算投资</w:t>
      </w:r>
      <w:r>
        <w:rPr>
          <w:rFonts w:hint="eastAsia" w:cs="仿宋_GB2312"/>
          <w:b w:val="0"/>
          <w:bCs w:val="0"/>
          <w:sz w:val="32"/>
          <w:szCs w:val="32"/>
          <w:lang w:val="en-US" w:eastAsia="zh-CN"/>
        </w:rPr>
        <w:t>450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万元，其中工程费</w:t>
      </w:r>
      <w:r>
        <w:rPr>
          <w:rFonts w:hint="eastAsia" w:cs="仿宋_GB2312"/>
          <w:b w:val="0"/>
          <w:bCs w:val="0"/>
          <w:sz w:val="32"/>
          <w:szCs w:val="32"/>
          <w:lang w:val="en-US" w:eastAsia="zh-CN"/>
        </w:rPr>
        <w:t xml:space="preserve">用388.75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万元，工程建设其他费</w:t>
      </w:r>
      <w:r>
        <w:rPr>
          <w:rFonts w:hint="eastAsia" w:cs="仿宋_GB2312"/>
          <w:b w:val="0"/>
          <w:bCs w:val="0"/>
          <w:sz w:val="32"/>
          <w:szCs w:val="32"/>
          <w:lang w:val="en-US" w:eastAsia="zh-CN"/>
        </w:rPr>
        <w:t>42.49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万元，预备费</w:t>
      </w:r>
      <w:r>
        <w:rPr>
          <w:rFonts w:hint="eastAsia" w:cs="仿宋_GB2312"/>
          <w:b w:val="0"/>
          <w:bCs w:val="0"/>
          <w:sz w:val="32"/>
          <w:szCs w:val="32"/>
          <w:lang w:val="en-US" w:eastAsia="zh-CN"/>
        </w:rPr>
        <w:t>18.76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万元</w:t>
      </w:r>
      <w:r>
        <w:rPr>
          <w:rFonts w:hint="eastAsia" w:cs="仿宋_GB2312"/>
          <w:b w:val="0"/>
          <w:bCs w:val="0"/>
          <w:sz w:val="32"/>
          <w:szCs w:val="32"/>
          <w:lang w:val="en-US" w:eastAsia="zh-CN"/>
        </w:rPr>
        <w:t>。资金全部来源于中央财政衔接资金。</w:t>
      </w:r>
    </w:p>
    <w:p w14:paraId="28E88E9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604520</wp:posOffset>
            </wp:positionH>
            <wp:positionV relativeFrom="paragraph">
              <wp:posOffset>451485</wp:posOffset>
            </wp:positionV>
            <wp:extent cx="4309745" cy="2494915"/>
            <wp:effectExtent l="0" t="0" r="24130" b="22860"/>
            <wp:wrapTopAndBottom/>
            <wp:docPr id="4" name="图片 4" descr="aaf63e749bbded50e61c8aff18c6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aaf63e749bbded50e61c8aff18c6264"/>
                    <pic:cNvPicPr>
                      <a:picLocks noChangeAspect="1"/>
                    </pic:cNvPicPr>
                  </pic:nvPicPr>
                  <pic:blipFill>
                    <a:blip r:embed="rId6"/>
                    <a:srcRect l="3009" t="15854" r="2615" b="3510"/>
                    <a:stretch>
                      <a:fillRect/>
                    </a:stretch>
                  </pic:blipFill>
                  <pic:spPr>
                    <a:xfrm>
                      <a:off x="0" y="0"/>
                      <a:ext cx="4309745" cy="2494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Times New Roman"/>
          <w:kern w:val="2"/>
          <w:sz w:val="32"/>
          <w:szCs w:val="24"/>
          <w:lang w:val="en-US" w:eastAsia="zh-CN" w:bidi="ar-SA"/>
        </w:rPr>
        <w:t>七、</w:t>
      </w:r>
      <w:r>
        <w:rPr>
          <w:rFonts w:hint="eastAsia"/>
          <w:lang w:val="en-US" w:eastAsia="zh-CN"/>
        </w:rPr>
        <w:t>项目投入概算</w:t>
      </w:r>
    </w:p>
    <w:p w14:paraId="1C3BF0D8"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八、项目建设期限</w:t>
      </w:r>
    </w:p>
    <w:p w14:paraId="04BBFB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2025年4月至2025年12月</w:t>
      </w:r>
    </w:p>
    <w:p w14:paraId="56A80DDD"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九、项目单位概况</w:t>
      </w:r>
    </w:p>
    <w:p w14:paraId="1D8DFF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jc w:val="left"/>
        <w:textAlignment w:val="auto"/>
        <w:rPr>
          <w:rFonts w:hint="eastAsia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法人单位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：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第七师一三七团</w:t>
      </w:r>
      <w:r>
        <w:rPr>
          <w:rFonts w:hint="eastAsia" w:cs="仿宋_GB2312"/>
          <w:b w:val="0"/>
          <w:bCs w:val="0"/>
          <w:sz w:val="32"/>
          <w:szCs w:val="32"/>
          <w:lang w:val="en-US" w:eastAsia="zh-CN"/>
        </w:rPr>
        <w:t>文体广电旅游中心</w:t>
      </w:r>
    </w:p>
    <w:p w14:paraId="40FE5C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  <w:t>地址：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第七师一三七团 </w:t>
      </w:r>
    </w:p>
    <w:p w14:paraId="09F42C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主要职责：</w:t>
      </w:r>
      <w:r>
        <w:rPr>
          <w:rFonts w:hint="eastAsia" w:cs="仿宋_GB2312"/>
          <w:b w:val="0"/>
          <w:bCs w:val="0"/>
          <w:sz w:val="32"/>
          <w:szCs w:val="32"/>
          <w:lang w:val="en-US" w:eastAsia="zh-CN"/>
        </w:rPr>
        <w:t>负责广播电视新闻宣传、群众性文体活动的组织以及场馆的管理等工作；负责文物保护及文化、旅游产业发展等工作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。</w:t>
      </w:r>
    </w:p>
    <w:p w14:paraId="1A3A2269"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textAlignment w:val="auto"/>
        <w:rPr>
          <w:lang w:val="en-US" w:eastAsia="zh-CN"/>
        </w:rPr>
      </w:pPr>
      <w:r>
        <w:rPr>
          <w:rFonts w:hint="eastAsia"/>
          <w:lang w:val="en-US" w:eastAsia="zh-CN"/>
        </w:rPr>
        <w:t>十、</w:t>
      </w:r>
      <w:r>
        <w:rPr>
          <w:lang w:val="en-US" w:eastAsia="zh-CN"/>
        </w:rPr>
        <w:t xml:space="preserve">建设规模及内容 </w:t>
      </w:r>
    </w:p>
    <w:p w14:paraId="4244A7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  <w:r>
        <w:rPr>
          <w:rFonts w:hint="eastAsia"/>
        </w:rPr>
        <w:t>本工程建设主要集中在七连</w:t>
      </w:r>
      <w:r>
        <w:rPr>
          <w:rFonts w:hint="eastAsia"/>
          <w:lang w:val="en-US" w:eastAsia="zh-CN"/>
        </w:rPr>
        <w:t>一</w:t>
      </w:r>
      <w:r>
        <w:rPr>
          <w:rFonts w:hint="eastAsia"/>
        </w:rPr>
        <w:t>个项目区，工程建设内容主要包括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新建停车场900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.00㎡，公共厕所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0.00㎡，道路350.00m，配套供排水、线缆、照明等附属设施建设及零星工程。</w:t>
      </w:r>
    </w:p>
    <w:p w14:paraId="4CF003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  <w:r>
        <w:rPr>
          <w:rFonts w:hint="eastAsia"/>
          <w:b/>
          <w:bCs/>
          <w:lang w:eastAsia="zh-CN"/>
        </w:rPr>
        <w:t>（</w:t>
      </w:r>
      <w:r>
        <w:rPr>
          <w:rFonts w:hint="eastAsia"/>
          <w:b/>
          <w:bCs/>
        </w:rPr>
        <w:t>1）建筑工程</w:t>
      </w:r>
    </w:p>
    <w:p w14:paraId="5D9341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200" w:firstLine="0" w:firstLineChars="0"/>
        <w:textAlignment w:val="auto"/>
        <w:rPr>
          <w:rFonts w:hint="eastAsia"/>
        </w:rPr>
      </w:pPr>
      <w:r>
        <w:rPr>
          <w:rFonts w:hint="eastAsia"/>
        </w:rPr>
        <w:t>七连</w:t>
      </w:r>
      <w:r>
        <w:rPr>
          <w:rFonts w:hint="eastAsia"/>
          <w:lang w:val="en-US" w:eastAsia="zh-CN"/>
        </w:rPr>
        <w:t>项目</w:t>
      </w:r>
      <w:r>
        <w:rPr>
          <w:rFonts w:hint="eastAsia"/>
        </w:rPr>
        <w:t>区内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新建停车场900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.00㎡，公共厕所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0.00㎡</w:t>
      </w:r>
      <w:r>
        <w:rPr>
          <w:rFonts w:hint="eastAsia" w:cs="仿宋_GB2312"/>
          <w:color w:val="auto"/>
          <w:sz w:val="32"/>
          <w:szCs w:val="32"/>
          <w:lang w:eastAsia="zh-CN"/>
        </w:rPr>
        <w:t>。</w:t>
      </w:r>
      <w:r>
        <w:rPr>
          <w:rFonts w:hint="eastAsia"/>
          <w:b/>
          <w:bCs/>
          <w:lang w:eastAsia="zh-CN"/>
        </w:rPr>
        <w:t>（</w:t>
      </w:r>
      <w:r>
        <w:rPr>
          <w:rFonts w:hint="eastAsia"/>
          <w:b/>
          <w:bCs/>
        </w:rPr>
        <w:t>2）道路工程</w:t>
      </w:r>
    </w:p>
    <w:p w14:paraId="26D39D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eastAsia="仿宋_GB2312"/>
          <w:lang w:eastAsia="zh-CN"/>
        </w:rPr>
      </w:pPr>
      <w:r>
        <w:rPr>
          <w:rFonts w:hint="eastAsia"/>
          <w:lang w:val="en-US" w:eastAsia="zh-CN"/>
        </w:rPr>
        <w:t>七</w:t>
      </w:r>
      <w:r>
        <w:rPr>
          <w:rFonts w:hint="eastAsia"/>
        </w:rPr>
        <w:t>连项目区建设沥青混凝土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道路</w:t>
      </w:r>
      <w:r>
        <w:rPr>
          <w:rFonts w:hint="eastAsia" w:cs="仿宋_GB2312"/>
          <w:color w:val="auto"/>
          <w:sz w:val="32"/>
          <w:szCs w:val="32"/>
          <w:lang w:val="en-US" w:eastAsia="zh-CN"/>
        </w:rPr>
        <w:t>3条，采用单向2车道，道路宽度6.0m，道路总长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350.00m</w:t>
      </w:r>
      <w:r>
        <w:rPr>
          <w:rFonts w:hint="eastAsia"/>
          <w:lang w:eastAsia="zh-CN"/>
        </w:rPr>
        <w:t>。</w:t>
      </w:r>
    </w:p>
    <w:p w14:paraId="5564764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default" w:eastAsia="仿宋_GB2312"/>
          <w:b/>
          <w:bCs/>
          <w:lang w:val="en-US" w:eastAsia="zh-CN"/>
        </w:rPr>
      </w:pPr>
      <w:r>
        <w:rPr>
          <w:rFonts w:hint="eastAsia"/>
          <w:b/>
          <w:bCs/>
          <w:lang w:eastAsia="zh-CN"/>
        </w:rPr>
        <w:t>（</w:t>
      </w:r>
      <w:r>
        <w:rPr>
          <w:rFonts w:hint="eastAsia"/>
          <w:b/>
          <w:bCs/>
        </w:rPr>
        <w:t>3）配套供水、</w:t>
      </w:r>
      <w:r>
        <w:rPr>
          <w:rFonts w:hint="eastAsia"/>
          <w:b/>
          <w:bCs/>
          <w:lang w:val="en-US" w:eastAsia="zh-CN"/>
        </w:rPr>
        <w:t>线缆、照明</w:t>
      </w:r>
    </w:p>
    <w:p w14:paraId="738DFBA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eastAsia" w:eastAsia="仿宋_GB2312"/>
          <w:lang w:eastAsia="zh-CN"/>
        </w:rPr>
      </w:pPr>
      <w:r>
        <w:rPr>
          <w:rFonts w:hint="eastAsia"/>
        </w:rPr>
        <w:t>项目区为满足后期</w:t>
      </w:r>
      <w:r>
        <w:rPr>
          <w:rFonts w:hint="eastAsia"/>
          <w:lang w:val="en-US" w:eastAsia="zh-CN"/>
        </w:rPr>
        <w:t>运营</w:t>
      </w:r>
      <w:r>
        <w:rPr>
          <w:rFonts w:hint="eastAsia"/>
        </w:rPr>
        <w:t>需求，配套建设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供排水、线缆、照明</w:t>
      </w:r>
      <w:r>
        <w:rPr>
          <w:rFonts w:hint="eastAsia" w:cs="仿宋_GB2312"/>
          <w:color w:val="auto"/>
          <w:sz w:val="32"/>
          <w:szCs w:val="32"/>
          <w:lang w:val="en-US" w:eastAsia="zh-CN"/>
        </w:rPr>
        <w:t>等附属设施</w:t>
      </w:r>
      <w:r>
        <w:rPr>
          <w:rFonts w:hint="eastAsia" w:cs="仿宋_GB2312"/>
          <w:color w:val="auto"/>
          <w:sz w:val="32"/>
          <w:szCs w:val="32"/>
          <w:lang w:eastAsia="zh-CN"/>
        </w:rPr>
        <w:t>。</w:t>
      </w:r>
    </w:p>
    <w:p w14:paraId="3B5C60D9"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十一、项目预期效益分析</w:t>
      </w:r>
    </w:p>
    <w:p w14:paraId="24841321">
      <w:pPr>
        <w:pStyle w:val="5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（一）经济效益</w:t>
      </w:r>
    </w:p>
    <w:p w14:paraId="323FF7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项目建设实施期间可提供30个就业岗位,人均年收入增加15000元;</w:t>
      </w:r>
      <w:r>
        <w:rPr>
          <w:rFonts w:hint="eastAsia" w:cs="仿宋_GB2312"/>
          <w:b w:val="0"/>
          <w:bCs w:val="0"/>
          <w:sz w:val="32"/>
          <w:szCs w:val="32"/>
          <w:lang w:val="en-US" w:eastAsia="zh-CN"/>
        </w:rPr>
        <w:t>项目建成后，可带动周边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农业、旅游、餐饮、住宿、交通及相关行业的发展</w:t>
      </w:r>
      <w:r>
        <w:rPr>
          <w:rFonts w:hint="eastAsia" w:cs="仿宋_GB2312"/>
          <w:b w:val="0"/>
          <w:bCs w:val="0"/>
          <w:sz w:val="32"/>
          <w:szCs w:val="32"/>
          <w:lang w:val="en-US" w:eastAsia="zh-CN"/>
        </w:rPr>
        <w:t>，并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提供</w:t>
      </w:r>
      <w:r>
        <w:rPr>
          <w:rFonts w:hint="eastAsia" w:cs="仿宋_GB2312"/>
          <w:b w:val="0"/>
          <w:bCs w:val="0"/>
          <w:sz w:val="32"/>
          <w:szCs w:val="32"/>
          <w:lang w:val="en-US" w:eastAsia="zh-CN"/>
        </w:rPr>
        <w:t>旅游业相关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就业岗位</w:t>
      </w:r>
      <w:r>
        <w:rPr>
          <w:rFonts w:hint="eastAsia" w:cs="仿宋_GB2312"/>
          <w:b w:val="0"/>
          <w:bCs w:val="0"/>
          <w:sz w:val="32"/>
          <w:szCs w:val="32"/>
          <w:lang w:val="en-US" w:eastAsia="zh-CN"/>
        </w:rPr>
        <w:t>5个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，人均年收入增加30000元以上。</w:t>
      </w:r>
    </w:p>
    <w:p w14:paraId="66DE9E2D">
      <w:pPr>
        <w:pStyle w:val="5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（二）社会效益</w:t>
      </w:r>
    </w:p>
    <w:p w14:paraId="1754EA75">
      <w:pPr>
        <w:pStyle w:val="5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项目建成后将完善连队内的道路、停车等设施条件，提升第七师137团连队内的配套设施服务能力，对增强第七师137团红色旅游事业的综合实力、带动关产业的发展，助力乡村振兴等具有推动作用。</w:t>
      </w:r>
    </w:p>
    <w:p w14:paraId="53233CF1">
      <w:pPr>
        <w:pStyle w:val="5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（三）生态效益</w:t>
      </w:r>
    </w:p>
    <w:p w14:paraId="4A1504CC"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项目建设坚持绿色、环保、节地、节源等原则，对维持团场面貌具有重要意义。</w:t>
      </w:r>
    </w:p>
    <w:p w14:paraId="1CDF051A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0"/>
        <w:textAlignment w:val="auto"/>
        <w:rPr>
          <w:rFonts w:hint="default"/>
          <w:lang w:val="en-US" w:eastAsia="zh-CN"/>
        </w:rPr>
      </w:pPr>
      <w:r>
        <w:rPr>
          <w:rFonts w:hint="eastAsia" w:ascii="黑体" w:hAnsi="黑体" w:eastAsia="黑体" w:cs="Times New Roman"/>
          <w:kern w:val="2"/>
          <w:sz w:val="32"/>
          <w:szCs w:val="24"/>
          <w:lang w:val="en-US" w:eastAsia="zh-CN" w:bidi="ar-SA"/>
        </w:rPr>
        <w:t>十二、绩效目标及利益联结机制</w:t>
      </w:r>
    </w:p>
    <w:p w14:paraId="7CFCF93B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default" w:ascii="楷体_GB2312" w:hAnsi="楷体_GB2312" w:eastAsia="楷体_GB2312" w:cs="楷体_GB2312"/>
          <w:b/>
          <w:kern w:val="2"/>
          <w:sz w:val="32"/>
          <w:szCs w:val="24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kern w:val="2"/>
          <w:sz w:val="32"/>
          <w:szCs w:val="24"/>
          <w:lang w:val="en-US" w:eastAsia="zh-CN" w:bidi="ar-SA"/>
        </w:rPr>
        <w:t>（一）绩效目标</w:t>
      </w:r>
    </w:p>
    <w:p w14:paraId="6E0B0168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>项目完成的建设任务</w:t>
      </w:r>
      <w:r>
        <w:rPr>
          <w:rFonts w:hint="eastAsia" w:cs="仿宋_GB2312"/>
          <w:kern w:val="2"/>
          <w:sz w:val="32"/>
          <w:szCs w:val="24"/>
          <w:lang w:val="en-US" w:eastAsia="zh-CN" w:bidi="ar-SA"/>
        </w:rPr>
        <w:t>达</w:t>
      </w:r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>100%，资金使用率达100%，完善第七师137团连队内道路、停车场等基础设施条件，完善第七师137团老二连红色文化旧址的基础设施条件，促进第七师137团连队的旅游、设施农业等产业的发展。</w:t>
      </w:r>
    </w:p>
    <w:p w14:paraId="4167733D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>通过本项目建设完善第七师一三七团老二连的配套设施条件，完善连队道路基础设施，进一步提升第七师137团7连(老二连)红色旅游的综合能力，提高第七师137团的服务水平，对弘扬、传承兵团精神，激励后人凝聚爱国情怀、铭记历史、缅怀先辈、开拓进取、铸牢民族中华民族力量共同体意识具有重要意义，同时带动区域设施农业、餐饮等行业的发展，实现乡村振兴的愿景。</w:t>
      </w:r>
    </w:p>
    <w:p w14:paraId="3A214977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eastAsia" w:ascii="楷体_GB2312" w:hAnsi="楷体_GB2312" w:eastAsia="楷体_GB2312" w:cs="楷体_GB2312"/>
          <w:b/>
          <w:kern w:val="2"/>
          <w:sz w:val="32"/>
          <w:szCs w:val="24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kern w:val="2"/>
          <w:sz w:val="32"/>
          <w:szCs w:val="24"/>
          <w:lang w:val="en-US" w:eastAsia="zh-CN" w:bidi="ar-SA"/>
        </w:rPr>
        <w:t>（二）利益联结机制</w:t>
      </w:r>
    </w:p>
    <w:p w14:paraId="2DFAE932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default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项目通过多种利益联结机制，让各方共享发展红利。团场统筹规划，企业投资运营，以公平分配、监督保障为依托，实现旅游发展、团场增效、居民增收的共赢。</w:t>
      </w:r>
    </w:p>
    <w:p w14:paraId="37C62FAB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十三、项目后期运行管理</w:t>
      </w:r>
    </w:p>
    <w:p w14:paraId="75B857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jc w:val="left"/>
        <w:textAlignment w:val="auto"/>
        <w:rPr>
          <w:rFonts w:hint="eastAsia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项目建成后由</w:t>
      </w:r>
      <w:r>
        <w:rPr>
          <w:rFonts w:hint="eastAsia" w:cs="仿宋_GB2312"/>
          <w:b w:val="0"/>
          <w:bCs w:val="0"/>
          <w:sz w:val="32"/>
          <w:szCs w:val="32"/>
          <w:lang w:val="en-US" w:eastAsia="zh-CN"/>
        </w:rPr>
        <w:t>一三七团进行组织管理，后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期或与第三方运营单位合作运营</w:t>
      </w:r>
      <w:r>
        <w:rPr>
          <w:rFonts w:hint="eastAsia" w:cs="仿宋_GB2312"/>
          <w:b w:val="0"/>
          <w:bCs w:val="0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运营期间停车场</w:t>
      </w:r>
      <w:r>
        <w:rPr>
          <w:rFonts w:hint="eastAsia" w:cs="仿宋_GB2312"/>
          <w:b w:val="0"/>
          <w:bCs w:val="0"/>
          <w:sz w:val="32"/>
          <w:szCs w:val="32"/>
          <w:lang w:val="en-US" w:eastAsia="zh-CN"/>
        </w:rPr>
        <w:t>及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内部</w:t>
      </w:r>
      <w:r>
        <w:rPr>
          <w:rFonts w:hint="eastAsia" w:cs="仿宋_GB2312"/>
          <w:b w:val="0"/>
          <w:bCs w:val="0"/>
          <w:sz w:val="32"/>
          <w:szCs w:val="32"/>
          <w:lang w:val="en-US" w:eastAsia="zh-CN"/>
        </w:rPr>
        <w:t>充电桩、箱变等基础设施均作为建设单位的固定资产，期间将对第三方运营单位进行环境、运营安全等方面的监管。</w:t>
      </w:r>
    </w:p>
    <w:p w14:paraId="6424B807">
      <w:pPr>
        <w:pStyle w:val="9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十四、赋予“三个意义”要求情况</w:t>
      </w:r>
    </w:p>
    <w:p w14:paraId="24AA4F06">
      <w:pPr>
        <w:pStyle w:val="9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一是可以通过宣传中华民族共同体的历史渊源、发展脉络以及各民族团结奋斗的典型事迹等内容，使基础设施成为传播中华民族共同体意识的宣传阵地，增进来往游客对中华民族共同体的认知和理解。</w:t>
      </w:r>
    </w:p>
    <w:p w14:paraId="36BDBC96">
      <w:pPr>
        <w:pStyle w:val="9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二是可以展示边境团场各族群众团结一心、共同守护边疆的生动画面和感人故事，彰显民族团结在维护国家统一、反对分裂中的强大力量，引导游客认识到只有各民族团结一心，才能筑牢国家统一的坚固防线。</w:t>
      </w:r>
    </w:p>
    <w:p w14:paraId="24B9212C">
      <w:pPr>
        <w:pStyle w:val="9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三是完善的旅游配套基础设施能够吸引更多游客前来边境团场旅游，带动当地餐饮、住宿、购物等相关产业的发展，增加就业岗位和居民收入，改善当地民生。同时，通过发展旅游产业，促进边境团场与外界的交流与合作。</w:t>
      </w:r>
    </w:p>
    <w:p w14:paraId="1136C8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4888ED76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616B2EE1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4B030A0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08" w:firstLineChars="1284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一三七团</w:t>
      </w:r>
      <w:r>
        <w:rPr>
          <w:rFonts w:hint="eastAsia" w:cs="仿宋_GB2312"/>
          <w:b w:val="0"/>
          <w:bCs w:val="0"/>
          <w:sz w:val="32"/>
          <w:szCs w:val="32"/>
          <w:lang w:val="en-US" w:eastAsia="zh-CN"/>
        </w:rPr>
        <w:t>文体广电旅游中心</w:t>
      </w:r>
    </w:p>
    <w:p w14:paraId="2F9CCFC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          </w:t>
      </w:r>
      <w:r>
        <w:rPr>
          <w:rFonts w:hint="eastAsia" w:cs="仿宋_GB2312"/>
          <w:b w:val="0"/>
          <w:bCs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202</w:t>
      </w:r>
      <w:r>
        <w:rPr>
          <w:rFonts w:hint="eastAsia" w:cs="仿宋_GB2312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年</w:t>
      </w:r>
      <w:r>
        <w:rPr>
          <w:rFonts w:hint="eastAsia" w:cs="仿宋_GB2312"/>
          <w:b w:val="0"/>
          <w:bCs w:val="0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月</w:t>
      </w:r>
      <w:r>
        <w:rPr>
          <w:rFonts w:hint="eastAsia" w:cs="仿宋_GB2312"/>
          <w:b w:val="0"/>
          <w:bCs w:val="0"/>
          <w:sz w:val="32"/>
          <w:szCs w:val="32"/>
          <w:lang w:val="en-US" w:eastAsia="zh-CN"/>
        </w:rPr>
        <w:t>20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日</w:t>
      </w:r>
    </w:p>
    <w:p w14:paraId="43606B16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</w:pPr>
    </w:p>
    <w:sectPr>
      <w:pgSz w:w="11906" w:h="16838"/>
      <w:pgMar w:top="2098" w:right="1474" w:bottom="1984" w:left="158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3NGQ4MWExYmU4ZTZkNDIxZjlkYzVjYzNmMzJhZmYifQ=="/>
  </w:docVars>
  <w:rsids>
    <w:rsidRoot w:val="15F92A04"/>
    <w:rsid w:val="01EB7C04"/>
    <w:rsid w:val="0217589A"/>
    <w:rsid w:val="038D70FF"/>
    <w:rsid w:val="0BA0057E"/>
    <w:rsid w:val="0E396E8C"/>
    <w:rsid w:val="105D771F"/>
    <w:rsid w:val="15F92A04"/>
    <w:rsid w:val="181D57D3"/>
    <w:rsid w:val="1B592D6B"/>
    <w:rsid w:val="1F520AC4"/>
    <w:rsid w:val="24462BAA"/>
    <w:rsid w:val="25074665"/>
    <w:rsid w:val="260F5480"/>
    <w:rsid w:val="26F64328"/>
    <w:rsid w:val="2A7472D8"/>
    <w:rsid w:val="2B275DB5"/>
    <w:rsid w:val="30D91DED"/>
    <w:rsid w:val="31141BBD"/>
    <w:rsid w:val="3277235B"/>
    <w:rsid w:val="35BF0085"/>
    <w:rsid w:val="36927981"/>
    <w:rsid w:val="39AC1F4F"/>
    <w:rsid w:val="3CDF03E2"/>
    <w:rsid w:val="3EB91970"/>
    <w:rsid w:val="402937DB"/>
    <w:rsid w:val="46801892"/>
    <w:rsid w:val="46A86A76"/>
    <w:rsid w:val="46D36826"/>
    <w:rsid w:val="48205BDE"/>
    <w:rsid w:val="48492577"/>
    <w:rsid w:val="49093D97"/>
    <w:rsid w:val="492F0101"/>
    <w:rsid w:val="4F527513"/>
    <w:rsid w:val="50E64855"/>
    <w:rsid w:val="5305102B"/>
    <w:rsid w:val="580E6D70"/>
    <w:rsid w:val="58B8581B"/>
    <w:rsid w:val="596328C1"/>
    <w:rsid w:val="5C165F42"/>
    <w:rsid w:val="671D4289"/>
    <w:rsid w:val="677003D1"/>
    <w:rsid w:val="69554349"/>
    <w:rsid w:val="6C480102"/>
    <w:rsid w:val="6D480896"/>
    <w:rsid w:val="6E002B1B"/>
    <w:rsid w:val="705C7E8C"/>
    <w:rsid w:val="72227D09"/>
    <w:rsid w:val="75BA2F37"/>
    <w:rsid w:val="76483D9D"/>
    <w:rsid w:val="79A203E9"/>
    <w:rsid w:val="DFDB2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883" w:firstLineChars="200"/>
      <w:jc w:val="both"/>
    </w:pPr>
    <w:rPr>
      <w:rFonts w:ascii="仿宋_GB2312" w:hAnsi="仿宋_GB2312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0" w:after="0" w:afterAutospacing="0"/>
      <w:ind w:firstLine="0" w:firstLineChars="0"/>
      <w:jc w:val="center"/>
      <w:outlineLvl w:val="0"/>
    </w:pPr>
    <w:rPr>
      <w:rFonts w:ascii="方正小标宋简体" w:hAnsi="方正小标宋简体" w:eastAsia="方正小标宋简体" w:cs="宋体"/>
      <w:bCs/>
      <w:kern w:val="44"/>
      <w:sz w:val="44"/>
      <w:szCs w:val="48"/>
      <w:lang w:bidi="ar"/>
    </w:rPr>
  </w:style>
  <w:style w:type="paragraph" w:styleId="4">
    <w:name w:val="heading 2"/>
    <w:basedOn w:val="1"/>
    <w:next w:val="1"/>
    <w:autoRedefine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outlineLvl w:val="1"/>
    </w:pPr>
    <w:rPr>
      <w:rFonts w:ascii="黑体" w:hAnsi="黑体" w:eastAsia="黑体"/>
      <w:sz w:val="32"/>
    </w:rPr>
  </w:style>
  <w:style w:type="paragraph" w:styleId="5">
    <w:name w:val="heading 3"/>
    <w:basedOn w:val="1"/>
    <w:next w:val="1"/>
    <w:unhideWhenUsed/>
    <w:qFormat/>
    <w:uiPriority w:val="0"/>
    <w:pPr>
      <w:keepNext/>
      <w:keepLines/>
      <w:spacing w:line="560" w:lineRule="exact"/>
      <w:ind w:firstLine="883" w:firstLineChars="200"/>
      <w:outlineLvl w:val="2"/>
    </w:pPr>
    <w:rPr>
      <w:rFonts w:ascii="楷体_GB2312" w:hAnsi="楷体_GB2312" w:eastAsia="楷体_GB2312" w:cs="楷体_GB2312"/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autoRedefine/>
    <w:qFormat/>
    <w:uiPriority w:val="0"/>
    <w:pPr>
      <w:spacing w:after="120" w:line="560" w:lineRule="exact"/>
      <w:ind w:left="0" w:leftChars="0"/>
    </w:pPr>
    <w:rPr>
      <w:rFonts w:ascii="仿宋_GB2312" w:hAnsi="仿宋_GB2312" w:eastAsia="仿宋_GB2312" w:cs="仿宋_GB2312"/>
      <w:szCs w:val="32"/>
    </w:rPr>
  </w:style>
  <w:style w:type="paragraph" w:customStyle="1" w:styleId="8">
    <w:name w:val="UserStyle_0"/>
    <w:basedOn w:val="1"/>
    <w:autoRedefine/>
    <w:qFormat/>
    <w:uiPriority w:val="0"/>
    <w:pPr>
      <w:tabs>
        <w:tab w:val="left" w:pos="5160"/>
      </w:tabs>
      <w:snapToGrid w:val="0"/>
      <w:jc w:val="center"/>
      <w:textAlignment w:val="baseline"/>
    </w:pPr>
    <w:rPr>
      <w:rFonts w:ascii="宋体" w:hAnsi="宋体" w:eastAsia="黑体"/>
      <w:kern w:val="2"/>
      <w:sz w:val="24"/>
      <w:lang w:val="en-US" w:eastAsia="zh-CN" w:bidi="ar-SA"/>
    </w:rPr>
  </w:style>
  <w:style w:type="paragraph" w:customStyle="1" w:styleId="9">
    <w:name w:val="列表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1509</Words>
  <Characters>1617</Characters>
  <Lines>0</Lines>
  <Paragraphs>0</Paragraphs>
  <TotalTime>3</TotalTime>
  <ScaleCrop>false</ScaleCrop>
  <LinksUpToDate>false</LinksUpToDate>
  <CharactersWithSpaces>1650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2023-11-13T20:12:00Z</dcterms:created>
  <dc:creator>有人</dc:creator>
  <cp:lastModifiedBy>有人</cp:lastModifiedBy>
  <cp:lastPrinted>2024-04-28T10:03:00Z</cp:lastPrinted>
  <dcterms:modified xsi:type="dcterms:W3CDTF">2026-01-05T12:34:12Z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B73763D978F948D3B27DDF03CC9B25AD_13</vt:lpwstr>
  </property>
  <property fmtid="{D5CDD505-2E9C-101B-9397-08002B2CF9AE}" pid="4" name="KSOTemplateDocerSaveRecord">
    <vt:lpwstr>eyJoZGlkIjoiYWM2MTI2OGQ3NWEzNjY2YzdiZjRmOTNmN2E4YzBhYTEiLCJ1c2VySWQiOiIzODU4NDcwMjkifQ==</vt:lpwstr>
  </property>
</Properties>
</file>