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D6A3">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snapToGrid w:val="0"/>
          <w:color w:val="auto"/>
          <w:kern w:val="0"/>
        </w:rPr>
      </w:pPr>
    </w:p>
    <w:p w14:paraId="26E627C7">
      <w:pPr>
        <w:tabs>
          <w:tab w:val="left" w:pos="8500"/>
        </w:tabs>
        <w:spacing w:line="600" w:lineRule="exact"/>
        <w:jc w:val="center"/>
        <w:rPr>
          <w:rFonts w:hint="default" w:ascii="Times New Roman" w:hAnsi="Times New Roman" w:eastAsia="仿宋_GB2312" w:cs="Times New Roman"/>
          <w:snapToGrid w:val="0"/>
          <w:color w:val="auto"/>
          <w:kern w:val="0"/>
          <w:szCs w:val="32"/>
          <w:highlight w:val="none"/>
        </w:rPr>
      </w:pPr>
      <w:r>
        <w:rPr>
          <w:rFonts w:hint="default" w:ascii="Times New Roman" w:hAnsi="Times New Roman" w:eastAsia="仿宋_GB2312" w:cs="Times New Roman"/>
          <w:snapToGrid w:val="0"/>
          <w:color w:val="auto"/>
          <w:kern w:val="0"/>
          <w:szCs w:val="32"/>
        </w:rPr>
        <w:t xml:space="preserve">                             </w:t>
      </w:r>
      <w:r>
        <w:rPr>
          <w:rFonts w:hint="default" w:ascii="Times New Roman" w:hAnsi="Times New Roman" w:eastAsia="仿宋_GB2312" w:cs="Times New Roman"/>
          <w:snapToGrid w:val="0"/>
          <w:color w:val="auto"/>
          <w:kern w:val="0"/>
          <w:szCs w:val="32"/>
          <w:highlight w:val="none"/>
        </w:rPr>
        <w:t xml:space="preserve">  </w:t>
      </w:r>
      <w:r>
        <w:rPr>
          <w:rFonts w:hint="eastAsia" w:eastAsia="仿宋_GB2312" w:cs="Times New Roman"/>
          <w:snapToGrid w:val="0"/>
          <w:color w:val="auto"/>
          <w:kern w:val="0"/>
          <w:szCs w:val="32"/>
          <w:highlight w:val="none"/>
          <w:lang w:val="en-US" w:eastAsia="zh-CN"/>
        </w:rPr>
        <w:t xml:space="preserve">  </w:t>
      </w:r>
      <w:r>
        <w:rPr>
          <w:rFonts w:hint="default" w:ascii="Times New Roman" w:hAnsi="Times New Roman" w:eastAsia="仿宋_GB2312" w:cs="Times New Roman"/>
          <w:snapToGrid w:val="0"/>
          <w:color w:val="auto"/>
          <w:kern w:val="0"/>
          <w:szCs w:val="32"/>
          <w:highlight w:val="none"/>
        </w:rPr>
        <w:t>师市环审〔202</w:t>
      </w:r>
      <w:r>
        <w:rPr>
          <w:rFonts w:hint="eastAsia" w:eastAsia="仿宋_GB2312" w:cs="Times New Roman"/>
          <w:snapToGrid w:val="0"/>
          <w:color w:val="auto"/>
          <w:kern w:val="0"/>
          <w:szCs w:val="32"/>
          <w:highlight w:val="none"/>
          <w:lang w:val="en-US" w:eastAsia="zh-CN"/>
        </w:rPr>
        <w:t>5</w:t>
      </w:r>
      <w:r>
        <w:rPr>
          <w:rFonts w:hint="default" w:ascii="Times New Roman" w:hAnsi="Times New Roman" w:eastAsia="仿宋_GB2312" w:cs="Times New Roman"/>
          <w:snapToGrid w:val="0"/>
          <w:color w:val="auto"/>
          <w:kern w:val="0"/>
          <w:szCs w:val="32"/>
          <w:highlight w:val="none"/>
        </w:rPr>
        <w:t>〕</w:t>
      </w:r>
      <w:r>
        <w:rPr>
          <w:rFonts w:hint="eastAsia" w:eastAsia="仿宋_GB2312" w:cs="Times New Roman"/>
          <w:snapToGrid w:val="0"/>
          <w:color w:val="auto"/>
          <w:kern w:val="0"/>
          <w:szCs w:val="32"/>
          <w:highlight w:val="none"/>
          <w:lang w:val="en-US" w:eastAsia="zh-CN"/>
        </w:rPr>
        <w:t>56</w:t>
      </w:r>
      <w:r>
        <w:rPr>
          <w:rFonts w:hint="default" w:ascii="Times New Roman" w:hAnsi="Times New Roman" w:eastAsia="仿宋_GB2312" w:cs="Times New Roman"/>
          <w:snapToGrid w:val="0"/>
          <w:color w:val="auto"/>
          <w:kern w:val="0"/>
          <w:szCs w:val="32"/>
          <w:highlight w:val="none"/>
        </w:rPr>
        <w:t>号</w:t>
      </w:r>
    </w:p>
    <w:p w14:paraId="6B20D21A">
      <w:pPr>
        <w:spacing w:line="600" w:lineRule="exact"/>
        <w:rPr>
          <w:rFonts w:hint="default" w:ascii="Times New Roman" w:hAnsi="Times New Roman" w:eastAsia="仿宋_GB2312" w:cs="Times New Roman"/>
          <w:snapToGrid w:val="0"/>
          <w:color w:val="auto"/>
          <w:kern w:val="0"/>
          <w:sz w:val="30"/>
          <w:highlight w:val="none"/>
        </w:rPr>
      </w:pPr>
    </w:p>
    <w:p w14:paraId="3C068172">
      <w:pPr>
        <w:spacing w:line="600" w:lineRule="exact"/>
        <w:jc w:val="center"/>
        <w:rPr>
          <w:rFonts w:hint="default" w:ascii="Times New Roman" w:hAnsi="Times New Roman" w:eastAsia="仿宋_GB2312" w:cs="Times New Roman"/>
          <w:color w:val="auto"/>
          <w:kern w:val="0"/>
          <w:szCs w:val="32"/>
          <w:highlight w:val="none"/>
        </w:rPr>
      </w:pPr>
      <w:r>
        <w:rPr>
          <w:rFonts w:hint="default" w:ascii="Times New Roman" w:hAnsi="Times New Roman" w:eastAsia="方正小标宋简体" w:cs="Times New Roman"/>
          <w:color w:val="auto"/>
          <w:sz w:val="44"/>
          <w:szCs w:val="44"/>
          <w:highlight w:val="none"/>
          <w:lang w:val="zh-CN"/>
        </w:rPr>
        <w:t>关</w:t>
      </w:r>
      <w:r>
        <w:rPr>
          <w:rFonts w:hint="eastAsia" w:ascii="方正小标宋简体" w:hAnsi="方正小标宋简体" w:eastAsia="方正小标宋简体" w:cs="方正小标宋简体"/>
          <w:color w:val="auto"/>
          <w:sz w:val="44"/>
          <w:szCs w:val="44"/>
          <w:highlight w:val="none"/>
          <w:lang w:val="zh-CN"/>
        </w:rPr>
        <w:t>于春风油田排641北产能建设工程环境影响报告书</w:t>
      </w:r>
      <w:r>
        <w:rPr>
          <w:rFonts w:hint="default" w:ascii="Times New Roman" w:hAnsi="Times New Roman" w:eastAsia="方正小标宋简体" w:cs="Times New Roman"/>
          <w:color w:val="auto"/>
          <w:sz w:val="44"/>
          <w:szCs w:val="44"/>
          <w:highlight w:val="none"/>
          <w:lang w:val="zh-CN"/>
        </w:rPr>
        <w:t>的</w:t>
      </w:r>
      <w:r>
        <w:rPr>
          <w:rFonts w:hint="default" w:ascii="Times New Roman" w:hAnsi="Times New Roman" w:eastAsia="方正小标宋简体" w:cs="Times New Roman"/>
          <w:snapToGrid w:val="0"/>
          <w:color w:val="auto"/>
          <w:kern w:val="0"/>
          <w:sz w:val="44"/>
          <w:szCs w:val="44"/>
          <w:highlight w:val="none"/>
        </w:rPr>
        <w:t>批复</w:t>
      </w:r>
    </w:p>
    <w:p w14:paraId="6E50F40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p>
    <w:p w14:paraId="57D54EF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kern w:val="0"/>
          <w:szCs w:val="32"/>
          <w:highlight w:val="none"/>
        </w:rPr>
      </w:pPr>
      <w:r>
        <w:rPr>
          <w:rFonts w:hint="default" w:ascii="Times New Roman" w:hAnsi="Times New Roman" w:eastAsia="仿宋_GB2312" w:cs="Times New Roman"/>
          <w:bCs/>
          <w:color w:val="auto"/>
          <w:szCs w:val="32"/>
          <w:highlight w:val="none"/>
        </w:rPr>
        <w:t>中国石油新疆油田分公司开发公司：</w:t>
      </w:r>
    </w:p>
    <w:p w14:paraId="6CFB247D">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bCs/>
          <w:snapToGrid w:val="0"/>
          <w:color w:val="auto"/>
          <w:kern w:val="0"/>
          <w:szCs w:val="32"/>
          <w:highlight w:val="none"/>
        </w:rPr>
      </w:pPr>
      <w:r>
        <w:rPr>
          <w:rFonts w:hint="default" w:ascii="Times New Roman" w:hAnsi="Times New Roman" w:eastAsia="仿宋_GB2312" w:cs="Times New Roman"/>
          <w:bCs/>
          <w:color w:val="auto"/>
          <w:szCs w:val="32"/>
          <w:highlight w:val="none"/>
        </w:rPr>
        <w:t>你</w:t>
      </w:r>
      <w:r>
        <w:rPr>
          <w:rFonts w:hint="eastAsia" w:eastAsia="仿宋_GB2312" w:cs="Times New Roman"/>
          <w:bCs/>
          <w:color w:val="auto"/>
          <w:szCs w:val="32"/>
          <w:highlight w:val="none"/>
          <w:lang w:val="en-US" w:eastAsia="zh-CN"/>
        </w:rPr>
        <w:t>公司</w:t>
      </w:r>
      <w:r>
        <w:rPr>
          <w:rFonts w:hint="default" w:ascii="Times New Roman" w:hAnsi="Times New Roman" w:eastAsia="仿宋_GB2312" w:cs="Times New Roman"/>
          <w:bCs/>
          <w:color w:val="auto"/>
          <w:szCs w:val="32"/>
          <w:highlight w:val="none"/>
        </w:rPr>
        <w:t>《关于审批</w:t>
      </w:r>
      <w:r>
        <w:rPr>
          <w:rFonts w:hint="default" w:ascii="Times New Roman" w:hAnsi="Times New Roman" w:eastAsia="仿宋_GB2312" w:cs="Times New Roman"/>
          <w:bCs/>
          <w:color w:val="auto"/>
          <w:szCs w:val="32"/>
          <w:highlight w:val="none"/>
          <w:lang w:val="zh-CN"/>
        </w:rPr>
        <w:t>春风油田排641北产能建设工程环境影响报告书</w:t>
      </w:r>
      <w:r>
        <w:rPr>
          <w:rFonts w:hint="default" w:ascii="Times New Roman" w:hAnsi="Times New Roman" w:eastAsia="仿宋_GB2312" w:cs="Times New Roman"/>
          <w:bCs/>
          <w:color w:val="auto"/>
          <w:szCs w:val="32"/>
          <w:highlight w:val="none"/>
        </w:rPr>
        <w:t>的请示》收悉。经研究，批复如下：</w:t>
      </w:r>
    </w:p>
    <w:p w14:paraId="39CD3267">
      <w:pPr>
        <w:keepNext w:val="0"/>
        <w:keepLines w:val="0"/>
        <w:pageBreakBefore w:val="0"/>
        <w:widowControl w:val="0"/>
        <w:numPr>
          <w:ilvl w:val="0"/>
          <w:numId w:val="0"/>
        </w:numPr>
        <w:kinsoku/>
        <w:wordWrap/>
        <w:overflowPunct/>
        <w:topLinePunct w:val="0"/>
        <w:autoSpaceDE/>
        <w:autoSpaceDN/>
        <w:bidi w:val="0"/>
        <w:spacing w:line="520" w:lineRule="exact"/>
        <w:ind w:firstLine="632" w:firstLineChars="200"/>
        <w:textAlignment w:val="auto"/>
        <w:rPr>
          <w:rFonts w:hint="default" w:ascii="Times New Roman" w:hAnsi="Times New Roman" w:eastAsia="仿宋_GB2312" w:cs="Times New Roman"/>
          <w:color w:val="auto"/>
          <w:szCs w:val="32"/>
          <w:highlight w:val="none"/>
          <w:lang w:val="zh-CN"/>
        </w:rPr>
      </w:pPr>
      <w:r>
        <w:rPr>
          <w:rFonts w:hint="default" w:ascii="Times New Roman" w:hAnsi="Times New Roman" w:eastAsia="仿宋_GB2312" w:cs="Times New Roman"/>
          <w:color w:val="auto"/>
          <w:szCs w:val="32"/>
          <w:highlight w:val="none"/>
          <w:lang w:val="en-US" w:eastAsia="zh-CN"/>
        </w:rPr>
        <w:t>一、</w:t>
      </w:r>
      <w:r>
        <w:rPr>
          <w:rFonts w:hint="default" w:ascii="Times New Roman" w:hAnsi="Times New Roman" w:eastAsia="仿宋_GB2312" w:cs="Times New Roman"/>
          <w:color w:val="auto"/>
          <w:szCs w:val="32"/>
          <w:highlight w:val="none"/>
        </w:rPr>
        <w:t>该项目位于第七师12</w:t>
      </w:r>
      <w:r>
        <w:rPr>
          <w:rFonts w:hint="eastAsia" w:eastAsia="仿宋_GB2312" w:cs="Times New Roman"/>
          <w:color w:val="auto"/>
          <w:szCs w:val="32"/>
          <w:highlight w:val="none"/>
          <w:lang w:val="en-US" w:eastAsia="zh-CN"/>
        </w:rPr>
        <w:t>8</w:t>
      </w:r>
      <w:r>
        <w:rPr>
          <w:rFonts w:hint="default" w:ascii="Times New Roman" w:hAnsi="Times New Roman" w:eastAsia="仿宋_GB2312" w:cs="Times New Roman"/>
          <w:color w:val="auto"/>
          <w:szCs w:val="32"/>
          <w:highlight w:val="none"/>
        </w:rPr>
        <w:t>团，</w:t>
      </w:r>
      <w:r>
        <w:rPr>
          <w:rFonts w:hint="default" w:ascii="Times New Roman" w:hAnsi="Times New Roman" w:eastAsia="仿宋_GB2312" w:cs="Times New Roman"/>
          <w:color w:val="auto"/>
          <w:szCs w:val="32"/>
          <w:highlight w:val="none"/>
          <w:lang w:val="zh-CN"/>
        </w:rPr>
        <w:t>项目中心地理位置坐标为东经</w:t>
      </w:r>
      <w:r>
        <w:rPr>
          <w:rFonts w:hint="default" w:ascii="Times New Roman" w:hAnsi="Times New Roman" w:eastAsia="仿宋_GB2312" w:cs="Times New Roman"/>
          <w:color w:val="auto"/>
          <w:szCs w:val="32"/>
          <w:lang w:val="en-US" w:eastAsia="zh-CN"/>
        </w:rPr>
        <w:t>8</w:t>
      </w:r>
      <w:r>
        <w:rPr>
          <w:rFonts w:hint="eastAsia" w:eastAsia="仿宋_GB2312" w:cs="Times New Roman"/>
          <w:color w:val="auto"/>
          <w:szCs w:val="32"/>
          <w:lang w:val="en-US" w:eastAsia="zh-CN"/>
        </w:rPr>
        <w:t>4</w:t>
      </w:r>
      <w:r>
        <w:rPr>
          <w:rFonts w:hint="default" w:ascii="Times New Roman" w:hAnsi="Times New Roman" w:eastAsia="仿宋_GB2312" w:cs="Times New Roman"/>
          <w:color w:val="auto"/>
          <w:szCs w:val="32"/>
          <w:lang w:val="en-US" w:eastAsia="zh-CN"/>
        </w:rPr>
        <w:t>°3</w:t>
      </w:r>
      <w:r>
        <w:rPr>
          <w:rFonts w:hint="eastAsia" w:eastAsia="仿宋_GB2312" w:cs="Times New Roman"/>
          <w:color w:val="auto"/>
          <w:szCs w:val="32"/>
          <w:lang w:val="en-US" w:eastAsia="zh-CN"/>
        </w:rPr>
        <w:t>5</w:t>
      </w:r>
      <w:r>
        <w:rPr>
          <w:rFonts w:hint="default" w:ascii="Times New Roman" w:hAnsi="Times New Roman" w:eastAsia="仿宋_GB2312" w:cs="Times New Roman"/>
          <w:color w:val="auto"/>
          <w:szCs w:val="32"/>
          <w:lang w:val="en-US" w:eastAsia="zh-CN"/>
        </w:rPr>
        <w:t>'</w:t>
      </w:r>
      <w:r>
        <w:rPr>
          <w:rFonts w:hint="eastAsia" w:eastAsia="仿宋_GB2312" w:cs="Times New Roman"/>
          <w:color w:val="auto"/>
          <w:szCs w:val="32"/>
          <w:lang w:val="en-US" w:eastAsia="zh-CN"/>
        </w:rPr>
        <w:t>59.75</w:t>
      </w:r>
      <w:r>
        <w:rPr>
          <w:rFonts w:hint="default"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highlight w:val="none"/>
          <w:lang w:val="zh-CN"/>
        </w:rPr>
        <w:t>，北纬</w:t>
      </w:r>
      <w:r>
        <w:rPr>
          <w:rFonts w:hint="default" w:ascii="Times New Roman" w:hAnsi="Times New Roman" w:eastAsia="仿宋_GB2312" w:cs="Times New Roman"/>
          <w:color w:val="auto"/>
          <w:szCs w:val="32"/>
          <w:lang w:val="en-US" w:eastAsia="zh-CN"/>
        </w:rPr>
        <w:t>45°</w:t>
      </w:r>
      <w:r>
        <w:rPr>
          <w:rFonts w:hint="eastAsia" w:eastAsia="仿宋_GB2312" w:cs="Times New Roman"/>
          <w:color w:val="auto"/>
          <w:szCs w:val="32"/>
          <w:lang w:val="en-US" w:eastAsia="zh-CN"/>
        </w:rPr>
        <w:t>3</w:t>
      </w:r>
      <w:r>
        <w:rPr>
          <w:rFonts w:hint="default" w:ascii="Times New Roman" w:hAnsi="Times New Roman" w:eastAsia="仿宋_GB2312" w:cs="Times New Roman"/>
          <w:color w:val="auto"/>
          <w:szCs w:val="32"/>
          <w:lang w:val="en-US" w:eastAsia="zh-CN"/>
        </w:rPr>
        <w:t>'4</w:t>
      </w:r>
      <w:r>
        <w:rPr>
          <w:rFonts w:hint="eastAsia" w:eastAsia="仿宋_GB2312" w:cs="Times New Roman"/>
          <w:color w:val="auto"/>
          <w:szCs w:val="32"/>
          <w:lang w:val="en-US" w:eastAsia="zh-CN"/>
        </w:rPr>
        <w:t>2.95</w:t>
      </w:r>
      <w:r>
        <w:rPr>
          <w:rFonts w:hint="default"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highlight w:val="none"/>
          <w:lang w:val="zh-CN"/>
        </w:rPr>
        <w:t>。项目</w:t>
      </w:r>
      <w:r>
        <w:rPr>
          <w:rFonts w:hint="eastAsia" w:eastAsia="仿宋_GB2312" w:cs="Times New Roman"/>
          <w:color w:val="auto"/>
          <w:szCs w:val="32"/>
          <w:lang w:val="en-US" w:eastAsia="zh-CN"/>
        </w:rPr>
        <w:t>在1#井台和2#井台共</w:t>
      </w:r>
      <w:r>
        <w:rPr>
          <w:rFonts w:hint="default" w:ascii="Times New Roman" w:hAnsi="Times New Roman" w:eastAsia="仿宋_GB2312" w:cs="Times New Roman"/>
          <w:color w:val="auto"/>
          <w:szCs w:val="32"/>
          <w:lang w:val="en-US" w:eastAsia="zh-CN"/>
        </w:rPr>
        <w:t>部署7口采油井，其中新钻井6口，利用老井1口</w:t>
      </w:r>
      <w:r>
        <w:rPr>
          <w:rFonts w:hint="eastAsia"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动用含油面积0.3</w:t>
      </w:r>
      <w:r>
        <w:rPr>
          <w:rFonts w:hint="eastAsia" w:eastAsia="仿宋_GB2312" w:cs="Times New Roman"/>
          <w:color w:val="auto"/>
          <w:szCs w:val="32"/>
          <w:lang w:val="en-US" w:eastAsia="zh-CN"/>
        </w:rPr>
        <w:t>平方千米</w:t>
      </w:r>
      <w:r>
        <w:rPr>
          <w:rFonts w:hint="default" w:ascii="Times New Roman" w:hAnsi="Times New Roman" w:eastAsia="仿宋_GB2312" w:cs="Times New Roman"/>
          <w:color w:val="auto"/>
          <w:szCs w:val="32"/>
          <w:lang w:val="en-US" w:eastAsia="zh-CN"/>
        </w:rPr>
        <w:t>，动用地质储量23.8万吨</w:t>
      </w:r>
      <w:r>
        <w:rPr>
          <w:rFonts w:hint="eastAsia" w:eastAsia="仿宋_GB2312" w:cs="Times New Roman"/>
          <w:color w:val="auto"/>
          <w:szCs w:val="32"/>
          <w:lang w:val="en-US" w:eastAsia="zh-CN"/>
        </w:rPr>
        <w:t>，新建产能1.15</w:t>
      </w:r>
      <w:r>
        <w:rPr>
          <w:rFonts w:hint="default" w:ascii="Times New Roman" w:hAnsi="Times New Roman" w:eastAsia="仿宋_GB2312" w:cs="Times New Roman"/>
          <w:color w:val="auto"/>
          <w:szCs w:val="32"/>
          <w:lang w:val="en-US" w:eastAsia="zh-CN"/>
        </w:rPr>
        <w:t>万吨</w:t>
      </w:r>
      <w:r>
        <w:rPr>
          <w:rFonts w:hint="eastAsia" w:eastAsia="仿宋_GB2312" w:cs="Times New Roman"/>
          <w:color w:val="auto"/>
          <w:szCs w:val="32"/>
          <w:lang w:val="en-US" w:eastAsia="zh-CN"/>
        </w:rPr>
        <w:t>，10年累积产油7.1</w:t>
      </w:r>
      <w:r>
        <w:rPr>
          <w:rFonts w:hint="default" w:ascii="Times New Roman" w:hAnsi="Times New Roman" w:eastAsia="仿宋_GB2312" w:cs="Times New Roman"/>
          <w:color w:val="auto"/>
          <w:szCs w:val="32"/>
          <w:lang w:val="en-US" w:eastAsia="zh-CN"/>
        </w:rPr>
        <w:t>万吨</w:t>
      </w:r>
      <w:r>
        <w:rPr>
          <w:rFonts w:hint="eastAsia" w:eastAsia="仿宋_GB2312" w:cs="Times New Roman"/>
          <w:color w:val="auto"/>
          <w:szCs w:val="32"/>
          <w:lang w:val="en-US" w:eastAsia="zh-CN"/>
        </w:rPr>
        <w:t>，新建集输管线1.538千米；</w:t>
      </w:r>
      <w:r>
        <w:rPr>
          <w:rFonts w:hint="default" w:ascii="Times New Roman" w:hAnsi="Times New Roman" w:eastAsia="仿宋_GB2312" w:cs="Times New Roman"/>
          <w:color w:val="auto"/>
          <w:szCs w:val="32"/>
          <w:lang w:val="en-US" w:eastAsia="zh-CN"/>
        </w:rPr>
        <w:t>二号接转站更换单螺杆泵2台</w:t>
      </w:r>
      <w:r>
        <w:rPr>
          <w:rFonts w:hint="eastAsia" w:eastAsia="仿宋_GB2312" w:cs="Times New Roman"/>
          <w:color w:val="auto"/>
          <w:szCs w:val="32"/>
          <w:lang w:val="en-US" w:eastAsia="zh-CN"/>
        </w:rPr>
        <w:t>；排614区块新建排124井场至排614－平12井场供水管线3.7千米，</w:t>
      </w:r>
      <w:r>
        <w:rPr>
          <w:rFonts w:hint="default" w:ascii="Times New Roman" w:hAnsi="Times New Roman" w:eastAsia="仿宋_GB2312" w:cs="Times New Roman"/>
          <w:color w:val="auto"/>
          <w:szCs w:val="32"/>
          <w:lang w:val="en-US" w:eastAsia="zh-CN"/>
        </w:rPr>
        <w:t>配套</w:t>
      </w:r>
      <w:r>
        <w:rPr>
          <w:rFonts w:hint="eastAsia" w:eastAsia="仿宋_GB2312" w:cs="Times New Roman"/>
          <w:color w:val="auto"/>
          <w:szCs w:val="32"/>
          <w:lang w:val="en-US" w:eastAsia="zh-CN"/>
        </w:rPr>
        <w:t>自动控制、通信、</w:t>
      </w:r>
      <w:r>
        <w:rPr>
          <w:rFonts w:hint="default" w:ascii="Times New Roman" w:hAnsi="Times New Roman" w:eastAsia="仿宋_GB2312" w:cs="Times New Roman"/>
          <w:color w:val="auto"/>
          <w:szCs w:val="32"/>
          <w:lang w:val="en-US" w:eastAsia="zh-CN"/>
        </w:rPr>
        <w:t>供配电等配套工程。项目总投资为3488.02万元，其中环保投资约235万元，占总投资6.74%。</w:t>
      </w:r>
    </w:p>
    <w:p w14:paraId="13F81864">
      <w:pPr>
        <w:keepNext w:val="0"/>
        <w:keepLines w:val="0"/>
        <w:pageBreakBefore w:val="0"/>
        <w:widowControl w:val="0"/>
        <w:numPr>
          <w:ilvl w:val="0"/>
          <w:numId w:val="0"/>
        </w:numPr>
        <w:kinsoku/>
        <w:wordWrap/>
        <w:overflowPunct/>
        <w:topLinePunct w:val="0"/>
        <w:autoSpaceDE/>
        <w:autoSpaceDN/>
        <w:bidi w:val="0"/>
        <w:spacing w:line="520" w:lineRule="exact"/>
        <w:ind w:firstLine="632" w:firstLineChars="200"/>
        <w:textAlignment w:val="auto"/>
        <w:rPr>
          <w:rFonts w:hint="default" w:ascii="Times New Roman" w:hAnsi="Times New Roman" w:eastAsia="仿宋_GB2312" w:cs="Times New Roman"/>
          <w:color w:val="FF0000"/>
          <w:szCs w:val="32"/>
          <w:highlight w:val="none"/>
        </w:rPr>
      </w:pPr>
      <w:r>
        <w:rPr>
          <w:rFonts w:hint="default" w:ascii="Times New Roman" w:hAnsi="Times New Roman" w:eastAsia="仿宋_GB2312" w:cs="Times New Roman"/>
          <w:bCs/>
          <w:color w:val="auto"/>
          <w:szCs w:val="32"/>
          <w:highlight w:val="none"/>
        </w:rPr>
        <w:t>二、</w:t>
      </w:r>
      <w:r>
        <w:rPr>
          <w:rFonts w:hint="default" w:ascii="Times New Roman" w:hAnsi="Times New Roman" w:eastAsia="仿宋_GB2312" w:cs="Times New Roman"/>
          <w:color w:val="auto"/>
          <w:szCs w:val="32"/>
          <w:highlight w:val="none"/>
        </w:rPr>
        <w:t>在全面落实报告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提出的各项生态保护和污染防治措施后，项目建设和运营过程中对环境的不利影响能够得到缓解和控制。因此，综合各方面因素，从环境保护角度考虑，我局原则同意你单位按照报告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中所列建设项目地点、性质、规模和拟采取的环境保护对策措施进行项目建设。</w:t>
      </w:r>
    </w:p>
    <w:p w14:paraId="24864BC3">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三、项目建设和运营中应重点做好以下工作：</w:t>
      </w:r>
    </w:p>
    <w:p w14:paraId="7321B720">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Times New Roman" w:hAnsi="Times New Roman" w:eastAsia="仿宋_GB2312" w:cs="Times New Roman"/>
          <w:bCs/>
          <w:color w:val="auto"/>
          <w:szCs w:val="32"/>
          <w:highlight w:val="none"/>
          <w:lang w:eastAsia="zh-CN"/>
        </w:rPr>
      </w:pPr>
      <w:r>
        <w:rPr>
          <w:rFonts w:hint="default" w:ascii="Times New Roman" w:hAnsi="Times New Roman" w:eastAsia="仿宋_GB2312" w:cs="Times New Roman"/>
          <w:bCs/>
          <w:color w:val="auto"/>
          <w:szCs w:val="32"/>
          <w:highlight w:val="none"/>
        </w:rPr>
        <w:t>（一）严格落实生态保护措施。</w:t>
      </w:r>
      <w:r>
        <w:rPr>
          <w:rFonts w:hint="default" w:ascii="Times New Roman" w:hAnsi="Times New Roman" w:eastAsia="仿宋_GB2312" w:cs="Times New Roman"/>
          <w:color w:val="auto"/>
          <w:szCs w:val="32"/>
        </w:rPr>
        <w:t>对施工迹地表面覆以砾石，以减少风蚀量</w:t>
      </w:r>
      <w:r>
        <w:rPr>
          <w:rFonts w:hint="eastAsia" w:eastAsia="仿宋_GB2312" w:cs="Times New Roman"/>
          <w:color w:val="auto"/>
          <w:szCs w:val="32"/>
          <w:lang w:eastAsia="zh-CN"/>
        </w:rPr>
        <w:t>；</w:t>
      </w:r>
      <w:r>
        <w:rPr>
          <w:rFonts w:hint="default" w:ascii="Times New Roman" w:hAnsi="Times New Roman" w:eastAsia="仿宋_GB2312" w:cs="Times New Roman"/>
          <w:color w:val="auto"/>
          <w:szCs w:val="32"/>
        </w:rPr>
        <w:t>在道路边、站场区周边，设置警示牌，对作业人员加强宣传教育，增强保护生态环境的意识</w:t>
      </w:r>
      <w:r>
        <w:rPr>
          <w:rFonts w:hint="eastAsia" w:eastAsia="仿宋_GB2312" w:cs="Times New Roman"/>
          <w:color w:val="auto"/>
          <w:szCs w:val="32"/>
          <w:lang w:eastAsia="zh-CN"/>
        </w:rPr>
        <w:t>；</w:t>
      </w:r>
      <w:r>
        <w:rPr>
          <w:rFonts w:hint="default" w:ascii="Times New Roman" w:hAnsi="Times New Roman" w:eastAsia="仿宋_GB2312" w:cs="Times New Roman"/>
          <w:color w:val="auto"/>
          <w:szCs w:val="32"/>
        </w:rPr>
        <w:t>加强对法兰、设备的管理和检查，防止泄漏事故的发生；对泄漏的落地油及时清理，彻底回收，防止污染扩大蔓延</w:t>
      </w:r>
      <w:r>
        <w:rPr>
          <w:rFonts w:hint="eastAsia" w:eastAsia="仿宋_GB2312" w:cs="Times New Roman"/>
          <w:color w:val="auto"/>
          <w:szCs w:val="32"/>
          <w:lang w:eastAsia="zh-CN"/>
        </w:rPr>
        <w:t>；</w:t>
      </w:r>
      <w:r>
        <w:rPr>
          <w:rFonts w:hint="default" w:ascii="Times New Roman" w:hAnsi="Times New Roman" w:eastAsia="仿宋_GB2312" w:cs="Times New Roman"/>
          <w:color w:val="auto"/>
          <w:szCs w:val="32"/>
        </w:rPr>
        <w:t>加强日常生产监督管理和安全运行检查工作，制定安全生产操作规程，加强职工安全意识教育和安全生产技术培训。</w:t>
      </w:r>
    </w:p>
    <w:p w14:paraId="63F6646D">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（二）严格落实大气污染防治措施。</w:t>
      </w:r>
      <w:r>
        <w:rPr>
          <w:rFonts w:hint="default" w:ascii="Times New Roman" w:hAnsi="Times New Roman" w:eastAsia="仿宋_GB2312" w:cs="Times New Roman"/>
          <w:b w:val="0"/>
          <w:bCs w:val="0"/>
          <w:color w:val="auto"/>
          <w:szCs w:val="32"/>
          <w:lang w:val="en-US" w:eastAsia="zh-CN"/>
        </w:rPr>
        <w:t>废气污染物主要为井口、管线接口、阀门、场站等处产生的无组织挥发性有机物</w:t>
      </w:r>
      <w:r>
        <w:rPr>
          <w:rFonts w:hint="eastAsia" w:eastAsia="仿宋_GB2312" w:cs="Times New Roman"/>
          <w:b w:val="0"/>
          <w:bCs w:val="0"/>
          <w:color w:val="auto"/>
          <w:szCs w:val="32"/>
          <w:lang w:val="en-US" w:eastAsia="zh-CN"/>
        </w:rPr>
        <w:t>，应</w:t>
      </w:r>
      <w:r>
        <w:rPr>
          <w:rFonts w:hint="default" w:ascii="Times New Roman" w:hAnsi="Times New Roman" w:eastAsia="仿宋_GB2312" w:cs="Times New Roman"/>
          <w:b w:val="0"/>
          <w:bCs w:val="0"/>
          <w:color w:val="auto"/>
          <w:szCs w:val="32"/>
          <w:lang w:val="en-US" w:eastAsia="zh-CN"/>
        </w:rPr>
        <w:t>严格按照《挥发性有机物（VOCs）污染防治技术政策》要求，持续加强VOCs物料储存、转移、输送、排放、泄漏、收集处理等控制措施。对井场的设备、阀门等进行定期的检查、检修，以减少跑、冒、滴、漏的发生。加强油气井管理，做好压力检测，并按要求备齐应急设施。</w:t>
      </w:r>
      <w:r>
        <w:rPr>
          <w:rFonts w:hint="eastAsia" w:eastAsia="仿宋_GB2312" w:cs="Times New Roman"/>
          <w:b w:val="0"/>
          <w:bCs w:val="0"/>
          <w:color w:val="auto"/>
          <w:szCs w:val="32"/>
          <w:lang w:val="en-US" w:eastAsia="zh-CN"/>
        </w:rPr>
        <w:t>处理后井场</w:t>
      </w:r>
      <w:r>
        <w:rPr>
          <w:rFonts w:hint="default" w:ascii="Times New Roman" w:hAnsi="Times New Roman" w:eastAsia="仿宋_GB2312" w:cs="Times New Roman"/>
          <w:b w:val="0"/>
          <w:bCs w:val="0"/>
          <w:color w:val="auto"/>
          <w:szCs w:val="32"/>
          <w:lang w:val="en-US" w:eastAsia="zh-CN"/>
        </w:rPr>
        <w:t>厂界NMHC的浓度满足《陆上石油天然气开采工业大气污染物排放标准》（GB39728</w:t>
      </w:r>
      <w:r>
        <w:rPr>
          <w:rFonts w:hint="default" w:ascii="Times New Roman" w:hAnsi="Times New Roman" w:eastAsia="仿宋_GB2312" w:cs="Times New Roman"/>
          <w:color w:val="auto"/>
          <w:szCs w:val="32"/>
          <w:highlight w:val="none"/>
          <w:lang w:val="en-US" w:eastAsia="zh-CN"/>
        </w:rPr>
        <w:t>-</w:t>
      </w:r>
      <w:r>
        <w:rPr>
          <w:rFonts w:hint="default" w:ascii="Times New Roman" w:hAnsi="Times New Roman" w:eastAsia="仿宋_GB2312" w:cs="Times New Roman"/>
          <w:b w:val="0"/>
          <w:bCs w:val="0"/>
          <w:color w:val="auto"/>
          <w:szCs w:val="32"/>
          <w:lang w:val="en-US" w:eastAsia="zh-CN"/>
        </w:rPr>
        <w:t>2020）中企业边界污染物控制要求。</w:t>
      </w:r>
    </w:p>
    <w:p w14:paraId="0AB4BC49">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cs="Times New Roman"/>
        </w:rPr>
      </w:pPr>
      <w:r>
        <w:rPr>
          <w:rFonts w:hint="default" w:ascii="Times New Roman" w:hAnsi="Times New Roman" w:eastAsia="仿宋_GB2312" w:cs="Times New Roman"/>
          <w:bCs/>
          <w:color w:val="auto"/>
          <w:szCs w:val="32"/>
          <w:highlight w:val="none"/>
        </w:rPr>
        <w:t>（三）落实水污染防治措施。</w:t>
      </w:r>
      <w:r>
        <w:rPr>
          <w:rFonts w:hint="eastAsia" w:eastAsia="仿宋_GB2312" w:cs="Times New Roman"/>
          <w:color w:val="auto"/>
          <w:szCs w:val="32"/>
          <w:highlight w:val="none"/>
          <w:lang w:val="en-US" w:eastAsia="zh-CN"/>
        </w:rPr>
        <w:t>油藏</w:t>
      </w:r>
      <w:r>
        <w:rPr>
          <w:rFonts w:hint="default" w:ascii="Times New Roman" w:hAnsi="Times New Roman" w:eastAsia="仿宋_GB2312" w:cs="Times New Roman"/>
          <w:color w:val="auto"/>
          <w:szCs w:val="32"/>
          <w:highlight w:val="none"/>
          <w:lang w:val="en-US" w:eastAsia="zh-CN"/>
        </w:rPr>
        <w:t>采出水</w:t>
      </w:r>
      <w:r>
        <w:rPr>
          <w:rFonts w:hint="eastAsia" w:eastAsia="仿宋_GB2312" w:cs="Times New Roman"/>
          <w:color w:val="auto"/>
          <w:szCs w:val="32"/>
          <w:highlight w:val="none"/>
          <w:lang w:val="en-US" w:eastAsia="zh-CN"/>
        </w:rPr>
        <w:t>通过集输管道运输、井下作业废水由作业单位自带的回收罐收集，均运至春风联合站处理达到</w:t>
      </w:r>
      <w:r>
        <w:rPr>
          <w:rFonts w:hint="default" w:ascii="Times New Roman" w:hAnsi="Times New Roman" w:eastAsia="仿宋_GB2312" w:cs="Times New Roman"/>
          <w:color w:val="auto"/>
          <w:szCs w:val="32"/>
          <w:highlight w:val="none"/>
          <w:lang w:val="en-US" w:eastAsia="zh-CN"/>
        </w:rPr>
        <w:t>《碎屑岩油藏注水水质指标技术要求及分析方法》</w:t>
      </w:r>
      <w:r>
        <w:rPr>
          <w:rFonts w:hint="eastAsia"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SY/T5329-2022</w:t>
      </w:r>
      <w:r>
        <w:rPr>
          <w:rFonts w:hint="eastAsia"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中注水水质指标</w:t>
      </w:r>
      <w:r>
        <w:rPr>
          <w:rFonts w:hint="eastAsia" w:eastAsia="仿宋_GB2312" w:cs="Times New Roman"/>
          <w:color w:val="auto"/>
          <w:szCs w:val="32"/>
          <w:highlight w:val="none"/>
          <w:lang w:val="en-US" w:eastAsia="zh-CN"/>
        </w:rPr>
        <w:t>要求后回注油层</w:t>
      </w:r>
      <w:r>
        <w:rPr>
          <w:rFonts w:hint="default" w:ascii="Times New Roman" w:hAnsi="Times New Roman" w:eastAsia="仿宋_GB2312" w:cs="Times New Roman"/>
          <w:color w:val="auto"/>
          <w:szCs w:val="32"/>
          <w:highlight w:val="none"/>
          <w:lang w:val="en-US" w:eastAsia="zh-CN"/>
        </w:rPr>
        <w:t>。</w:t>
      </w:r>
    </w:p>
    <w:p w14:paraId="39120527">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outlineLvl w:val="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（四）严格落实噪声防治措施。</w:t>
      </w:r>
      <w:r>
        <w:rPr>
          <w:rFonts w:hint="eastAsia" w:eastAsia="仿宋_GB2312" w:cs="Times New Roman"/>
          <w:b w:val="0"/>
          <w:bCs w:val="0"/>
          <w:color w:val="auto"/>
          <w:szCs w:val="32"/>
          <w:lang w:val="en-US" w:eastAsia="zh-CN"/>
        </w:rPr>
        <w:t>选择先进可靠的</w:t>
      </w:r>
      <w:r>
        <w:rPr>
          <w:rFonts w:hint="default" w:ascii="Times New Roman" w:hAnsi="Times New Roman" w:eastAsia="仿宋_GB2312" w:cs="Times New Roman"/>
          <w:b w:val="0"/>
          <w:bCs w:val="0"/>
          <w:color w:val="auto"/>
          <w:szCs w:val="32"/>
          <w:lang w:val="en-US" w:eastAsia="zh-CN"/>
        </w:rPr>
        <w:t>低噪声设备</w:t>
      </w:r>
      <w:r>
        <w:rPr>
          <w:rFonts w:hint="eastAsia" w:eastAsia="仿宋_GB2312" w:cs="Times New Roman"/>
          <w:b w:val="0"/>
          <w:bCs w:val="0"/>
          <w:color w:val="auto"/>
          <w:szCs w:val="32"/>
          <w:lang w:val="en-US" w:eastAsia="zh-CN"/>
        </w:rPr>
        <w:t>，对噪声源强度较大的设备进行减噪处理；</w:t>
      </w:r>
      <w:r>
        <w:rPr>
          <w:rFonts w:hint="default" w:ascii="Times New Roman" w:hAnsi="Times New Roman" w:eastAsia="仿宋_GB2312" w:cs="Times New Roman"/>
          <w:b w:val="0"/>
          <w:bCs w:val="0"/>
          <w:color w:val="auto"/>
          <w:szCs w:val="32"/>
          <w:lang w:val="en-US" w:eastAsia="zh-CN"/>
        </w:rPr>
        <w:t>设备采用巡检的方式，由操作人员定期对装置区进行检查，减少人员与噪声的接触时间。</w:t>
      </w:r>
      <w:r>
        <w:rPr>
          <w:rFonts w:hint="eastAsia" w:eastAsia="仿宋_GB2312" w:cs="Times New Roman"/>
          <w:b w:val="0"/>
          <w:bCs w:val="0"/>
          <w:color w:val="auto"/>
          <w:szCs w:val="32"/>
          <w:lang w:val="en-US" w:eastAsia="zh-CN"/>
        </w:rPr>
        <w:t>场</w:t>
      </w:r>
      <w:r>
        <w:rPr>
          <w:rFonts w:hint="default" w:ascii="Times New Roman" w:hAnsi="Times New Roman" w:eastAsia="仿宋_GB2312" w:cs="Times New Roman"/>
          <w:b w:val="0"/>
          <w:bCs w:val="0"/>
          <w:color w:val="auto"/>
          <w:szCs w:val="32"/>
          <w:lang w:val="en-US" w:eastAsia="zh-CN"/>
        </w:rPr>
        <w:t>界</w:t>
      </w:r>
      <w:r>
        <w:rPr>
          <w:rFonts w:hint="eastAsia" w:eastAsia="仿宋_GB2312" w:cs="Times New Roman"/>
          <w:b w:val="0"/>
          <w:bCs w:val="0"/>
          <w:color w:val="auto"/>
          <w:szCs w:val="32"/>
          <w:lang w:val="en-US" w:eastAsia="zh-CN"/>
        </w:rPr>
        <w:t>噪声执行</w:t>
      </w:r>
      <w:r>
        <w:rPr>
          <w:rFonts w:hint="default" w:ascii="Times New Roman" w:hAnsi="Times New Roman" w:eastAsia="仿宋_GB2312" w:cs="Times New Roman"/>
          <w:b w:val="0"/>
          <w:bCs w:val="0"/>
          <w:color w:val="auto"/>
          <w:szCs w:val="32"/>
          <w:lang w:val="en-US" w:eastAsia="zh-CN"/>
        </w:rPr>
        <w:t>《工业企业厂界环境噪声排放标准》（GB12348-2008）2类声功能区环境噪声限值要求。</w:t>
      </w:r>
    </w:p>
    <w:p w14:paraId="0E123113">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default" w:ascii="Times New Roman" w:hAnsi="Times New Roman" w:eastAsia="仿宋_GB2312" w:cs="Times New Roman"/>
          <w:bCs/>
          <w:szCs w:val="32"/>
        </w:rPr>
      </w:pPr>
      <w:r>
        <w:rPr>
          <w:rFonts w:hint="default" w:ascii="Times New Roman" w:hAnsi="Times New Roman" w:eastAsia="仿宋_GB2312" w:cs="Times New Roman"/>
          <w:bCs/>
          <w:color w:val="auto"/>
          <w:szCs w:val="32"/>
          <w:highlight w:val="none"/>
        </w:rPr>
        <w:t>（五）固体废物实施分类管理和妥善处理处置。</w:t>
      </w:r>
      <w:r>
        <w:rPr>
          <w:rFonts w:hint="eastAsia" w:eastAsia="仿宋_GB2312" w:cs="Times New Roman"/>
          <w:bCs/>
          <w:color w:val="auto"/>
          <w:szCs w:val="32"/>
          <w:highlight w:val="none"/>
          <w:lang w:val="en-US" w:eastAsia="zh-CN"/>
        </w:rPr>
        <w:t>落地油、</w:t>
      </w:r>
      <w:r>
        <w:rPr>
          <w:rFonts w:hint="eastAsia" w:eastAsia="仿宋_GB2312" w:cs="Times New Roman"/>
          <w:b w:val="0"/>
          <w:bCs w:val="0"/>
          <w:color w:val="auto"/>
          <w:szCs w:val="32"/>
          <w:lang w:val="en-US" w:eastAsia="zh-CN"/>
        </w:rPr>
        <w:t>清管废渣、废防渗布、废弃的含油抹布、劳保用品、</w:t>
      </w:r>
      <w:r>
        <w:rPr>
          <w:rFonts w:hint="default" w:ascii="Times New Roman" w:hAnsi="Times New Roman" w:eastAsia="仿宋_GB2312" w:cs="Times New Roman"/>
          <w:bCs/>
          <w:color w:val="auto"/>
          <w:szCs w:val="32"/>
          <w:highlight w:val="none"/>
        </w:rPr>
        <w:t>废</w:t>
      </w:r>
      <w:r>
        <w:rPr>
          <w:rFonts w:hint="default" w:ascii="Times New Roman" w:hAnsi="Times New Roman" w:eastAsia="仿宋_GB2312" w:cs="Times New Roman"/>
          <w:bCs/>
          <w:color w:val="auto"/>
          <w:szCs w:val="32"/>
          <w:highlight w:val="none"/>
          <w:lang w:val="en-US" w:eastAsia="zh-CN"/>
        </w:rPr>
        <w:t>润滑油</w:t>
      </w:r>
      <w:r>
        <w:rPr>
          <w:rFonts w:hint="eastAsia" w:eastAsia="仿宋_GB2312" w:cs="Times New Roman"/>
          <w:bCs/>
          <w:color w:val="auto"/>
          <w:szCs w:val="32"/>
          <w:highlight w:val="none"/>
          <w:lang w:val="en-US" w:eastAsia="zh-CN"/>
        </w:rPr>
        <w:t>属于危险废物，其中落地油、</w:t>
      </w:r>
      <w:r>
        <w:rPr>
          <w:rFonts w:hint="eastAsia" w:eastAsia="仿宋_GB2312" w:cs="Times New Roman"/>
          <w:b w:val="0"/>
          <w:bCs w:val="0"/>
          <w:color w:val="auto"/>
          <w:szCs w:val="32"/>
          <w:lang w:val="en-US" w:eastAsia="zh-CN"/>
        </w:rPr>
        <w:t>清管废渣、废防渗布、废弃的含油抹布、劳保用品</w:t>
      </w:r>
      <w:r>
        <w:rPr>
          <w:rFonts w:hint="eastAsia" w:eastAsia="仿宋_GB2312" w:cs="Times New Roman"/>
          <w:bCs/>
          <w:color w:val="auto"/>
          <w:szCs w:val="32"/>
          <w:highlight w:val="none"/>
          <w:lang w:val="en-US" w:eastAsia="zh-CN"/>
        </w:rPr>
        <w:t>收集后委托有资质单位处置；</w:t>
      </w:r>
      <w:r>
        <w:rPr>
          <w:rFonts w:hint="eastAsia" w:eastAsia="仿宋_GB2312" w:cs="Times New Roman"/>
          <w:b w:val="0"/>
          <w:bCs w:val="0"/>
          <w:color w:val="auto"/>
          <w:szCs w:val="32"/>
          <w:lang w:val="en-US" w:eastAsia="zh-CN"/>
        </w:rPr>
        <w:t>废润滑油经收集后交联合站原油处理系统综合利用</w:t>
      </w:r>
      <w:r>
        <w:rPr>
          <w:rFonts w:hint="eastAsia" w:eastAsia="仿宋_GB2312" w:cs="Times New Roman"/>
          <w:b w:val="0"/>
          <w:bCs w:val="0"/>
          <w:color w:val="auto"/>
          <w:szCs w:val="32"/>
          <w:highlight w:val="none"/>
          <w:lang w:val="en-US" w:eastAsia="zh-CN"/>
        </w:rPr>
        <w:t>。</w:t>
      </w:r>
      <w:r>
        <w:rPr>
          <w:rFonts w:hint="eastAsia" w:eastAsia="仿宋_GB2312" w:cs="Times New Roman"/>
          <w:bCs/>
          <w:color w:val="auto"/>
          <w:szCs w:val="32"/>
          <w:highlight w:val="none"/>
          <w:lang w:val="en-US" w:eastAsia="zh-CN"/>
        </w:rPr>
        <w:t>危险废物收集、运输须按照《危险废物收集 贮存 运输技术规范》（HJ2025-2012）和《危险废物转移管理办法》要求进行。</w:t>
      </w:r>
    </w:p>
    <w:p w14:paraId="5085150B">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20" w:lineRule="exact"/>
        <w:ind w:firstLine="632" w:firstLineChars="200"/>
        <w:textAlignment w:val="auto"/>
        <w:rPr>
          <w:rFonts w:hint="eastAsia" w:eastAsia="仿宋_GB2312" w:cs="Times New Roman"/>
          <w:color w:val="auto"/>
          <w:kern w:val="2"/>
          <w:szCs w:val="32"/>
          <w:highlight w:val="none"/>
          <w:lang w:eastAsia="zh-CN"/>
        </w:rPr>
      </w:pPr>
      <w:r>
        <w:rPr>
          <w:rFonts w:hint="default" w:ascii="Times New Roman" w:hAnsi="Times New Roman" w:eastAsia="仿宋_GB2312" w:cs="Times New Roman"/>
        </w:rPr>
        <w:t>（六）严格落实</w:t>
      </w:r>
      <w:r>
        <w:rPr>
          <w:rFonts w:hint="default" w:ascii="Times New Roman" w:hAnsi="Times New Roman" w:eastAsia="仿宋_GB2312" w:cs="Times New Roman"/>
          <w:lang w:val="en-US" w:eastAsia="zh-CN"/>
        </w:rPr>
        <w:t>地下水及</w:t>
      </w:r>
      <w:r>
        <w:rPr>
          <w:rFonts w:hint="default" w:ascii="Times New Roman" w:hAnsi="Times New Roman" w:eastAsia="仿宋_GB2312" w:cs="Times New Roman"/>
        </w:rPr>
        <w:t>土壤污染防治措施。</w:t>
      </w:r>
      <w:r>
        <w:rPr>
          <w:rFonts w:hint="eastAsia" w:eastAsia="仿宋_GB2312" w:cs="Times New Roman"/>
          <w:bCs/>
          <w:color w:val="auto"/>
          <w:szCs w:val="32"/>
          <w:highlight w:val="none"/>
          <w:lang w:eastAsia="zh-CN"/>
        </w:rPr>
        <w:t>按照源头防控、分区防治、污染监控、应急响应的原则进行地下水污染防治。</w:t>
      </w:r>
      <w:r>
        <w:rPr>
          <w:rFonts w:hint="eastAsia" w:ascii="Times New Roman" w:hAnsi="Times New Roman" w:eastAsia="仿宋_GB2312" w:cs="Times New Roman"/>
          <w:color w:val="auto"/>
          <w:kern w:val="2"/>
          <w:szCs w:val="32"/>
          <w:highlight w:val="none"/>
          <w:lang w:val="en-US" w:eastAsia="zh-CN"/>
        </w:rPr>
        <w:t>对井场</w:t>
      </w:r>
      <w:r>
        <w:rPr>
          <w:rFonts w:hint="default" w:ascii="Times New Roman" w:hAnsi="Times New Roman" w:eastAsia="仿宋_GB2312" w:cs="Times New Roman"/>
          <w:color w:val="auto"/>
          <w:kern w:val="2"/>
          <w:szCs w:val="32"/>
          <w:highlight w:val="none"/>
          <w:lang w:eastAsia="zh-CN"/>
        </w:rPr>
        <w:t>进行</w:t>
      </w:r>
      <w:r>
        <w:rPr>
          <w:rFonts w:hint="default" w:ascii="Times New Roman" w:hAnsi="Times New Roman" w:eastAsia="仿宋_GB2312" w:cs="Times New Roman"/>
        </w:rPr>
        <w:t>一般防渗</w:t>
      </w:r>
      <w:r>
        <w:rPr>
          <w:rFonts w:hint="eastAsia" w:eastAsia="仿宋_GB2312" w:cs="Times New Roman"/>
          <w:lang w:eastAsia="zh-CN"/>
        </w:rPr>
        <w:t>。</w:t>
      </w:r>
      <w:r>
        <w:rPr>
          <w:rFonts w:hint="eastAsia" w:eastAsia="仿宋_GB2312" w:cs="Times New Roman"/>
          <w:color w:val="auto"/>
          <w:kern w:val="2"/>
          <w:szCs w:val="32"/>
          <w:highlight w:val="none"/>
          <w:lang w:eastAsia="zh-CN"/>
        </w:rPr>
        <w:t>加强防渗设施的日常维护，对出现损坏的防渗设施应及时修复和加固，确保防渗设施牢固安全。</w:t>
      </w:r>
    </w:p>
    <w:p w14:paraId="53D7FDE6">
      <w:pPr>
        <w:keepNext w:val="0"/>
        <w:keepLines w:val="0"/>
        <w:pageBreakBefore w:val="0"/>
        <w:widowControl w:val="0"/>
        <w:kinsoku/>
        <w:wordWrap/>
        <w:overflowPunct/>
        <w:topLinePunct w:val="0"/>
        <w:autoSpaceDE/>
        <w:autoSpaceDN/>
        <w:bidi w:val="0"/>
        <w:spacing w:line="52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（七）加强施工期环境保护，防止施工废水、扬尘、噪声污染、水土流失和生态破坏。</w:t>
      </w:r>
    </w:p>
    <w:p w14:paraId="7FCB1D7C">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八</w:t>
      </w:r>
      <w:r>
        <w:rPr>
          <w:rFonts w:hint="default" w:ascii="Times New Roman" w:hAnsi="Times New Roman" w:eastAsia="仿宋_GB2312" w:cs="Times New Roman"/>
          <w:bCs/>
          <w:color w:val="auto"/>
          <w:szCs w:val="32"/>
          <w:highlight w:val="none"/>
        </w:rPr>
        <w:t>）强化各项环境风险防范措施，有效防范环境风险。定期开展环境风险应急培训和演练，落实各项应急环境管理措施以及各项风险防范措施，确保风险事故得到有效控制。</w:t>
      </w:r>
    </w:p>
    <w:p w14:paraId="0472AD87">
      <w:pPr>
        <w:keepNext w:val="0"/>
        <w:keepLines w:val="0"/>
        <w:pageBreakBefore w:val="0"/>
        <w:widowControl w:val="0"/>
        <w:kinsoku/>
        <w:wordWrap/>
        <w:overflowPunct/>
        <w:topLinePunct w:val="0"/>
        <w:autoSpaceDE/>
        <w:autoSpaceDN/>
        <w:bidi w:val="0"/>
        <w:spacing w:line="52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eastAsia="zh-CN"/>
        </w:rPr>
        <w:t>（</w:t>
      </w:r>
      <w:r>
        <w:rPr>
          <w:rFonts w:hint="eastAsia" w:eastAsia="仿宋_GB2312" w:cs="Times New Roman"/>
          <w:bCs/>
          <w:color w:val="auto"/>
          <w:szCs w:val="32"/>
          <w:highlight w:val="none"/>
          <w:lang w:val="en-US" w:eastAsia="zh-CN"/>
        </w:rPr>
        <w:t>九</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在工程运营过程中，应建立畅通的公众参与平台，加强宣传与沟通工作，及时解决公众提出的合理环境诉求。定期发布企业环境信息，并主动接受社会监督。</w:t>
      </w:r>
    </w:p>
    <w:p w14:paraId="1CAAFA9F">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188C3A95">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五、环境影响报告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经批准后，该项目的性质、规模、地点、生产工艺和环境保护措施发生重大变动，且可能导致环境影响显著变化的，应当重新报批该项目环境影响评价报告。</w:t>
      </w:r>
    </w:p>
    <w:p w14:paraId="0EE9603E">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六、</w:t>
      </w:r>
      <w:r>
        <w:rPr>
          <w:rFonts w:hint="eastAsia" w:eastAsia="仿宋_GB2312" w:cs="Times New Roman"/>
          <w:bCs/>
          <w:color w:val="auto"/>
          <w:szCs w:val="32"/>
          <w:highlight w:val="none"/>
          <w:lang w:val="en-US" w:eastAsia="zh-CN"/>
        </w:rPr>
        <w:t>128</w:t>
      </w:r>
      <w:r>
        <w:rPr>
          <w:rFonts w:hint="default" w:ascii="Times New Roman" w:hAnsi="Times New Roman" w:eastAsia="仿宋_GB2312" w:cs="Times New Roman"/>
          <w:bCs/>
          <w:color w:val="auto"/>
          <w:szCs w:val="32"/>
          <w:highlight w:val="none"/>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42B7FE34">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七、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送师市生态环境保护综合行政执法支队、生态环境监测站、</w:t>
      </w:r>
      <w:r>
        <w:rPr>
          <w:rFonts w:hint="eastAsia" w:eastAsia="仿宋_GB2312" w:cs="Times New Roman"/>
          <w:bCs/>
          <w:sz w:val="32"/>
          <w:szCs w:val="32"/>
          <w:lang w:val="en-US" w:eastAsia="zh-CN"/>
        </w:rPr>
        <w:t>128</w:t>
      </w:r>
      <w:r>
        <w:rPr>
          <w:rFonts w:hint="default" w:ascii="Times New Roman" w:hAnsi="Times New Roman" w:eastAsia="仿宋_GB2312" w:cs="Times New Roman"/>
          <w:bCs/>
          <w:sz w:val="32"/>
          <w:szCs w:val="32"/>
        </w:rPr>
        <w:t>团城镇和生态保护中心</w:t>
      </w:r>
      <w:r>
        <w:rPr>
          <w:rFonts w:hint="default" w:ascii="Times New Roman" w:hAnsi="Times New Roman" w:eastAsia="仿宋_GB2312" w:cs="Times New Roman"/>
          <w:bCs/>
          <w:color w:val="auto"/>
          <w:szCs w:val="32"/>
          <w:highlight w:val="none"/>
        </w:rPr>
        <w:t>，并按规定接受各级生态环境主管部门的监督检查。</w:t>
      </w:r>
    </w:p>
    <w:p w14:paraId="424FC8EB">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bookmarkStart w:id="0" w:name="_GoBack"/>
    </w:p>
    <w:p w14:paraId="3023250D">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bookmarkEnd w:id="0"/>
    <w:p w14:paraId="1D8E3DEA">
      <w:pPr>
        <w:keepNext w:val="0"/>
        <w:keepLines w:val="0"/>
        <w:pageBreakBefore w:val="0"/>
        <w:widowControl w:val="0"/>
        <w:kinsoku/>
        <w:wordWrap/>
        <w:overflowPunct/>
        <w:topLinePunct w:val="0"/>
        <w:autoSpaceDE/>
        <w:autoSpaceDN/>
        <w:bidi w:val="0"/>
        <w:adjustRightInd/>
        <w:snapToGrid/>
        <w:spacing w:line="400" w:lineRule="exact"/>
        <w:ind w:firstLine="4740" w:firstLineChars="15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 xml:space="preserve">第七师胡杨河市生态环境局 </w:t>
      </w:r>
    </w:p>
    <w:p w14:paraId="2E04CA34">
      <w:pPr>
        <w:keepNext w:val="0"/>
        <w:keepLines w:val="0"/>
        <w:pageBreakBefore w:val="0"/>
        <w:widowControl w:val="0"/>
        <w:kinsoku/>
        <w:wordWrap/>
        <w:overflowPunct/>
        <w:topLinePunct w:val="0"/>
        <w:autoSpaceDE/>
        <w:autoSpaceDN/>
        <w:bidi w:val="0"/>
        <w:adjustRightInd/>
        <w:snapToGrid/>
        <w:spacing w:line="400" w:lineRule="exact"/>
        <w:ind w:firstLine="5372" w:firstLineChars="17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Cs w:val="32"/>
          <w:highlight w:val="none"/>
        </w:rPr>
        <w:t>202</w:t>
      </w:r>
      <w:r>
        <w:rPr>
          <w:rFonts w:hint="eastAsia" w:eastAsia="仿宋_GB2312" w:cs="Times New Roman"/>
          <w:bCs/>
          <w:color w:val="auto"/>
          <w:szCs w:val="32"/>
          <w:highlight w:val="none"/>
          <w:lang w:val="en-US" w:eastAsia="zh-CN"/>
        </w:rPr>
        <w:t>5</w:t>
      </w:r>
      <w:r>
        <w:rPr>
          <w:rFonts w:hint="default" w:ascii="Times New Roman" w:hAnsi="Times New Roman" w:eastAsia="仿宋_GB2312" w:cs="Times New Roman"/>
          <w:bCs/>
          <w:color w:val="auto"/>
          <w:szCs w:val="32"/>
          <w:highlight w:val="none"/>
        </w:rPr>
        <w:t>年</w:t>
      </w:r>
      <w:r>
        <w:rPr>
          <w:rFonts w:hint="eastAsia" w:eastAsia="仿宋_GB2312" w:cs="Times New Roman"/>
          <w:bCs/>
          <w:color w:val="auto"/>
          <w:szCs w:val="32"/>
          <w:highlight w:val="none"/>
          <w:lang w:val="en-US" w:eastAsia="zh-CN"/>
        </w:rPr>
        <w:t>12</w:t>
      </w:r>
      <w:r>
        <w:rPr>
          <w:rFonts w:hint="default" w:ascii="Times New Roman" w:hAnsi="Times New Roman" w:eastAsia="仿宋_GB2312" w:cs="Times New Roman"/>
          <w:bCs/>
          <w:color w:val="auto"/>
          <w:szCs w:val="32"/>
          <w:highlight w:val="none"/>
        </w:rPr>
        <w:t>月</w:t>
      </w:r>
      <w:r>
        <w:rPr>
          <w:rFonts w:hint="eastAsia" w:eastAsia="仿宋_GB2312" w:cs="Times New Roman"/>
          <w:bCs/>
          <w:color w:val="auto"/>
          <w:szCs w:val="32"/>
          <w:highlight w:val="none"/>
          <w:lang w:val="en-US" w:eastAsia="zh-CN"/>
        </w:rPr>
        <w:t>12</w:t>
      </w:r>
      <w:r>
        <w:rPr>
          <w:rFonts w:hint="default" w:ascii="Times New Roman" w:hAnsi="Times New Roman" w:eastAsia="仿宋_GB2312" w:cs="Times New Roman"/>
          <w:bCs/>
          <w:color w:val="auto"/>
          <w:szCs w:val="32"/>
          <w:highlight w:val="none"/>
        </w:rPr>
        <w:t>日</w:t>
      </w:r>
    </w:p>
    <w:p w14:paraId="2326EBED">
      <w:pPr>
        <w:spacing w:line="400" w:lineRule="exact"/>
        <w:ind w:right="316" w:rightChars="100"/>
        <w:rPr>
          <w:rFonts w:hint="eastAsia" w:ascii="仿宋_GB2312" w:hAnsi="仿宋_GB2312" w:eastAsia="仿宋_GB2312" w:cs="仿宋_GB2312"/>
          <w:color w:val="auto"/>
          <w:sz w:val="28"/>
          <w:szCs w:val="28"/>
        </w:rPr>
      </w:pPr>
    </w:p>
    <w:p w14:paraId="3CEECA2F">
      <w:pPr>
        <w:spacing w:line="400" w:lineRule="exact"/>
        <w:ind w:right="316" w:right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77840" cy="25400"/>
                <wp:effectExtent l="0" t="9525" r="3810" b="22225"/>
                <wp:wrapNone/>
                <wp:docPr id="1" name="直接连接符 1"/>
                <wp:cNvGraphicFramePr/>
                <a:graphic xmlns:a="http://schemas.openxmlformats.org/drawingml/2006/main">
                  <a:graphicData uri="http://schemas.microsoft.com/office/word/2010/wordprocessingShape">
                    <wps:wsp>
                      <wps:cNvCnPr/>
                      <wps:spPr>
                        <a:xfrm>
                          <a:off x="0" y="0"/>
                          <a:ext cx="5577840" cy="2540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2pt;width:439.2pt;z-index:251660288;mso-width-relative:page;mso-height-relative:page;" filled="f" stroked="t" coordsize="21600,21600" o:gfxdata="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K2OaNIAAAADAQAADwAAAAAAAAABACAAAAAiAAAAZHJzL2Rvd25yZXYueG1s&#10;UEsBAhQAFAAAAAgAh07iQNMz1hX+AQAA9wMAAA4AAAAAAAAAAQAgAAAAIQEAAGRycy9lMm9Eb2Mu&#10;eG1sUEsFBgAAAAAGAAYAWQEAAJE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auto"/>
          <w:sz w:val="28"/>
          <w:szCs w:val="28"/>
        </w:rPr>
        <w:t>抄送：师市生态环境保护综合行政执法支队、生态环境监测站、1</w:t>
      </w:r>
      <w:r>
        <w:rPr>
          <w:rFonts w:hint="eastAsia" w:ascii="仿宋_GB2312" w:hAnsi="仿宋_GB2312" w:eastAsia="仿宋_GB2312" w:cs="仿宋_GB2312"/>
          <w:color w:val="auto"/>
          <w:sz w:val="28"/>
          <w:szCs w:val="28"/>
          <w:lang w:val="en-US" w:eastAsia="zh-CN"/>
        </w:rPr>
        <w:t>28</w:t>
      </w:r>
      <w:r>
        <w:rPr>
          <w:rFonts w:hint="eastAsia" w:ascii="仿宋_GB2312" w:hAnsi="仿宋_GB2312" w:eastAsia="仿宋_GB2312" w:cs="仿宋_GB2312"/>
          <w:color w:val="auto"/>
          <w:sz w:val="28"/>
          <w:szCs w:val="28"/>
        </w:rPr>
        <w:t>团城镇和生态保护中心。</w:t>
      </w:r>
    </w:p>
    <w:p w14:paraId="23418F4F">
      <w:pPr>
        <w:spacing w:line="600" w:lineRule="exact"/>
        <w:ind w:right="316" w:rightChars="100" w:firstLine="254" w:firstLineChars="100"/>
        <w:rPr>
          <w:rFonts w:hint="eastAsia" w:ascii="仿宋_GB2312" w:hAnsi="仿宋_GB2312" w:eastAsia="仿宋_GB2312" w:cs="仿宋_GB2312"/>
          <w:bCs/>
          <w:color w:val="auto"/>
          <w:szCs w:val="32"/>
          <w:highlight w:val="none"/>
        </w:rPr>
      </w:pPr>
      <w:r>
        <w:rPr>
          <w:rFonts w:hint="eastAsia" w:ascii="仿宋_GB2312" w:hAnsi="仿宋_GB2312" w:eastAsia="仿宋_GB2312" w:cs="仿宋_GB2312"/>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382270</wp:posOffset>
                </wp:positionV>
                <wp:extent cx="5615940" cy="190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1pt;height:0.15pt;width:442.2pt;z-index:251661312;mso-width-relative:page;mso-height-relative:page;" filled="f" stroked="t" coordsize="21600,21600" o:gfxdata="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uTPV1AAAAAYBAAAPAAAAAAAAAAEAIAAAACIAAABkcnMvZG93bnJldi54bWxQSwEC&#10;FAAUAAAACACHTuJAHiSEh/gBAAD2AwAADgAAAAAAAAABACAAAAAjAQAAZHJzL2Uyb0RvYy54bWxQ&#10;SwUGAAAAAAYABgBZAQAAjQU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-6350</wp:posOffset>
                </wp:positionV>
                <wp:extent cx="5577840" cy="63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77840"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5pt;height:0.5pt;width:439.2pt;z-index:251661312;mso-width-relative:page;mso-height-relative:page;" filled="f" stroked="t" coordsize="21600,21600" o:gfxdata="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iMwQNMAAAAEAQAADwAAAAAAAAABACAAAAAiAAAAZHJzL2Rv&#10;d25yZXYueG1sUEsBAhQAFAAAAAgAh07iQPj8sJsGAgAA/wMAAA4AAAAAAAAAAQAgAAAAIgEAAGRy&#10;cy9lMm9Eb2MueG1sUEsFBgAAAAAGAAYAWQEAAJo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11"/>
          <w:sz w:val="28"/>
          <w:szCs w:val="28"/>
        </w:rPr>
        <w:t>新疆生产建设兵团第七师胡杨河市生态环境局</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日印发</w:t>
      </w:r>
    </w:p>
    <w:sectPr>
      <w:headerReference r:id="rId3" w:type="default"/>
      <w:footerReference r:id="rId4" w:type="default"/>
      <w:footerReference r:id="rId5" w:type="even"/>
      <w:pgSz w:w="11906" w:h="16838"/>
      <w:pgMar w:top="2098" w:right="1474" w:bottom="1984" w:left="1587"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onet">
    <w:altName w:val="微软雅黑"/>
    <w:panose1 w:val="00000000000000000000"/>
    <w:charset w:val="00"/>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780A">
    <w:pPr>
      <w:pStyle w:val="1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FE13E">
                          <w:pPr>
                            <w:pStyle w:val="13"/>
                            <w:ind w:left="320" w:leftChars="100" w:right="320" w:rightChars="100"/>
                            <w:rPr>
                              <w:rStyle w:val="19"/>
                              <w:rFonts w:hint="eastAsia" w:ascii="仿宋_GB2312" w:eastAsia="仿宋_GB2312"/>
                              <w:b/>
                              <w:bCs/>
                              <w:sz w:val="28"/>
                              <w:szCs w:val="28"/>
                            </w:rPr>
                          </w:pPr>
                          <w:r>
                            <w:rPr>
                              <w:rStyle w:val="19"/>
                              <w:rFonts w:hint="eastAsia" w:ascii="仿宋_GB2312" w:eastAsia="仿宋_GB2312"/>
                              <w:sz w:val="28"/>
                              <w:szCs w:val="28"/>
                            </w:rPr>
                            <w:t xml:space="preserve">— </w:t>
                          </w:r>
                          <w:r>
                            <w:rPr>
                              <w:rFonts w:hint="eastAsia" w:ascii="仿宋_GB2312" w:eastAsia="仿宋_GB2312"/>
                              <w:sz w:val="28"/>
                              <w:szCs w:val="28"/>
                            </w:rPr>
                            <w:fldChar w:fldCharType="begin"/>
                          </w:r>
                          <w:r>
                            <w:rPr>
                              <w:rStyle w:val="19"/>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9"/>
                              <w:rFonts w:ascii="仿宋_GB2312" w:eastAsia="仿宋_GB2312"/>
                              <w:sz w:val="28"/>
                              <w:szCs w:val="28"/>
                            </w:rPr>
                            <w:t>1</w:t>
                          </w:r>
                          <w:r>
                            <w:rPr>
                              <w:rFonts w:hint="eastAsia" w:ascii="仿宋_GB2312" w:eastAsia="仿宋_GB2312"/>
                              <w:sz w:val="28"/>
                              <w:szCs w:val="28"/>
                            </w:rPr>
                            <w:fldChar w:fldCharType="end"/>
                          </w:r>
                          <w:r>
                            <w:rPr>
                              <w:rStyle w:val="19"/>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LxM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21CFE13E">
                    <w:pPr>
                      <w:pStyle w:val="13"/>
                      <w:ind w:left="320" w:leftChars="100" w:right="320" w:rightChars="100"/>
                      <w:rPr>
                        <w:rStyle w:val="19"/>
                        <w:rFonts w:hint="eastAsia" w:ascii="仿宋_GB2312" w:eastAsia="仿宋_GB2312"/>
                        <w:b/>
                        <w:bCs/>
                        <w:sz w:val="28"/>
                        <w:szCs w:val="28"/>
                      </w:rPr>
                    </w:pPr>
                    <w:r>
                      <w:rPr>
                        <w:rStyle w:val="19"/>
                        <w:rFonts w:hint="eastAsia" w:ascii="仿宋_GB2312" w:eastAsia="仿宋_GB2312"/>
                        <w:sz w:val="28"/>
                        <w:szCs w:val="28"/>
                      </w:rPr>
                      <w:t xml:space="preserve">— </w:t>
                    </w:r>
                    <w:r>
                      <w:rPr>
                        <w:rFonts w:hint="eastAsia" w:ascii="仿宋_GB2312" w:eastAsia="仿宋_GB2312"/>
                        <w:sz w:val="28"/>
                        <w:szCs w:val="28"/>
                      </w:rPr>
                      <w:fldChar w:fldCharType="begin"/>
                    </w:r>
                    <w:r>
                      <w:rPr>
                        <w:rStyle w:val="19"/>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9"/>
                        <w:rFonts w:ascii="仿宋_GB2312" w:eastAsia="仿宋_GB2312"/>
                        <w:sz w:val="28"/>
                        <w:szCs w:val="28"/>
                      </w:rPr>
                      <w:t>1</w:t>
                    </w:r>
                    <w:r>
                      <w:rPr>
                        <w:rFonts w:hint="eastAsia" w:ascii="仿宋_GB2312" w:eastAsia="仿宋_GB2312"/>
                        <w:sz w:val="28"/>
                        <w:szCs w:val="28"/>
                      </w:rPr>
                      <w:fldChar w:fldCharType="end"/>
                    </w:r>
                    <w:r>
                      <w:rPr>
                        <w:rStyle w:val="19"/>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1005">
    <w:pPr>
      <w:pStyle w:val="13"/>
      <w:framePr w:wrap="around" w:vAnchor="text" w:hAnchor="margin" w:xAlign="outside" w:y="1"/>
      <w:rPr>
        <w:rStyle w:val="19"/>
      </w:rPr>
    </w:pPr>
    <w:r>
      <w:fldChar w:fldCharType="begin"/>
    </w:r>
    <w:r>
      <w:rPr>
        <w:rStyle w:val="19"/>
      </w:rPr>
      <w:instrText xml:space="preserve">PAGE  </w:instrText>
    </w:r>
    <w:r>
      <w:fldChar w:fldCharType="separate"/>
    </w:r>
    <w:r>
      <w:rPr>
        <w:rStyle w:val="19"/>
      </w:rPr>
      <w:t>1</w:t>
    </w:r>
    <w:r>
      <w:fldChar w:fldCharType="end"/>
    </w:r>
  </w:p>
  <w:p w14:paraId="06A1A65C">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0F5A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01AFB"/>
    <w:multiLevelType w:val="multilevel"/>
    <w:tmpl w:val="7F401AFB"/>
    <w:lvl w:ilvl="0" w:tentative="0">
      <w:start w:val="1"/>
      <w:numFmt w:val="decimal"/>
      <w:pStyle w:val="4"/>
      <w:suff w:val="space"/>
      <w:lvlText w:val="%1"/>
      <w:lvlJc w:val="center"/>
      <w:pPr>
        <w:ind w:left="0" w:firstLine="0"/>
      </w:pPr>
      <w:rPr>
        <w:rFonts w:hint="default" w:ascii="Times New Roman" w:hAnsi="Times New Roman" w:eastAsia="宋体"/>
        <w:b/>
        <w:i w:val="0"/>
        <w:caps w:val="0"/>
        <w:strike w:val="0"/>
        <w:dstrike w:val="0"/>
        <w:vanish w:val="0"/>
        <w:color w:val="auto"/>
        <w:sz w:val="28"/>
        <w:szCs w:val="32"/>
        <w:u w:val="none"/>
        <w:vertAlign w:val="baseline"/>
      </w:rPr>
    </w:lvl>
    <w:lvl w:ilvl="1" w:tentative="0">
      <w:start w:val="1"/>
      <w:numFmt w:val="decimal"/>
      <w:isLgl/>
      <w:suff w:val="space"/>
      <w:lvlText w:val="%1.%2"/>
      <w:lvlJc w:val="left"/>
      <w:pPr>
        <w:ind w:left="0" w:firstLine="0"/>
      </w:pPr>
      <w:rPr>
        <w:rFonts w:hint="default" w:ascii="Times New Roman" w:hAnsi="Times New Roman" w:eastAsia="宋体"/>
        <w:b/>
        <w:i w:val="0"/>
        <w:caps w:val="0"/>
        <w:smallCaps w:val="0"/>
        <w:strike w:val="0"/>
        <w:dstrike w:val="0"/>
        <w:vanish w:val="0"/>
        <w:spacing w:val="0"/>
        <w:position w:val="0"/>
        <w:sz w:val="24"/>
        <w:u w:val="none"/>
        <w:vertAlign w:val="baseline"/>
      </w:rPr>
    </w:lvl>
    <w:lvl w:ilvl="2" w:tentative="0">
      <w:start w:val="1"/>
      <w:numFmt w:val="decimal"/>
      <w:suff w:val="space"/>
      <w:lvlText w:val="%1.%2.%3"/>
      <w:lvlJc w:val="left"/>
      <w:pPr>
        <w:ind w:left="280" w:firstLine="0"/>
      </w:pPr>
      <w:rPr>
        <w:rFonts w:hint="default" w:ascii="Times New Roman" w:hAnsi="Times New Roman" w:eastAsia="宋体"/>
        <w:b w:val="0"/>
        <w:i w:val="0"/>
        <w:caps w:val="0"/>
        <w:strike w:val="0"/>
        <w:dstrike w:val="0"/>
        <w:vanish w:val="0"/>
        <w:color w:val="auto"/>
        <w:sz w:val="24"/>
        <w:szCs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宋体" w:cs="Coronet"/>
        <w:b w:val="0"/>
        <w:bCs w:val="0"/>
        <w:i w:val="0"/>
        <w:iCs w:val="0"/>
        <w:caps w:val="0"/>
        <w:smallCaps w:val="0"/>
        <w:strike w:val="0"/>
        <w:dstrike w:val="0"/>
        <w:vanish w:val="0"/>
        <w:spacing w:val="0"/>
        <w:kern w:val="0"/>
        <w:position w:val="0"/>
        <w:u w:val="none"/>
        <w:vertAlign w:val="baseline"/>
        <w:lang w:val="en-US"/>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007E248D"/>
    <w:rsid w:val="003C56A9"/>
    <w:rsid w:val="004964B4"/>
    <w:rsid w:val="004E2243"/>
    <w:rsid w:val="00551627"/>
    <w:rsid w:val="00667BE7"/>
    <w:rsid w:val="006E0941"/>
    <w:rsid w:val="00716EAB"/>
    <w:rsid w:val="007E248D"/>
    <w:rsid w:val="008833E6"/>
    <w:rsid w:val="008E7DDF"/>
    <w:rsid w:val="009102E5"/>
    <w:rsid w:val="009C6F11"/>
    <w:rsid w:val="00B8473B"/>
    <w:rsid w:val="00BB7897"/>
    <w:rsid w:val="00C43B00"/>
    <w:rsid w:val="00C514AC"/>
    <w:rsid w:val="00D003EC"/>
    <w:rsid w:val="00D774FB"/>
    <w:rsid w:val="00DC26F3"/>
    <w:rsid w:val="00DE4A81"/>
    <w:rsid w:val="00EC6E6C"/>
    <w:rsid w:val="00F617BE"/>
    <w:rsid w:val="00FB12F8"/>
    <w:rsid w:val="01913DF5"/>
    <w:rsid w:val="02370362"/>
    <w:rsid w:val="02B04EBD"/>
    <w:rsid w:val="04B77D73"/>
    <w:rsid w:val="05737345"/>
    <w:rsid w:val="06C71389"/>
    <w:rsid w:val="06CC7B06"/>
    <w:rsid w:val="07061550"/>
    <w:rsid w:val="07E14CFA"/>
    <w:rsid w:val="08EC6D80"/>
    <w:rsid w:val="0994708F"/>
    <w:rsid w:val="09E77F18"/>
    <w:rsid w:val="0BBC2B25"/>
    <w:rsid w:val="0BFE77BB"/>
    <w:rsid w:val="0CE57E5A"/>
    <w:rsid w:val="0E130163"/>
    <w:rsid w:val="0FF24E09"/>
    <w:rsid w:val="128F6BA3"/>
    <w:rsid w:val="12A965DD"/>
    <w:rsid w:val="14983A03"/>
    <w:rsid w:val="16B800EE"/>
    <w:rsid w:val="177121A0"/>
    <w:rsid w:val="19A10D50"/>
    <w:rsid w:val="1E460B4D"/>
    <w:rsid w:val="1E7948A6"/>
    <w:rsid w:val="1FBC4A4A"/>
    <w:rsid w:val="20783D41"/>
    <w:rsid w:val="20AC5329"/>
    <w:rsid w:val="21162F81"/>
    <w:rsid w:val="21DD6837"/>
    <w:rsid w:val="232E3EB1"/>
    <w:rsid w:val="2383244E"/>
    <w:rsid w:val="23A963CB"/>
    <w:rsid w:val="24057B5F"/>
    <w:rsid w:val="24696853"/>
    <w:rsid w:val="247C78BD"/>
    <w:rsid w:val="250B5DC7"/>
    <w:rsid w:val="256C6F12"/>
    <w:rsid w:val="257537F7"/>
    <w:rsid w:val="25B11864"/>
    <w:rsid w:val="260C6FC7"/>
    <w:rsid w:val="266546C4"/>
    <w:rsid w:val="291034DE"/>
    <w:rsid w:val="2B066B68"/>
    <w:rsid w:val="2B665A9B"/>
    <w:rsid w:val="2BA03F96"/>
    <w:rsid w:val="2F130EE6"/>
    <w:rsid w:val="2F234AE5"/>
    <w:rsid w:val="2F2B3664"/>
    <w:rsid w:val="2FEE4162"/>
    <w:rsid w:val="32C5491C"/>
    <w:rsid w:val="35680BD9"/>
    <w:rsid w:val="358F67ED"/>
    <w:rsid w:val="36E30ED0"/>
    <w:rsid w:val="371F1D45"/>
    <w:rsid w:val="37A75B88"/>
    <w:rsid w:val="38207142"/>
    <w:rsid w:val="38453BBB"/>
    <w:rsid w:val="3BAC6099"/>
    <w:rsid w:val="3C25479F"/>
    <w:rsid w:val="3D7076AF"/>
    <w:rsid w:val="3DD64512"/>
    <w:rsid w:val="3EC1562C"/>
    <w:rsid w:val="3F0E35AF"/>
    <w:rsid w:val="3F4E158E"/>
    <w:rsid w:val="4419237E"/>
    <w:rsid w:val="44F7014F"/>
    <w:rsid w:val="45D948F4"/>
    <w:rsid w:val="46F24DE3"/>
    <w:rsid w:val="47587B93"/>
    <w:rsid w:val="49FA3166"/>
    <w:rsid w:val="4AB55994"/>
    <w:rsid w:val="4B9F5BD0"/>
    <w:rsid w:val="4CBF17F2"/>
    <w:rsid w:val="4CCA458A"/>
    <w:rsid w:val="50CC6933"/>
    <w:rsid w:val="50CD705E"/>
    <w:rsid w:val="52E568E7"/>
    <w:rsid w:val="54231BA0"/>
    <w:rsid w:val="55D818D6"/>
    <w:rsid w:val="562D5084"/>
    <w:rsid w:val="574C257C"/>
    <w:rsid w:val="57563655"/>
    <w:rsid w:val="596F60AE"/>
    <w:rsid w:val="5A605F4A"/>
    <w:rsid w:val="5A885A96"/>
    <w:rsid w:val="5DAF73C1"/>
    <w:rsid w:val="5E473A9D"/>
    <w:rsid w:val="609006D2"/>
    <w:rsid w:val="630E2DDB"/>
    <w:rsid w:val="63D80CF3"/>
    <w:rsid w:val="64C86FBA"/>
    <w:rsid w:val="654C1999"/>
    <w:rsid w:val="6587477F"/>
    <w:rsid w:val="66BE66CF"/>
    <w:rsid w:val="677F3533"/>
    <w:rsid w:val="68991CEA"/>
    <w:rsid w:val="6ADC4BA2"/>
    <w:rsid w:val="6B762AC2"/>
    <w:rsid w:val="6B997D40"/>
    <w:rsid w:val="6C054650"/>
    <w:rsid w:val="6C711CE5"/>
    <w:rsid w:val="6D272415"/>
    <w:rsid w:val="6F065AB6"/>
    <w:rsid w:val="6F2F0E79"/>
    <w:rsid w:val="70205EFC"/>
    <w:rsid w:val="70787AE6"/>
    <w:rsid w:val="721320EC"/>
    <w:rsid w:val="73323C81"/>
    <w:rsid w:val="7388211F"/>
    <w:rsid w:val="73994C91"/>
    <w:rsid w:val="745A0337"/>
    <w:rsid w:val="76DD68F5"/>
    <w:rsid w:val="76FA7D0E"/>
    <w:rsid w:val="77B21B30"/>
    <w:rsid w:val="780A371A"/>
    <w:rsid w:val="79621333"/>
    <w:rsid w:val="798C319D"/>
    <w:rsid w:val="79F35C8E"/>
    <w:rsid w:val="7A85778D"/>
    <w:rsid w:val="7A923E9A"/>
    <w:rsid w:val="7C460A98"/>
    <w:rsid w:val="7D7B4DE1"/>
    <w:rsid w:val="7E2E7A36"/>
    <w:rsid w:val="7EB2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4">
    <w:name w:val="heading 1"/>
    <w:basedOn w:val="1"/>
    <w:next w:val="1"/>
    <w:qFormat/>
    <w:uiPriority w:val="0"/>
    <w:pPr>
      <w:keepNext/>
      <w:keepLines/>
      <w:numPr>
        <w:ilvl w:val="0"/>
        <w:numId w:val="1"/>
      </w:numPr>
      <w:outlineLvl w:val="0"/>
    </w:pPr>
    <w:rPr>
      <w:b/>
      <w:kern w:val="0"/>
      <w:sz w:val="28"/>
      <w:szCs w:val="28"/>
    </w:rPr>
  </w:style>
  <w:style w:type="paragraph" w:styleId="5">
    <w:name w:val="heading 2"/>
    <w:basedOn w:val="1"/>
    <w:next w:val="1"/>
    <w:qFormat/>
    <w:uiPriority w:val="0"/>
    <w:pPr>
      <w:keepNext/>
      <w:keepLines/>
      <w:widowControl w:val="0"/>
      <w:spacing w:before="50" w:beforeLines="50" w:after="50" w:afterLines="50" w:line="560" w:lineRule="exact"/>
      <w:ind w:firstLine="640" w:firstLineChars="200"/>
      <w:outlineLvl w:val="1"/>
    </w:pPr>
    <w:rPr>
      <w:rFonts w:ascii="仿宋" w:hAnsi="宋体" w:eastAsia="楷体" w:cs="仿宋"/>
      <w:b/>
      <w:bCs/>
      <w:kern w:val="2"/>
      <w:sz w:val="36"/>
      <w:szCs w:val="32"/>
      <w:lang w:val="en-US" w:eastAsia="zh-CN" w:bidi="ar-SA"/>
    </w:rPr>
  </w:style>
  <w:style w:type="paragraph" w:styleId="6">
    <w:name w:val="heading 3"/>
    <w:basedOn w:val="1"/>
    <w:next w:val="1"/>
    <w:qFormat/>
    <w:uiPriority w:val="0"/>
    <w:pPr>
      <w:keepNext/>
      <w:keepLines/>
      <w:spacing w:line="360" w:lineRule="auto"/>
      <w:ind w:firstLine="200" w:firstLineChars="200"/>
      <w:outlineLvl w:val="2"/>
    </w:pPr>
    <w:rPr>
      <w:bCs/>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spacing w:after="120" w:afterLines="0"/>
      <w:ind w:left="420" w:leftChars="200"/>
    </w:pPr>
  </w:style>
  <w:style w:type="paragraph" w:styleId="7">
    <w:name w:val="Normal Indent"/>
    <w:basedOn w:val="1"/>
    <w:qFormat/>
    <w:uiPriority w:val="0"/>
    <w:pPr>
      <w:ind w:firstLine="420" w:firstLineChars="200"/>
    </w:pPr>
    <w:rPr>
      <w:rFonts w:ascii="宋体" w:hAnsi="宋体"/>
    </w:rPr>
  </w:style>
  <w:style w:type="paragraph" w:styleId="8">
    <w:name w:val="index 5"/>
    <w:basedOn w:val="1"/>
    <w:next w:val="1"/>
    <w:qFormat/>
    <w:uiPriority w:val="0"/>
    <w:pPr>
      <w:ind w:left="800" w:leftChars="800"/>
    </w:pPr>
  </w:style>
  <w:style w:type="paragraph" w:styleId="9">
    <w:name w:val="Body Text"/>
    <w:basedOn w:val="1"/>
    <w:next w:val="10"/>
    <w:qFormat/>
    <w:uiPriority w:val="0"/>
    <w:rPr>
      <w:rFonts w:eastAsia="华文中宋"/>
      <w:b/>
      <w:bCs/>
      <w:w w:val="90"/>
      <w:sz w:val="44"/>
    </w:rPr>
  </w:style>
  <w:style w:type="paragraph" w:customStyle="1" w:styleId="10">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11">
    <w:name w:val="Block Text"/>
    <w:basedOn w:val="1"/>
    <w:next w:val="12"/>
    <w:qFormat/>
    <w:uiPriority w:val="99"/>
    <w:pPr>
      <w:spacing w:line="480" w:lineRule="exact"/>
      <w:ind w:left="-125" w:right="-56" w:firstLine="570"/>
    </w:pPr>
    <w:rPr>
      <w:sz w:val="28"/>
      <w:szCs w:val="24"/>
    </w:rPr>
  </w:style>
  <w:style w:type="paragraph" w:styleId="12">
    <w:name w:val="toc 9"/>
    <w:basedOn w:val="1"/>
    <w:next w:val="1"/>
    <w:qFormat/>
    <w:uiPriority w:val="39"/>
    <w:pPr>
      <w:jc w:val="center"/>
    </w:pPr>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footnote text"/>
    <w:basedOn w:val="1"/>
    <w:next w:val="8"/>
    <w:unhideWhenUsed/>
    <w:qFormat/>
    <w:uiPriority w:val="99"/>
    <w:pPr>
      <w:snapToGrid w:val="0"/>
      <w:jc w:val="left"/>
    </w:pPr>
    <w:rPr>
      <w:rFonts w:ascii="Calibri" w:hAnsi="Calibri" w:eastAsia="仿宋" w:cs="Times New Roman"/>
      <w:sz w:val="18"/>
      <w:szCs w:val="18"/>
    </w:rPr>
  </w:style>
  <w:style w:type="paragraph" w:styleId="16">
    <w:name w:val="Body Text 2"/>
    <w:basedOn w:val="1"/>
    <w:unhideWhenUsed/>
    <w:qFormat/>
    <w:uiPriority w:val="99"/>
    <w:pPr>
      <w:spacing w:after="120" w:line="480" w:lineRule="auto"/>
    </w:pPr>
  </w:style>
  <w:style w:type="character" w:styleId="19">
    <w:name w:val="page number"/>
    <w:basedOn w:val="18"/>
    <w:qFormat/>
    <w:uiPriority w:val="0"/>
  </w:style>
  <w:style w:type="paragraph" w:customStyle="1" w:styleId="20">
    <w:name w:val="Default"/>
    <w:basedOn w:val="21"/>
    <w:next w:val="1"/>
    <w:unhideWhenUsed/>
    <w:qFormat/>
    <w:uiPriority w:val="0"/>
    <w:pPr>
      <w:tabs>
        <w:tab w:val="left" w:pos="2760"/>
      </w:tabs>
      <w:autoSpaceDE w:val="0"/>
      <w:autoSpaceDN w:val="0"/>
    </w:pPr>
    <w:rPr>
      <w:rFonts w:hAnsi="宋体" w:eastAsia="宋体"/>
      <w:color w:val="000000"/>
      <w:sz w:val="24"/>
    </w:rPr>
  </w:style>
  <w:style w:type="paragraph" w:customStyle="1" w:styleId="21">
    <w:name w:val="纯文本1"/>
    <w:basedOn w:val="1"/>
    <w:qFormat/>
    <w:uiPriority w:val="0"/>
    <w:pPr>
      <w:tabs>
        <w:tab w:val="left" w:pos="2760"/>
      </w:tabs>
      <w:adjustRightInd w:val="0"/>
    </w:pPr>
    <w:rPr>
      <w:rFonts w:ascii="宋体" w:hAnsi="Courier New"/>
    </w:rPr>
  </w:style>
  <w:style w:type="paragraph" w:customStyle="1" w:styleId="22">
    <w:name w:val="Char"/>
    <w:basedOn w:val="1"/>
    <w:qFormat/>
    <w:uiPriority w:val="0"/>
    <w:rPr>
      <w:rFonts w:cs="宋体"/>
      <w:sz w:val="28"/>
    </w:rPr>
  </w:style>
  <w:style w:type="paragraph" w:customStyle="1" w:styleId="23">
    <w:name w:val="YJ正文*"/>
    <w:basedOn w:val="1"/>
    <w:qFormat/>
    <w:uiPriority w:val="0"/>
    <w:pPr>
      <w:spacing w:line="500" w:lineRule="exact"/>
      <w:ind w:firstLine="200" w:firstLineChars="200"/>
      <w:jc w:val="both"/>
    </w:pPr>
    <w:rPr>
      <w:rFonts w:ascii="等线" w:hAnsi="等线" w:eastAsia="宋体"/>
      <w:sz w:val="24"/>
    </w:rPr>
  </w:style>
  <w:style w:type="paragraph" w:customStyle="1" w:styleId="24">
    <w:name w:val="表字-书"/>
    <w:basedOn w:val="1"/>
    <w:qFormat/>
    <w:uiPriority w:val="0"/>
    <w:pPr>
      <w:spacing w:line="240" w:lineRule="exact"/>
      <w:ind w:firstLine="0" w:firstLineChars="0"/>
      <w:jc w:val="center"/>
    </w:pPr>
    <w:rPr>
      <w:rFonts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2022</Words>
  <Characters>2164</Characters>
  <Lines>11</Lines>
  <Paragraphs>3</Paragraphs>
  <TotalTime>1</TotalTime>
  <ScaleCrop>false</ScaleCrop>
  <LinksUpToDate>false</LinksUpToDate>
  <CharactersWithSpaces>2204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2020-12-18T12:29:00Z</dcterms:created>
  <dc:creator>Administrator</dc:creator>
  <cp:lastModifiedBy>风的自由</cp:lastModifiedBy>
  <cp:lastPrinted>2024-11-21T03:27:00Z</cp:lastPrinted>
  <dcterms:modified xsi:type="dcterms:W3CDTF">2025-12-12T02:39:41Z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E0CE776F7F094F069430374E69BF3CFF_13</vt:lpwstr>
  </property>
  <property fmtid="{D5CDD505-2E9C-101B-9397-08002B2CF9AE}" pid="4" name="KSOTemplateDocerSaveRecord">
    <vt:lpwstr>eyJoZGlkIjoiODBjNzYxYmIzOWJkMDlmNzJmZjdjMmNkNDkzMGYxZDkiLCJ1c2VySWQiOiI1NTE5NjI2NTYifQ==</vt:lpwstr>
  </property>
</Properties>
</file>