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BD914">
      <w:pPr>
        <w:keepNext w:val="0"/>
        <w:keepLines w:val="0"/>
        <w:pageBreakBefore w:val="0"/>
        <w:widowControl w:val="0"/>
        <w:tabs>
          <w:tab w:val="left" w:pos="4982"/>
        </w:tabs>
        <w:kinsoku/>
        <w:wordWrap/>
        <w:overflowPunct/>
        <w:topLinePunct w:val="0"/>
        <w:autoSpaceDE/>
        <w:autoSpaceDN/>
        <w:bidi w:val="0"/>
        <w:adjustRightInd/>
        <w:snapToGrid/>
        <w:spacing w:line="800" w:lineRule="exact"/>
        <w:textAlignment w:val="auto"/>
        <w:rPr>
          <w:rFonts w:hint="default" w:ascii="仿宋_GB2312" w:eastAsia="仿宋_GB2312"/>
          <w:snapToGrid w:val="0"/>
          <w:kern w:val="0"/>
          <w:sz w:val="32"/>
          <w:szCs w:val="32"/>
          <w:lang w:val="en-US" w:eastAsia="zh-CN"/>
        </w:rPr>
      </w:pPr>
      <w:r>
        <w:rPr>
          <w:rFonts w:hint="eastAsia" w:ascii="仿宋_GB2312" w:eastAsia="仿宋_GB2312"/>
          <w:snapToGrid w:val="0"/>
          <w:kern w:val="0"/>
          <w:sz w:val="32"/>
          <w:szCs w:val="32"/>
          <w:lang w:val="en-US" w:eastAsia="zh-CN"/>
        </w:rPr>
        <w:tab/>
      </w:r>
      <w:r>
        <w:rPr>
          <w:rFonts w:hint="eastAsia" w:ascii="仿宋_GB2312" w:eastAsia="仿宋_GB2312"/>
          <w:snapToGrid w:val="0"/>
          <w:kern w:val="0"/>
          <w:sz w:val="32"/>
          <w:szCs w:val="32"/>
          <w:lang w:val="en-US" w:eastAsia="zh-CN"/>
        </w:rPr>
        <w:t xml:space="preserve">                  </w:t>
      </w:r>
    </w:p>
    <w:p w14:paraId="73A69D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kern w:val="0"/>
          <w:sz w:val="32"/>
          <w:szCs w:val="32"/>
        </w:rPr>
      </w:pPr>
      <w:r>
        <w:rPr>
          <w:rFonts w:hint="eastAsia" w:ascii="仿宋_GB2312" w:eastAsia="仿宋_GB2312"/>
          <w:snapToGrid w:val="0"/>
          <w:kern w:val="0"/>
          <w:sz w:val="32"/>
          <w:szCs w:val="32"/>
        </w:rPr>
        <w:t xml:space="preserve">                              </w:t>
      </w:r>
      <w:r>
        <w:rPr>
          <w:rFonts w:hint="default" w:ascii="Times New Roman" w:hAnsi="Times New Roman" w:eastAsia="仿宋_GB2312" w:cs="Times New Roman"/>
          <w:snapToGrid w:val="0"/>
          <w:kern w:val="0"/>
          <w:sz w:val="32"/>
          <w:szCs w:val="32"/>
        </w:rPr>
        <w:t xml:space="preserve">  师市环审〔202</w:t>
      </w:r>
      <w:r>
        <w:rPr>
          <w:rFonts w:hint="default" w:ascii="Times New Roman" w:hAnsi="Times New Roman" w:eastAsia="仿宋_GB2312" w:cs="Times New Roman"/>
          <w:snapToGrid w:val="0"/>
          <w:kern w:val="0"/>
          <w:sz w:val="32"/>
          <w:szCs w:val="32"/>
          <w:lang w:val="en-US" w:eastAsia="zh-CN"/>
        </w:rPr>
        <w:t>5</w:t>
      </w:r>
      <w:r>
        <w:rPr>
          <w:rFonts w:hint="default" w:ascii="Times New Roman" w:hAnsi="Times New Roman" w:eastAsia="仿宋_GB2312" w:cs="Times New Roman"/>
          <w:snapToGrid w:val="0"/>
          <w:kern w:val="0"/>
          <w:sz w:val="32"/>
          <w:szCs w:val="32"/>
        </w:rPr>
        <w:t>〕</w:t>
      </w:r>
      <w:r>
        <w:rPr>
          <w:rFonts w:hint="eastAsia" w:eastAsia="仿宋_GB2312" w:cs="Times New Roman"/>
          <w:snapToGrid w:val="0"/>
          <w:kern w:val="0"/>
          <w:sz w:val="32"/>
          <w:szCs w:val="32"/>
          <w:lang w:val="en-US" w:eastAsia="zh-CN"/>
        </w:rPr>
        <w:t>43</w:t>
      </w:r>
      <w:r>
        <w:rPr>
          <w:rFonts w:hint="default" w:ascii="Times New Roman" w:hAnsi="Times New Roman" w:eastAsia="仿宋_GB2312" w:cs="Times New Roman"/>
          <w:snapToGrid w:val="0"/>
          <w:kern w:val="0"/>
          <w:sz w:val="32"/>
          <w:szCs w:val="32"/>
        </w:rPr>
        <w:t>号</w:t>
      </w:r>
    </w:p>
    <w:p w14:paraId="41EC6DD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p>
    <w:p w14:paraId="0BF049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kern w:val="2"/>
          <w:sz w:val="44"/>
          <w:szCs w:val="44"/>
          <w:highlight w:val="none"/>
          <w:lang w:val="zh-CN"/>
        </w:rPr>
      </w:pPr>
      <w:r>
        <w:rPr>
          <w:rFonts w:hint="eastAsia" w:ascii="方正小标宋简体" w:hAnsi="宋体" w:eastAsia="方正小标宋简体"/>
          <w:bCs/>
          <w:snapToGrid w:val="0"/>
          <w:kern w:val="0"/>
          <w:sz w:val="44"/>
          <w:szCs w:val="44"/>
        </w:rPr>
        <w:t>关于</w:t>
      </w:r>
      <w:r>
        <w:rPr>
          <w:rFonts w:hint="default" w:ascii="Times New Roman" w:hAnsi="Times New Roman" w:eastAsia="方正小标宋简体" w:cs="Times New Roman"/>
          <w:color w:val="auto"/>
          <w:kern w:val="2"/>
          <w:sz w:val="44"/>
          <w:szCs w:val="44"/>
          <w:highlight w:val="none"/>
          <w:lang w:val="zh-CN"/>
        </w:rPr>
        <w:t>克拉玛依疆润化工材料有限公司3万吨/年植物源小分子脂肪酸有机碳营养型水溶肥</w:t>
      </w:r>
    </w:p>
    <w:p w14:paraId="13FE4E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bCs/>
          <w:snapToGrid w:val="0"/>
          <w:kern w:val="0"/>
          <w:sz w:val="44"/>
          <w:szCs w:val="44"/>
        </w:rPr>
      </w:pPr>
      <w:r>
        <w:rPr>
          <w:rFonts w:hint="default" w:ascii="Times New Roman" w:hAnsi="Times New Roman" w:eastAsia="方正小标宋简体" w:cs="Times New Roman"/>
          <w:color w:val="auto"/>
          <w:kern w:val="2"/>
          <w:sz w:val="44"/>
          <w:szCs w:val="44"/>
          <w:highlight w:val="none"/>
          <w:lang w:val="zh-CN"/>
        </w:rPr>
        <w:t>及菌肥项目</w:t>
      </w:r>
      <w:r>
        <w:rPr>
          <w:rFonts w:hint="eastAsia" w:ascii="方正小标宋简体" w:hAnsi="宋体" w:eastAsia="方正小标宋简体"/>
          <w:bCs/>
          <w:snapToGrid w:val="0"/>
          <w:kern w:val="0"/>
          <w:sz w:val="44"/>
          <w:szCs w:val="44"/>
          <w:lang w:val="zh-CN"/>
        </w:rPr>
        <w:t>环境影响报告</w:t>
      </w:r>
      <w:r>
        <w:rPr>
          <w:rFonts w:hint="eastAsia" w:ascii="方正小标宋简体" w:hAnsi="宋体" w:eastAsia="方正小标宋简体"/>
          <w:bCs/>
          <w:snapToGrid w:val="0"/>
          <w:kern w:val="0"/>
          <w:sz w:val="44"/>
          <w:szCs w:val="44"/>
        </w:rPr>
        <w:t>表</w:t>
      </w:r>
      <w:r>
        <w:rPr>
          <w:rFonts w:hint="eastAsia" w:ascii="方正小标宋简体" w:hAnsi="宋体" w:eastAsia="方正小标宋简体"/>
          <w:bCs/>
          <w:snapToGrid w:val="0"/>
          <w:kern w:val="0"/>
          <w:sz w:val="44"/>
          <w:szCs w:val="44"/>
          <w:lang w:val="en-US" w:eastAsia="zh-CN"/>
        </w:rPr>
        <w:t>的</w:t>
      </w:r>
      <w:r>
        <w:rPr>
          <w:rFonts w:hint="eastAsia" w:ascii="方正小标宋简体" w:hAnsi="宋体" w:eastAsia="方正小标宋简体"/>
          <w:bCs/>
          <w:snapToGrid w:val="0"/>
          <w:kern w:val="0"/>
          <w:sz w:val="44"/>
          <w:szCs w:val="44"/>
        </w:rPr>
        <w:t>批复</w:t>
      </w:r>
    </w:p>
    <w:p w14:paraId="48F0C9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Cs/>
          <w:snapToGrid w:val="0"/>
          <w:kern w:val="0"/>
          <w:sz w:val="32"/>
          <w:szCs w:val="32"/>
        </w:rPr>
      </w:pPr>
    </w:p>
    <w:p w14:paraId="030CAA5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克拉玛依疆润化工材料有限公司</w:t>
      </w:r>
      <w:r>
        <w:rPr>
          <w:rFonts w:hint="default" w:ascii="Times New Roman" w:hAnsi="Times New Roman" w:eastAsia="仿宋_GB2312" w:cs="Times New Roman"/>
          <w:sz w:val="32"/>
          <w:szCs w:val="32"/>
        </w:rPr>
        <w:t>：</w:t>
      </w:r>
    </w:p>
    <w:p w14:paraId="319D04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你公司《关于审批&lt;</w:t>
      </w:r>
      <w:r>
        <w:rPr>
          <w:rFonts w:hint="default" w:ascii="Times New Roman" w:hAnsi="Times New Roman" w:eastAsia="仿宋_GB2312" w:cs="Times New Roman"/>
          <w:sz w:val="32"/>
          <w:szCs w:val="32"/>
          <w:lang w:val="zh-CN"/>
        </w:rPr>
        <w:t>克拉玛依疆润化工材料有限公司3万吨/年植物源小分子脂肪酸有机碳营养型水溶肥及菌肥项目</w:t>
      </w:r>
      <w:r>
        <w:rPr>
          <w:rFonts w:hint="default" w:ascii="Times New Roman" w:hAnsi="Times New Roman" w:eastAsia="仿宋_GB2312" w:cs="Times New Roman"/>
          <w:sz w:val="32"/>
          <w:szCs w:val="32"/>
        </w:rPr>
        <w:t>&gt;的请示》收悉。经研究，批复如下：</w:t>
      </w:r>
    </w:p>
    <w:p w14:paraId="5A11AC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一、该项目</w:t>
      </w:r>
      <w:r>
        <w:rPr>
          <w:rFonts w:hint="default" w:ascii="Times New Roman" w:hAnsi="Times New Roman" w:eastAsia="仿宋_GB2312" w:cs="Times New Roman"/>
          <w:sz w:val="32"/>
          <w:szCs w:val="32"/>
          <w:lang w:val="en-US" w:eastAsia="zh-CN"/>
        </w:rPr>
        <w:t>位于第七师胡杨河经济技术开发区南园区，项目区中心地理位置坐标为</w:t>
      </w:r>
      <w:bookmarkStart w:id="0" w:name="_Hlk180516248"/>
      <w:r>
        <w:rPr>
          <w:rFonts w:hint="default" w:ascii="Times New Roman" w:hAnsi="Times New Roman" w:eastAsia="仿宋_GB2312" w:cs="Times New Roman"/>
          <w:sz w:val="32"/>
          <w:szCs w:val="32"/>
          <w:lang w:val="en-US" w:eastAsia="zh-CN"/>
        </w:rPr>
        <w:t>84°53'10.772″，北纬44°48'54.320″。</w:t>
      </w:r>
      <w:bookmarkEnd w:id="0"/>
      <w:r>
        <w:rPr>
          <w:rFonts w:hint="default" w:ascii="Times New Roman" w:hAnsi="Times New Roman" w:eastAsia="仿宋_GB2312" w:cs="Times New Roman"/>
          <w:sz w:val="32"/>
          <w:szCs w:val="32"/>
          <w:lang w:val="en-US" w:eastAsia="zh-CN"/>
        </w:rPr>
        <w:t>项目为改建工程，建设植物源小分子脂肪酸有机碳营养型水溶肥及菌肥生产线各1条及配套设施。项目总投资500万元，其中环保投资98万元，占总投资的19.6%。</w:t>
      </w:r>
    </w:p>
    <w:p w14:paraId="05EE05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项目实施后会对环境造成一定不利影响，必须严格落实各项污染防治和生态环境保护措施，采取严格的环境风险防范措施、环境管理制度、环境监控和应急措施。综合考虑，我局原则同意该项目环境影响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中所列建设项目的性质、规模、地点、工艺和环境保护对策措施。</w:t>
      </w:r>
    </w:p>
    <w:p w14:paraId="1ACB3F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14:paraId="62AAB7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（一）严格落实大气污染防治措施。</w:t>
      </w:r>
      <w:r>
        <w:rPr>
          <w:rFonts w:hint="default" w:ascii="Times New Roman" w:hAnsi="Times New Roman" w:eastAsia="仿宋_GB2312" w:cs="Times New Roman"/>
          <w:b w:val="0"/>
          <w:bCs/>
          <w:sz w:val="32"/>
          <w:szCs w:val="32"/>
          <w:lang w:val="en-US" w:eastAsia="zh-CN"/>
        </w:rPr>
        <w:t>菌肥及土调类产品生产线产生的废气经集气罩收集通过布袋除尘器处理后由15米高的排气筒（DA002）排放，废气中颗粒物排放</w:t>
      </w:r>
      <w:r>
        <w:rPr>
          <w:rFonts w:hint="eastAsia" w:eastAsia="仿宋_GB2312" w:cs="Times New Roman"/>
          <w:b w:val="0"/>
          <w:bCs/>
          <w:sz w:val="32"/>
          <w:szCs w:val="32"/>
          <w:lang w:val="en-US" w:eastAsia="zh-CN"/>
        </w:rPr>
        <w:t>执行</w:t>
      </w:r>
      <w:r>
        <w:rPr>
          <w:rFonts w:hint="default" w:ascii="Times New Roman" w:hAnsi="Times New Roman" w:eastAsia="仿宋_GB2312" w:cs="Times New Roman"/>
          <w:b w:val="0"/>
          <w:bCs/>
          <w:sz w:val="32"/>
          <w:szCs w:val="32"/>
          <w:lang w:val="en-US" w:eastAsia="zh-CN"/>
        </w:rPr>
        <w:t>《大气污染物综合排放标准》（GB16297-1996）表2新污染源大气污染物排放限值二级要求。有机废水沉淀产生的废气经活性炭吸附+碱液喷淋处理后由15米高的排气筒（DA001）排放，废气中氨气、硫化氢、臭气浓度排放</w:t>
      </w:r>
      <w:r>
        <w:rPr>
          <w:rFonts w:hint="eastAsia" w:eastAsia="仿宋_GB2312" w:cs="Times New Roman"/>
          <w:b w:val="0"/>
          <w:bCs/>
          <w:sz w:val="32"/>
          <w:szCs w:val="32"/>
          <w:lang w:val="en-US" w:eastAsia="zh-CN"/>
        </w:rPr>
        <w:t>执行</w:t>
      </w:r>
      <w:r>
        <w:rPr>
          <w:rFonts w:hint="default" w:ascii="Times New Roman" w:hAnsi="Times New Roman" w:eastAsia="仿宋_GB2312" w:cs="Times New Roman"/>
          <w:b w:val="0"/>
          <w:bCs/>
          <w:sz w:val="32"/>
          <w:szCs w:val="32"/>
          <w:lang w:val="en-US" w:eastAsia="zh-CN"/>
        </w:rPr>
        <w:t>《恶臭污染物排放标准》（GB14554-93）表2排放限值要求，非甲烷总烃浓度排放</w:t>
      </w:r>
      <w:r>
        <w:rPr>
          <w:rFonts w:hint="eastAsia" w:eastAsia="仿宋_GB2312" w:cs="Times New Roman"/>
          <w:b w:val="0"/>
          <w:bCs/>
          <w:sz w:val="32"/>
          <w:szCs w:val="32"/>
          <w:lang w:val="en-US" w:eastAsia="zh-CN"/>
        </w:rPr>
        <w:t>执行</w:t>
      </w:r>
      <w:r>
        <w:rPr>
          <w:rFonts w:hint="default" w:ascii="Times New Roman" w:hAnsi="Times New Roman" w:eastAsia="仿宋_GB2312" w:cs="Times New Roman"/>
          <w:b w:val="0"/>
          <w:bCs/>
          <w:sz w:val="32"/>
          <w:szCs w:val="32"/>
          <w:lang w:val="en-US" w:eastAsia="zh-CN"/>
        </w:rPr>
        <w:t>《大气污染物综合排放标准》（GB16297-1996）表2新污染源大气污染物排放限值二级要求。</w:t>
      </w:r>
    </w:p>
    <w:p w14:paraId="35F356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b w:val="0"/>
          <w:bCs w:val="0"/>
          <w:w w:val="100"/>
          <w:kern w:val="2"/>
          <w:sz w:val="32"/>
          <w:szCs w:val="32"/>
          <w:lang w:val="en-US" w:eastAsia="zh-CN" w:bidi="ar-SA"/>
        </w:rPr>
      </w:pPr>
      <w:r>
        <w:rPr>
          <w:rFonts w:hint="eastAsia" w:eastAsia="仿宋_GB2312" w:cs="Times New Roman"/>
          <w:b w:val="0"/>
          <w:bCs w:val="0"/>
          <w:w w:val="100"/>
          <w:kern w:val="2"/>
          <w:sz w:val="32"/>
          <w:szCs w:val="32"/>
          <w:lang w:val="en-US" w:eastAsia="zh-CN" w:bidi="ar-SA"/>
        </w:rPr>
        <w:t>项目菌肥及土调类产品生产线破碎、筛分、造粒生产车间和发酵车间厂房全封闭，沉淀池全封闭，喷洒除臭剂；有机物料发酵工序产生的废气经覆膜+雾化喷淋微生物除臭系统处理。厂界颗粒物、非甲烷总烃无组织排放执行《大气污染物综合排放标准》（GB16297-1996）表2无组织排放监控浓度限值要求；厂界氨气、硫化氢、臭气浓度无组织排放执行《恶臭污染物排放标准》（GB14554-93）表1二级新扩改建标准限值要求。</w:t>
      </w:r>
    </w:p>
    <w:p w14:paraId="359763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二</w:t>
      </w:r>
      <w:r>
        <w:rPr>
          <w:rFonts w:hint="default" w:ascii="Times New Roman" w:hAnsi="Times New Roman" w:eastAsia="仿宋_GB2312" w:cs="Times New Roman"/>
          <w:sz w:val="32"/>
          <w:szCs w:val="32"/>
        </w:rPr>
        <w:t>）严格落实</w:t>
      </w:r>
      <w:r>
        <w:rPr>
          <w:rFonts w:hint="eastAsia" w:ascii="Times New Roman" w:hAnsi="Times New Roman" w:eastAsia="仿宋_GB2312" w:cs="Times New Roman"/>
          <w:sz w:val="32"/>
          <w:szCs w:val="32"/>
          <w:lang w:val="en-US" w:eastAsia="zh-CN"/>
        </w:rPr>
        <w:t>水</w:t>
      </w:r>
      <w:r>
        <w:rPr>
          <w:rFonts w:hint="default" w:ascii="Times New Roman" w:hAnsi="Times New Roman" w:eastAsia="仿宋_GB2312" w:cs="Times New Roman"/>
          <w:sz w:val="32"/>
          <w:szCs w:val="32"/>
        </w:rPr>
        <w:t>污染防治措施。</w:t>
      </w:r>
      <w:r>
        <w:rPr>
          <w:rFonts w:hint="default" w:ascii="Times New Roman" w:hAnsi="Times New Roman" w:eastAsia="仿宋_GB2312" w:cs="仿宋_GB2312"/>
          <w:color w:val="000000"/>
          <w:kern w:val="2"/>
          <w:sz w:val="32"/>
          <w:szCs w:val="32"/>
          <w:highlight w:val="none"/>
          <w:lang w:val="en-US" w:eastAsia="zh-CN"/>
        </w:rPr>
        <w:t>项目实验废水经</w:t>
      </w:r>
      <w:r>
        <w:rPr>
          <w:rFonts w:hint="eastAsia" w:ascii="Times New Roman" w:hAnsi="Times New Roman" w:eastAsia="仿宋_GB2312" w:cs="仿宋_GB2312"/>
          <w:color w:val="000000"/>
          <w:kern w:val="2"/>
          <w:sz w:val="32"/>
          <w:szCs w:val="32"/>
          <w:highlight w:val="none"/>
          <w:lang w:val="en-US" w:eastAsia="zh-CN"/>
        </w:rPr>
        <w:t>“</w:t>
      </w:r>
      <w:r>
        <w:rPr>
          <w:rFonts w:hint="default" w:ascii="Times New Roman" w:hAnsi="Times New Roman" w:eastAsia="仿宋_GB2312" w:cs="仿宋_GB2312"/>
          <w:color w:val="000000"/>
          <w:kern w:val="2"/>
          <w:sz w:val="32"/>
          <w:szCs w:val="32"/>
          <w:highlight w:val="none"/>
          <w:lang w:val="en-US" w:eastAsia="zh-CN"/>
        </w:rPr>
        <w:t>中和</w:t>
      </w:r>
      <w:r>
        <w:rPr>
          <w:rFonts w:hint="eastAsia" w:ascii="Times New Roman" w:hAnsi="Times New Roman" w:eastAsia="仿宋_GB2312" w:cs="仿宋_GB2312"/>
          <w:color w:val="000000"/>
          <w:kern w:val="2"/>
          <w:sz w:val="32"/>
          <w:szCs w:val="32"/>
          <w:highlight w:val="none"/>
          <w:lang w:val="en-US" w:eastAsia="zh-CN"/>
        </w:rPr>
        <w:t>+</w:t>
      </w:r>
      <w:r>
        <w:rPr>
          <w:rFonts w:hint="default" w:ascii="Times New Roman" w:hAnsi="Times New Roman" w:eastAsia="仿宋_GB2312" w:cs="仿宋_GB2312"/>
          <w:color w:val="000000"/>
          <w:kern w:val="2"/>
          <w:sz w:val="32"/>
          <w:szCs w:val="32"/>
          <w:highlight w:val="none"/>
          <w:lang w:val="en-US" w:eastAsia="zh-CN"/>
        </w:rPr>
        <w:t>沉淀</w:t>
      </w:r>
      <w:r>
        <w:rPr>
          <w:rFonts w:hint="eastAsia" w:ascii="Times New Roman" w:hAnsi="Times New Roman" w:eastAsia="仿宋_GB2312" w:cs="仿宋_GB2312"/>
          <w:color w:val="000000"/>
          <w:kern w:val="2"/>
          <w:sz w:val="32"/>
          <w:szCs w:val="32"/>
          <w:highlight w:val="none"/>
          <w:lang w:val="en-US" w:eastAsia="zh-CN"/>
        </w:rPr>
        <w:t>+</w:t>
      </w:r>
      <w:r>
        <w:rPr>
          <w:rFonts w:hint="default" w:ascii="Times New Roman" w:hAnsi="Times New Roman" w:eastAsia="仿宋_GB2312" w:cs="仿宋_GB2312"/>
          <w:color w:val="000000"/>
          <w:kern w:val="2"/>
          <w:sz w:val="32"/>
          <w:szCs w:val="32"/>
          <w:highlight w:val="none"/>
          <w:lang w:val="en-US" w:eastAsia="zh-CN"/>
        </w:rPr>
        <w:t>过滤</w:t>
      </w:r>
      <w:r>
        <w:rPr>
          <w:rFonts w:hint="eastAsia" w:ascii="Times New Roman" w:hAnsi="Times New Roman" w:eastAsia="仿宋_GB2312" w:cs="仿宋_GB2312"/>
          <w:color w:val="000000"/>
          <w:kern w:val="2"/>
          <w:sz w:val="32"/>
          <w:szCs w:val="32"/>
          <w:highlight w:val="none"/>
          <w:lang w:val="en-US" w:eastAsia="zh-CN"/>
        </w:rPr>
        <w:t>+</w:t>
      </w:r>
      <w:r>
        <w:rPr>
          <w:rFonts w:hint="default" w:ascii="Times New Roman" w:hAnsi="Times New Roman" w:eastAsia="仿宋_GB2312" w:cs="仿宋_GB2312"/>
          <w:color w:val="000000"/>
          <w:kern w:val="2"/>
          <w:sz w:val="32"/>
          <w:szCs w:val="32"/>
          <w:highlight w:val="none"/>
          <w:lang w:val="en-US" w:eastAsia="zh-CN"/>
        </w:rPr>
        <w:t>消毒灭菌</w:t>
      </w:r>
      <w:r>
        <w:rPr>
          <w:rFonts w:hint="eastAsia" w:ascii="Times New Roman" w:hAnsi="Times New Roman" w:eastAsia="仿宋_GB2312" w:cs="仿宋_GB2312"/>
          <w:color w:val="000000"/>
          <w:kern w:val="2"/>
          <w:sz w:val="32"/>
          <w:szCs w:val="32"/>
          <w:highlight w:val="none"/>
          <w:lang w:val="en-US" w:eastAsia="zh-CN"/>
        </w:rPr>
        <w:t>”预处理达到《污水综合排放标准》（GB8978-1996）表4三级标准</w:t>
      </w:r>
      <w:r>
        <w:rPr>
          <w:rFonts w:hint="default" w:ascii="Times New Roman" w:hAnsi="Times New Roman" w:eastAsia="仿宋_GB2312" w:cs="仿宋_GB2312"/>
          <w:color w:val="000000"/>
          <w:kern w:val="2"/>
          <w:sz w:val="32"/>
          <w:szCs w:val="32"/>
          <w:highlight w:val="none"/>
          <w:lang w:val="en-US" w:eastAsia="zh-CN"/>
        </w:rPr>
        <w:t>后与生活污水一同排入园区排水管网，最终进入第七师胡杨河经济技术开发区化工园区南园区污水处理厂</w:t>
      </w:r>
      <w:r>
        <w:rPr>
          <w:rFonts w:hint="eastAsia" w:ascii="Times New Roman" w:hAnsi="Times New Roman" w:eastAsia="仿宋_GB2312" w:cs="仿宋_GB2312"/>
          <w:color w:val="000000"/>
          <w:kern w:val="2"/>
          <w:sz w:val="32"/>
          <w:szCs w:val="32"/>
          <w:highlight w:val="none"/>
          <w:lang w:val="en-US" w:eastAsia="zh-CN"/>
        </w:rPr>
        <w:t>处理</w:t>
      </w:r>
      <w:r>
        <w:rPr>
          <w:rFonts w:hint="default" w:ascii="Times New Roman" w:hAnsi="Times New Roman" w:eastAsia="仿宋_GB2312" w:cs="仿宋_GB2312"/>
          <w:color w:val="000000"/>
          <w:kern w:val="2"/>
          <w:sz w:val="32"/>
          <w:szCs w:val="32"/>
          <w:highlight w:val="none"/>
          <w:lang w:val="en-US" w:eastAsia="zh-CN"/>
        </w:rPr>
        <w:t>。</w:t>
      </w:r>
    </w:p>
    <w:p w14:paraId="26673A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rPr>
        <w:t>）严格落实噪声污染防治措施。选择先进可靠的低噪声设备，</w:t>
      </w:r>
      <w:r>
        <w:rPr>
          <w:rFonts w:hint="eastAsia" w:eastAsia="仿宋_GB2312" w:cs="Times New Roman"/>
          <w:sz w:val="32"/>
          <w:szCs w:val="32"/>
          <w:lang w:val="en-US" w:eastAsia="zh-CN"/>
        </w:rPr>
        <w:t>对</w:t>
      </w:r>
      <w:r>
        <w:rPr>
          <w:rFonts w:hint="default" w:ascii="Times New Roman" w:hAnsi="Times New Roman" w:eastAsia="仿宋_GB2312" w:cs="Times New Roman"/>
          <w:sz w:val="32"/>
          <w:szCs w:val="32"/>
        </w:rPr>
        <w:t>泵、风机加装消声器；强噪声设备置于室内，并采用隔声、吸音材料制作门窗、砌体等。厂界噪声排放</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rPr>
        <w:t>《工业企业厂界环境噪声排放标准》（GB12348-2008）中</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类标准要求。</w:t>
      </w:r>
    </w:p>
    <w:p w14:paraId="2FB85D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四</w:t>
      </w:r>
      <w:r>
        <w:rPr>
          <w:rFonts w:hint="default" w:ascii="Times New Roman" w:hAnsi="Times New Roman" w:eastAsia="仿宋_GB2312" w:cs="Times New Roman"/>
          <w:sz w:val="32"/>
          <w:szCs w:val="32"/>
        </w:rPr>
        <w:t>）严格落实固体废物分类处置和综合利用措施。</w:t>
      </w:r>
      <w:r>
        <w:rPr>
          <w:rFonts w:hint="default" w:ascii="Times New Roman" w:hAnsi="Times New Roman" w:eastAsia="仿宋_GB2312" w:cs="Times New Roman"/>
          <w:sz w:val="32"/>
          <w:szCs w:val="32"/>
          <w:lang w:val="en-US" w:eastAsia="zh-CN"/>
        </w:rPr>
        <w:t>废润滑油、废活性炭、废碱液</w:t>
      </w:r>
      <w:r>
        <w:rPr>
          <w:rFonts w:hint="eastAsia" w:eastAsia="仿宋_GB2312" w:cs="Times New Roman"/>
          <w:sz w:val="32"/>
          <w:szCs w:val="32"/>
          <w:lang w:val="en-US" w:eastAsia="zh-CN"/>
        </w:rPr>
        <w:t>属于危险废物，收集后暂存于现有厂区危险废物贮存间内，定期委托有资质的单位进行处置。一般固体废物中废包装收集后外售废品收集单位，除尘灰回用生产线，废布袋由厂家定期更换回收。</w:t>
      </w:r>
      <w:r>
        <w:rPr>
          <w:rFonts w:hint="default" w:ascii="Times New Roman" w:hAnsi="Times New Roman" w:eastAsia="仿宋_GB2312" w:cs="Times New Roman"/>
          <w:sz w:val="32"/>
          <w:szCs w:val="32"/>
          <w:lang w:val="en-US" w:eastAsia="zh-CN"/>
        </w:rPr>
        <w:t>危险废物的收集、贮存、运输须符合《危险废物收集 贮存 运输技术规范》（HJ2025-2012）及《危险废物贮存污染控制标准》（GB18597-2023）的相关要求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生活垃圾在厂区集中收集后定期交由环卫部门统一清运。</w:t>
      </w:r>
    </w:p>
    <w:p w14:paraId="533DDA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五</w:t>
      </w:r>
      <w:r>
        <w:rPr>
          <w:rFonts w:hint="default" w:ascii="Times New Roman" w:hAnsi="Times New Roman" w:eastAsia="仿宋_GB2312" w:cs="Times New Roman"/>
          <w:bCs/>
          <w:sz w:val="32"/>
          <w:szCs w:val="32"/>
        </w:rPr>
        <w:t>）严格落实地下水及土壤污染防治措施。</w:t>
      </w:r>
      <w:r>
        <w:rPr>
          <w:rFonts w:hint="default" w:ascii="Times New Roman" w:hAnsi="Times New Roman" w:eastAsia="仿宋_GB2312" w:cs="Times New Roman"/>
          <w:bCs/>
          <w:sz w:val="32"/>
          <w:szCs w:val="32"/>
          <w:lang w:eastAsia="zh-CN"/>
        </w:rPr>
        <w:t>按照源头防控、分区防治、污染监控、应急响应的原则进行地下水污染防治。严格按照导则要求，落实分区防渗和监控措施，</w:t>
      </w:r>
      <w:r>
        <w:rPr>
          <w:rFonts w:hint="default" w:ascii="Times New Roman" w:hAnsi="Times New Roman" w:eastAsia="仿宋_GB2312" w:cs="Times New Roman"/>
          <w:bCs/>
          <w:sz w:val="32"/>
          <w:szCs w:val="32"/>
          <w:lang w:val="en-US" w:eastAsia="zh-CN"/>
        </w:rPr>
        <w:t>对沉淀池、清液池、配料池、废水管道、水溶肥生产区、肥料加工区、发酵区</w:t>
      </w:r>
      <w:r>
        <w:rPr>
          <w:rFonts w:hint="default" w:ascii="Times New Roman" w:hAnsi="Times New Roman" w:eastAsia="仿宋_GB2312" w:cs="Times New Roman"/>
          <w:bCs/>
          <w:sz w:val="32"/>
          <w:szCs w:val="32"/>
          <w:lang w:eastAsia="zh-CN"/>
        </w:rPr>
        <w:t>进行重点防渗</w:t>
      </w:r>
      <w:r>
        <w:rPr>
          <w:rFonts w:hint="eastAsia" w:eastAsia="仿宋_GB2312" w:cs="Times New Roman"/>
          <w:bCs/>
          <w:sz w:val="32"/>
          <w:szCs w:val="32"/>
          <w:lang w:eastAsia="zh-CN"/>
        </w:rPr>
        <w:t>，</w:t>
      </w:r>
      <w:r>
        <w:rPr>
          <w:rFonts w:hint="eastAsia" w:eastAsia="仿宋_GB2312" w:cs="Times New Roman"/>
          <w:bCs/>
          <w:sz w:val="32"/>
          <w:szCs w:val="32"/>
          <w:lang w:val="en-US" w:eastAsia="zh-CN"/>
        </w:rPr>
        <w:t>对原料库、成品库、实验室</w:t>
      </w:r>
      <w:r>
        <w:rPr>
          <w:rFonts w:hint="default" w:ascii="Times New Roman" w:hAnsi="Times New Roman" w:eastAsia="仿宋_GB2312" w:cs="Times New Roman"/>
          <w:bCs/>
          <w:sz w:val="32"/>
          <w:szCs w:val="32"/>
          <w:lang w:eastAsia="zh-CN"/>
        </w:rPr>
        <w:t>进行</w:t>
      </w:r>
      <w:r>
        <w:rPr>
          <w:rFonts w:hint="eastAsia" w:ascii="Times New Roman" w:hAnsi="Times New Roman" w:eastAsia="仿宋_GB2312" w:cs="Times New Roman"/>
          <w:bCs/>
          <w:sz w:val="32"/>
          <w:szCs w:val="32"/>
          <w:lang w:val="en-US" w:eastAsia="zh-CN"/>
        </w:rPr>
        <w:t>一般</w:t>
      </w:r>
      <w:r>
        <w:rPr>
          <w:rFonts w:hint="default" w:ascii="Times New Roman" w:hAnsi="Times New Roman" w:eastAsia="仿宋_GB2312" w:cs="Times New Roman"/>
          <w:bCs/>
          <w:sz w:val="32"/>
          <w:szCs w:val="32"/>
          <w:lang w:eastAsia="zh-CN"/>
        </w:rPr>
        <w:t>防渗。</w:t>
      </w:r>
    </w:p>
    <w:p w14:paraId="6C6DB6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rPr>
        <w:t>）强化各项环境风险防范措施，有效防范环境风险。厂内定期开展环境风险应急培训和演练，落实各项应急环境管理措施以及各项风险防范措施，确保风险事故得到有效控制。</w:t>
      </w:r>
    </w:p>
    <w:p w14:paraId="2F6AE0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七</w:t>
      </w:r>
      <w:r>
        <w:rPr>
          <w:rFonts w:hint="default" w:ascii="Times New Roman" w:hAnsi="Times New Roman" w:eastAsia="仿宋_GB2312" w:cs="Times New Roman"/>
          <w:bCs/>
          <w:sz w:val="32"/>
          <w:szCs w:val="32"/>
          <w:lang w:eastAsia="zh-CN"/>
        </w:rPr>
        <w:t>）加强施工期环境保护管理工作，落实防沙治沙措施，防止施工废水、扬尘、噪声污染。</w:t>
      </w:r>
    </w:p>
    <w:p w14:paraId="40814F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八</w:t>
      </w:r>
      <w:bookmarkStart w:id="1" w:name="_GoBack"/>
      <w:bookmarkEnd w:id="1"/>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14:paraId="0E6DE9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193BE6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特别是不利环境影响加重</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的，应当重新报批该项目环境影响评价报告。</w:t>
      </w:r>
    </w:p>
    <w:p w14:paraId="1339E8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FF0000"/>
          <w:sz w:val="32"/>
          <w:szCs w:val="32"/>
          <w:highlight w:val="none"/>
        </w:rPr>
      </w:pPr>
      <w:r>
        <w:rPr>
          <w:rFonts w:hint="default" w:ascii="Times New Roman" w:hAnsi="Times New Roman" w:eastAsia="仿宋_GB2312" w:cs="Times New Roman"/>
          <w:bCs/>
          <w:sz w:val="32"/>
          <w:szCs w:val="32"/>
        </w:rPr>
        <w:t>六、在启动生产设施或者在实际排污之前，按照经批准的环境影响评价文件认真梳理并确认各项环境保护措施落实</w:t>
      </w:r>
      <w:r>
        <w:rPr>
          <w:rFonts w:hint="default" w:ascii="Times New Roman" w:hAnsi="Times New Roman" w:eastAsia="仿宋_GB2312" w:cs="Times New Roman"/>
          <w:bCs/>
          <w:color w:val="auto"/>
          <w:sz w:val="32"/>
          <w:szCs w:val="32"/>
        </w:rPr>
        <w:t>后，</w:t>
      </w:r>
      <w:r>
        <w:rPr>
          <w:rFonts w:hint="default" w:ascii="Times New Roman" w:hAnsi="Times New Roman" w:eastAsia="仿宋_GB2312" w:cs="Times New Roman"/>
          <w:bCs/>
          <w:color w:val="auto"/>
          <w:sz w:val="32"/>
          <w:szCs w:val="32"/>
          <w:highlight w:val="none"/>
        </w:rPr>
        <w:t>依法</w:t>
      </w:r>
      <w:r>
        <w:rPr>
          <w:rFonts w:hint="eastAsia" w:eastAsia="仿宋_GB2312" w:cs="Times New Roman"/>
          <w:bCs/>
          <w:color w:val="auto"/>
          <w:sz w:val="32"/>
          <w:szCs w:val="32"/>
          <w:highlight w:val="none"/>
          <w:lang w:val="en-US" w:eastAsia="zh-CN"/>
        </w:rPr>
        <w:t>重新</w:t>
      </w:r>
      <w:r>
        <w:rPr>
          <w:rFonts w:hint="default" w:ascii="Times New Roman" w:hAnsi="Times New Roman" w:eastAsia="仿宋_GB2312" w:cs="Times New Roman"/>
          <w:bCs/>
          <w:color w:val="auto"/>
          <w:sz w:val="32"/>
          <w:szCs w:val="32"/>
          <w:highlight w:val="none"/>
        </w:rPr>
        <w:t>申领排污许可证。</w:t>
      </w:r>
    </w:p>
    <w:p w14:paraId="75AA43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胡杨河经济技术开发区应急管理和环境保护局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2D11EB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送师市生态环境保护综合行政执法支队、生态环境监测站、胡杨河经济技术开发区应急管理和环境保护局，并按规定接受各级生态环境主管部门的监督检查。</w:t>
      </w:r>
    </w:p>
    <w:p w14:paraId="583E004E">
      <w:pPr>
        <w:keepNext w:val="0"/>
        <w:keepLines w:val="0"/>
        <w:pageBreakBefore w:val="0"/>
        <w:widowControl w:val="0"/>
        <w:kinsoku/>
        <w:wordWrap/>
        <w:overflowPunct/>
        <w:topLinePunct w:val="0"/>
        <w:autoSpaceDE/>
        <w:autoSpaceDN/>
        <w:bidi w:val="0"/>
        <w:adjustRightInd/>
        <w:snapToGrid/>
        <w:spacing w:line="740" w:lineRule="exact"/>
        <w:ind w:firstLine="4480" w:firstLineChars="1400"/>
        <w:textAlignment w:val="auto"/>
        <w:rPr>
          <w:rFonts w:hint="default" w:ascii="Times New Roman" w:hAnsi="Times New Roman" w:eastAsia="仿宋_GB2312" w:cs="Times New Roman"/>
          <w:bCs/>
          <w:sz w:val="32"/>
          <w:szCs w:val="32"/>
        </w:rPr>
      </w:pPr>
    </w:p>
    <w:p w14:paraId="1CEB457F">
      <w:pPr>
        <w:keepNext w:val="0"/>
        <w:keepLines w:val="0"/>
        <w:pageBreakBefore w:val="0"/>
        <w:widowControl w:val="0"/>
        <w:kinsoku/>
        <w:wordWrap/>
        <w:overflowPunct/>
        <w:topLinePunct w:val="0"/>
        <w:autoSpaceDE/>
        <w:autoSpaceDN/>
        <w:bidi w:val="0"/>
        <w:adjustRightInd/>
        <w:snapToGrid/>
        <w:spacing w:line="740" w:lineRule="exact"/>
        <w:ind w:firstLine="4480" w:firstLineChars="1400"/>
        <w:textAlignment w:val="auto"/>
        <w:rPr>
          <w:rFonts w:hint="default" w:ascii="Times New Roman" w:hAnsi="Times New Roman" w:eastAsia="仿宋_GB2312" w:cs="Times New Roman"/>
          <w:bCs/>
          <w:sz w:val="32"/>
          <w:szCs w:val="32"/>
        </w:rPr>
      </w:pPr>
    </w:p>
    <w:p w14:paraId="2CBC5884">
      <w:pPr>
        <w:spacing w:line="440" w:lineRule="exact"/>
        <w:ind w:firstLine="4800" w:firstLineChars="15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第七师胡杨河市生态环境局</w:t>
      </w:r>
    </w:p>
    <w:p w14:paraId="698587AC">
      <w:pPr>
        <w:spacing w:line="440" w:lineRule="exact"/>
        <w:ind w:firstLine="5440" w:firstLineChars="1700"/>
        <w:rPr>
          <w:rFonts w:hint="eastAsia"/>
        </w:rPr>
      </w:pPr>
      <w:r>
        <w:rPr>
          <w:rFonts w:hint="default" w:ascii="Times New Roman" w:hAnsi="Times New Roman" w:eastAsia="仿宋_GB2312" w:cs="Times New Roman"/>
          <w:bCs/>
          <w:sz w:val="32"/>
          <w:szCs w:val="32"/>
        </w:rPr>
        <w:t>202</w:t>
      </w:r>
      <w:r>
        <w:rPr>
          <w:rFonts w:hint="eastAsia" w:eastAsia="仿宋_GB2312" w:cs="Times New Roman"/>
          <w:bCs/>
          <w:sz w:val="32"/>
          <w:szCs w:val="32"/>
          <w:lang w:val="en-US" w:eastAsia="zh-CN"/>
        </w:rPr>
        <w:t>5</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10</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16</w:t>
      </w:r>
      <w:r>
        <w:rPr>
          <w:rFonts w:hint="default" w:ascii="Times New Roman" w:hAnsi="Times New Roman" w:eastAsia="仿宋_GB2312" w:cs="Times New Roman"/>
          <w:bCs/>
          <w:sz w:val="32"/>
          <w:szCs w:val="32"/>
        </w:rPr>
        <w:t>日</w:t>
      </w:r>
    </w:p>
    <w:p w14:paraId="5B3042F1">
      <w:pPr>
        <w:rPr>
          <w:rFonts w:hint="eastAsia"/>
        </w:rPr>
      </w:pPr>
    </w:p>
    <w:p w14:paraId="20E93ED5">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1437EE7D">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5FF0C941">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342DB54A">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0CBA0806">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7C73D13D">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648F3248">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5C4A598B">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151BBEBA">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764F1495">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54AC62B6">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582904F2">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1896890A">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410028BF">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3E9C67BD">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71AC9FE4">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183CF6AB">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30CCF6DC">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7B12B21A">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7A1FA48E">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48965684">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75622AA0">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0F815F09">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4CF61158">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1B92265D">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1094F72D">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7CA57671">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35FE39A4">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6C22709E">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576C7AAA">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22B27D8C">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0F12AB3F">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2F2EDFE7">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543A00C2">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48A5BD40">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7AB69D1E">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66FAAC9E">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5B97E995">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6F4F7656">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002EE8A4">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329FAE45">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44694A39">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1A32A60D">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60288;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w:t>抄送</w:t>
      </w:r>
      <w:r>
        <w:rPr>
          <w:rFonts w:hint="eastAsia" w:ascii="仿宋_GB2312" w:hAnsi="仿宋_GB2312" w:eastAsia="仿宋_GB2312" w:cs="仿宋_GB2312"/>
          <w:sz w:val="28"/>
          <w:szCs w:val="28"/>
        </w:rPr>
        <w:t>：师市生态环境保护综合行政执法支队、生态环境监测站、胡杨河经济技术开发区应急管理和环境保护局</w:t>
      </w:r>
      <w:r>
        <w:rPr>
          <w:rFonts w:hint="eastAsia" w:ascii="仿宋_GB2312" w:hAnsi="仿宋_GB2312" w:eastAsia="仿宋_GB2312" w:cs="仿宋_GB2312"/>
          <w:sz w:val="28"/>
          <w:szCs w:val="28"/>
          <w:lang w:eastAsia="zh-CN"/>
        </w:rPr>
        <w:t>。</w:t>
      </w:r>
    </w:p>
    <w:p w14:paraId="390BBF29">
      <w:pPr>
        <w:spacing w:line="600" w:lineRule="exact"/>
        <w:ind w:right="210" w:rightChars="100"/>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2336;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1312;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rPr>
        <w:t xml:space="preserve">兵团第七师胡杨河市生态环境局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val="en-US" w:eastAsia="zh-CN"/>
        </w:rPr>
        <w:t>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CDB4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C333E">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7A1C333E">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19A61553"/>
    <w:rsid w:val="00301E8D"/>
    <w:rsid w:val="006F367F"/>
    <w:rsid w:val="00742AA9"/>
    <w:rsid w:val="00FC2656"/>
    <w:rsid w:val="01B110AA"/>
    <w:rsid w:val="025F2F6C"/>
    <w:rsid w:val="03374331"/>
    <w:rsid w:val="03E07A24"/>
    <w:rsid w:val="0402172C"/>
    <w:rsid w:val="06103791"/>
    <w:rsid w:val="064F49ED"/>
    <w:rsid w:val="07EF0236"/>
    <w:rsid w:val="0A0D21E1"/>
    <w:rsid w:val="0A2D14EA"/>
    <w:rsid w:val="0A6D7B38"/>
    <w:rsid w:val="0A717628"/>
    <w:rsid w:val="0BD55735"/>
    <w:rsid w:val="0CD67C16"/>
    <w:rsid w:val="0CEB02C3"/>
    <w:rsid w:val="0D11117F"/>
    <w:rsid w:val="0DEC6201"/>
    <w:rsid w:val="0E927B6D"/>
    <w:rsid w:val="0F3A0A84"/>
    <w:rsid w:val="0F8E2A2A"/>
    <w:rsid w:val="0F9811B3"/>
    <w:rsid w:val="10415B91"/>
    <w:rsid w:val="13222B5F"/>
    <w:rsid w:val="1367781A"/>
    <w:rsid w:val="13B33653"/>
    <w:rsid w:val="15110AF2"/>
    <w:rsid w:val="15E46F00"/>
    <w:rsid w:val="18D3325C"/>
    <w:rsid w:val="19A61553"/>
    <w:rsid w:val="1ABC044C"/>
    <w:rsid w:val="1C6577E8"/>
    <w:rsid w:val="1CB3762C"/>
    <w:rsid w:val="1D4B3D09"/>
    <w:rsid w:val="1D9C4564"/>
    <w:rsid w:val="1E1F706C"/>
    <w:rsid w:val="1E222CBC"/>
    <w:rsid w:val="1E2F2A87"/>
    <w:rsid w:val="1F0C482E"/>
    <w:rsid w:val="1F6410B2"/>
    <w:rsid w:val="2177331E"/>
    <w:rsid w:val="21A1039B"/>
    <w:rsid w:val="24C7636B"/>
    <w:rsid w:val="24F3437F"/>
    <w:rsid w:val="25EB7E37"/>
    <w:rsid w:val="274A3283"/>
    <w:rsid w:val="27E6038A"/>
    <w:rsid w:val="293E30BA"/>
    <w:rsid w:val="29ED02E2"/>
    <w:rsid w:val="2A0C4820"/>
    <w:rsid w:val="2A5A558B"/>
    <w:rsid w:val="2BE9171D"/>
    <w:rsid w:val="2DB71358"/>
    <w:rsid w:val="2E0F76EE"/>
    <w:rsid w:val="2E6647A7"/>
    <w:rsid w:val="2FE778C1"/>
    <w:rsid w:val="30766E97"/>
    <w:rsid w:val="308621F1"/>
    <w:rsid w:val="319A0963"/>
    <w:rsid w:val="31DB1B10"/>
    <w:rsid w:val="31DE6AA2"/>
    <w:rsid w:val="325A00D3"/>
    <w:rsid w:val="32EA1B39"/>
    <w:rsid w:val="334B0167"/>
    <w:rsid w:val="3390201E"/>
    <w:rsid w:val="34552334"/>
    <w:rsid w:val="345D63A4"/>
    <w:rsid w:val="34DB0164"/>
    <w:rsid w:val="34DB0F65"/>
    <w:rsid w:val="35222615"/>
    <w:rsid w:val="35335B87"/>
    <w:rsid w:val="3763266A"/>
    <w:rsid w:val="37C91FA2"/>
    <w:rsid w:val="389B146D"/>
    <w:rsid w:val="390336C5"/>
    <w:rsid w:val="39586DFD"/>
    <w:rsid w:val="3B901665"/>
    <w:rsid w:val="3E3F2FBE"/>
    <w:rsid w:val="3E5263F1"/>
    <w:rsid w:val="3E8F41EC"/>
    <w:rsid w:val="3ED656D0"/>
    <w:rsid w:val="3F8844F1"/>
    <w:rsid w:val="41293DEC"/>
    <w:rsid w:val="41E12475"/>
    <w:rsid w:val="41F36599"/>
    <w:rsid w:val="425C5EED"/>
    <w:rsid w:val="4475215D"/>
    <w:rsid w:val="44AC37CB"/>
    <w:rsid w:val="465316EE"/>
    <w:rsid w:val="46C2653A"/>
    <w:rsid w:val="46CD5F17"/>
    <w:rsid w:val="46F76C15"/>
    <w:rsid w:val="47623535"/>
    <w:rsid w:val="4B4732F2"/>
    <w:rsid w:val="4B9E0BAE"/>
    <w:rsid w:val="4BE111CF"/>
    <w:rsid w:val="4D3248D1"/>
    <w:rsid w:val="4DEB6377"/>
    <w:rsid w:val="4DF46F02"/>
    <w:rsid w:val="4E1C7BCA"/>
    <w:rsid w:val="4E23273D"/>
    <w:rsid w:val="4E2A19FE"/>
    <w:rsid w:val="4E8B592A"/>
    <w:rsid w:val="5052092F"/>
    <w:rsid w:val="5144471C"/>
    <w:rsid w:val="51CA44D0"/>
    <w:rsid w:val="52016A0C"/>
    <w:rsid w:val="521E31BF"/>
    <w:rsid w:val="53732803"/>
    <w:rsid w:val="5445681C"/>
    <w:rsid w:val="54E21B59"/>
    <w:rsid w:val="55F63B99"/>
    <w:rsid w:val="576461D9"/>
    <w:rsid w:val="58D34BF9"/>
    <w:rsid w:val="593C3F2A"/>
    <w:rsid w:val="598D4786"/>
    <w:rsid w:val="59BB12F3"/>
    <w:rsid w:val="5A0B54BA"/>
    <w:rsid w:val="5A132EDD"/>
    <w:rsid w:val="5A2854B0"/>
    <w:rsid w:val="5AD563E4"/>
    <w:rsid w:val="5ADB6D32"/>
    <w:rsid w:val="5BBE331C"/>
    <w:rsid w:val="5D2C42B6"/>
    <w:rsid w:val="5D7A3273"/>
    <w:rsid w:val="5E116A2B"/>
    <w:rsid w:val="5EAF46C2"/>
    <w:rsid w:val="5EE50BC0"/>
    <w:rsid w:val="5F304919"/>
    <w:rsid w:val="5FCF6BF0"/>
    <w:rsid w:val="609D79A4"/>
    <w:rsid w:val="60BB7E2A"/>
    <w:rsid w:val="6109328C"/>
    <w:rsid w:val="612B239E"/>
    <w:rsid w:val="623C143F"/>
    <w:rsid w:val="62A019CE"/>
    <w:rsid w:val="62E3579C"/>
    <w:rsid w:val="641A1263"/>
    <w:rsid w:val="644952F5"/>
    <w:rsid w:val="651D40D0"/>
    <w:rsid w:val="6703077D"/>
    <w:rsid w:val="679C6136"/>
    <w:rsid w:val="68152516"/>
    <w:rsid w:val="698B1E19"/>
    <w:rsid w:val="6CC3509F"/>
    <w:rsid w:val="6D267FE2"/>
    <w:rsid w:val="6F2512C7"/>
    <w:rsid w:val="6F4158DC"/>
    <w:rsid w:val="708446DD"/>
    <w:rsid w:val="7375588F"/>
    <w:rsid w:val="73E5637C"/>
    <w:rsid w:val="75006CB2"/>
    <w:rsid w:val="7516167C"/>
    <w:rsid w:val="75D21A46"/>
    <w:rsid w:val="75F30136"/>
    <w:rsid w:val="76017E90"/>
    <w:rsid w:val="79AC0800"/>
    <w:rsid w:val="7BE007E5"/>
    <w:rsid w:val="7F4A4BC8"/>
    <w:rsid w:val="7FEA5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260" w:beforeLines="0" w:after="260" w:afterLines="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800" w:leftChars="800"/>
    </w:pPr>
  </w:style>
  <w:style w:type="paragraph" w:styleId="4">
    <w:name w:val="Body Text"/>
    <w:basedOn w:val="1"/>
    <w:next w:val="1"/>
    <w:qFormat/>
    <w:uiPriority w:val="0"/>
    <w:rPr>
      <w:rFonts w:eastAsia="华文中宋"/>
      <w:b/>
      <w:bCs/>
      <w:w w:val="90"/>
      <w:sz w:val="44"/>
    </w:rPr>
  </w:style>
  <w:style w:type="paragraph" w:styleId="5">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List"/>
    <w:basedOn w:val="1"/>
    <w:qFormat/>
    <w:uiPriority w:val="0"/>
    <w:pPr>
      <w:ind w:left="200" w:hanging="200" w:hangingChars="200"/>
    </w:pPr>
  </w:style>
  <w:style w:type="paragraph" w:styleId="7">
    <w:name w:val="footnote text"/>
    <w:basedOn w:val="1"/>
    <w:next w:val="3"/>
    <w:unhideWhenUsed/>
    <w:qFormat/>
    <w:uiPriority w:val="99"/>
    <w:pPr>
      <w:snapToGrid w:val="0"/>
      <w:jc w:val="left"/>
    </w:pPr>
    <w:rPr>
      <w:rFonts w:ascii="Calibri" w:hAnsi="Calibri" w:eastAsia="仿宋" w:cs="Times New Roman"/>
      <w:sz w:val="18"/>
      <w:szCs w:val="18"/>
    </w:rPr>
  </w:style>
  <w:style w:type="paragraph" w:styleId="8">
    <w:name w:val="Body Text 2"/>
    <w:basedOn w:val="1"/>
    <w:unhideWhenUsed/>
    <w:qFormat/>
    <w:uiPriority w:val="99"/>
    <w:pPr>
      <w:spacing w:after="120" w:line="480" w:lineRule="auto"/>
    </w:pPr>
  </w:style>
  <w:style w:type="paragraph" w:customStyle="1" w:styleId="11">
    <w:name w:val="Default"/>
    <w:basedOn w:val="12"/>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
    <w:name w:val="纯文本1"/>
    <w:basedOn w:val="1"/>
    <w:qFormat/>
    <w:uiPriority w:val="0"/>
    <w:pPr>
      <w:adjustRightInd w:val="0"/>
      <w:textAlignment w:val="baseline"/>
    </w:pPr>
    <w:rPr>
      <w:rFonts w:ascii="宋体" w:hAnsi="Courier New"/>
      <w:szCs w:val="20"/>
    </w:rPr>
  </w:style>
  <w:style w:type="paragraph" w:customStyle="1" w:styleId="13">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4">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2086</Words>
  <Characters>2258</Characters>
  <Lines>0</Lines>
  <Paragraphs>0</Paragraphs>
  <TotalTime>5</TotalTime>
  <ScaleCrop>false</ScaleCrop>
  <LinksUpToDate>false</LinksUpToDate>
  <CharactersWithSpaces>2307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2024-08-23T02:46:00Z</dcterms:created>
  <dc:creator>Administrator</dc:creator>
  <cp:lastModifiedBy>风的自由</cp:lastModifiedBy>
  <cp:lastPrinted>2025-10-16T07:50:02Z</cp:lastPrinted>
  <dcterms:modified xsi:type="dcterms:W3CDTF">2025-10-16T08:25:09Z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65F14C60A120427DB4D148AB202A12F3_13</vt:lpwstr>
  </property>
  <property fmtid="{D5CDD505-2E9C-101B-9397-08002B2CF9AE}" pid="4" name="KSOTemplateDocerSaveRecord">
    <vt:lpwstr>eyJoZGlkIjoiOTM4ZGE5MjAwOTRjNzE3YmI3NzllODlkMzQzMmYzMzgiLCJ1c2VySWQiOiI1NTE5NjI2NTYifQ==</vt:lpwstr>
  </property>
</Properties>
</file>