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83C63">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snapToGrid w:val="0"/>
          <w:color w:val="auto"/>
          <w:kern w:val="0"/>
        </w:rPr>
      </w:pPr>
    </w:p>
    <w:p w14:paraId="618F99EC">
      <w:pPr>
        <w:tabs>
          <w:tab w:val="left" w:pos="8500"/>
        </w:tabs>
        <w:spacing w:line="600" w:lineRule="exact"/>
        <w:jc w:val="center"/>
        <w:rPr>
          <w:rFonts w:hint="default" w:ascii="Times New Roman" w:hAnsi="Times New Roman" w:eastAsia="仿宋_GB2312" w:cs="Times New Roman"/>
          <w:snapToGrid w:val="0"/>
          <w:color w:val="auto"/>
          <w:kern w:val="0"/>
          <w:szCs w:val="32"/>
          <w:highlight w:val="none"/>
        </w:rPr>
      </w:pPr>
      <w:r>
        <w:rPr>
          <w:rFonts w:hint="default" w:ascii="Times New Roman" w:hAnsi="Times New Roman" w:eastAsia="仿宋_GB2312" w:cs="Times New Roman"/>
          <w:snapToGrid w:val="0"/>
          <w:color w:val="auto"/>
          <w:kern w:val="0"/>
          <w:szCs w:val="32"/>
        </w:rPr>
        <w:t xml:space="preserve">                             </w:t>
      </w:r>
      <w:r>
        <w:rPr>
          <w:rFonts w:hint="default" w:ascii="Times New Roman" w:hAnsi="Times New Roman" w:eastAsia="仿宋_GB2312" w:cs="Times New Roman"/>
          <w:snapToGrid w:val="0"/>
          <w:color w:val="auto"/>
          <w:kern w:val="0"/>
          <w:szCs w:val="32"/>
          <w:highlight w:val="none"/>
        </w:rPr>
        <w:t xml:space="preserve">  </w:t>
      </w:r>
      <w:r>
        <w:rPr>
          <w:rFonts w:hint="eastAsia" w:eastAsia="仿宋_GB2312" w:cs="Times New Roman"/>
          <w:snapToGrid w:val="0"/>
          <w:color w:val="auto"/>
          <w:kern w:val="0"/>
          <w:szCs w:val="32"/>
          <w:highlight w:val="none"/>
          <w:lang w:val="en-US" w:eastAsia="zh-CN"/>
        </w:rPr>
        <w:t xml:space="preserve">  </w:t>
      </w:r>
      <w:r>
        <w:rPr>
          <w:rFonts w:hint="default" w:ascii="Times New Roman" w:hAnsi="Times New Roman" w:eastAsia="仿宋_GB2312" w:cs="Times New Roman"/>
          <w:snapToGrid w:val="0"/>
          <w:color w:val="auto"/>
          <w:kern w:val="0"/>
          <w:szCs w:val="32"/>
          <w:highlight w:val="none"/>
        </w:rPr>
        <w:t>师市环审〔202</w:t>
      </w:r>
      <w:r>
        <w:rPr>
          <w:rFonts w:hint="eastAsia" w:eastAsia="仿宋_GB2312" w:cs="Times New Roman"/>
          <w:snapToGrid w:val="0"/>
          <w:color w:val="auto"/>
          <w:kern w:val="0"/>
          <w:szCs w:val="32"/>
          <w:highlight w:val="none"/>
          <w:lang w:val="en-US" w:eastAsia="zh-CN"/>
        </w:rPr>
        <w:t>5</w:t>
      </w:r>
      <w:r>
        <w:rPr>
          <w:rFonts w:hint="default" w:ascii="Times New Roman" w:hAnsi="Times New Roman" w:eastAsia="仿宋_GB2312" w:cs="Times New Roman"/>
          <w:snapToGrid w:val="0"/>
          <w:color w:val="auto"/>
          <w:kern w:val="0"/>
          <w:szCs w:val="32"/>
          <w:highlight w:val="none"/>
        </w:rPr>
        <w:t>〕</w:t>
      </w:r>
      <w:r>
        <w:rPr>
          <w:rFonts w:hint="eastAsia" w:eastAsia="仿宋_GB2312" w:cs="Times New Roman"/>
          <w:snapToGrid w:val="0"/>
          <w:color w:val="auto"/>
          <w:kern w:val="0"/>
          <w:szCs w:val="32"/>
          <w:highlight w:val="none"/>
          <w:lang w:val="en-US" w:eastAsia="zh-CN"/>
        </w:rPr>
        <w:t>42</w:t>
      </w:r>
      <w:r>
        <w:rPr>
          <w:rFonts w:hint="default" w:ascii="Times New Roman" w:hAnsi="Times New Roman" w:eastAsia="仿宋_GB2312" w:cs="Times New Roman"/>
          <w:snapToGrid w:val="0"/>
          <w:color w:val="auto"/>
          <w:kern w:val="0"/>
          <w:szCs w:val="32"/>
          <w:highlight w:val="none"/>
        </w:rPr>
        <w:t>号</w:t>
      </w:r>
    </w:p>
    <w:p w14:paraId="2345A336">
      <w:pPr>
        <w:spacing w:line="600" w:lineRule="exact"/>
        <w:rPr>
          <w:rFonts w:hint="default" w:ascii="Times New Roman" w:hAnsi="Times New Roman" w:eastAsia="仿宋_GB2312" w:cs="Times New Roman"/>
          <w:snapToGrid w:val="0"/>
          <w:color w:val="auto"/>
          <w:kern w:val="0"/>
          <w:sz w:val="30"/>
          <w:highlight w:val="none"/>
        </w:rPr>
      </w:pPr>
    </w:p>
    <w:p w14:paraId="562D0E74">
      <w:pPr>
        <w:spacing w:line="620" w:lineRule="exact"/>
        <w:jc w:val="center"/>
        <w:rPr>
          <w:rFonts w:hint="default" w:ascii="Times New Roman" w:hAnsi="Times New Roman" w:eastAsia="方正小标宋简体" w:cs="Times New Roman"/>
          <w:sz w:val="44"/>
          <w:szCs w:val="44"/>
          <w:lang w:val="zh-CN"/>
        </w:rPr>
      </w:pPr>
      <w:r>
        <w:rPr>
          <w:rFonts w:hint="default" w:ascii="Times New Roman" w:hAnsi="Times New Roman" w:eastAsia="方正小标宋简体" w:cs="Times New Roman"/>
          <w:color w:val="auto"/>
          <w:sz w:val="44"/>
          <w:szCs w:val="44"/>
          <w:highlight w:val="none"/>
          <w:lang w:val="zh-CN"/>
        </w:rPr>
        <w:t>关</w:t>
      </w:r>
      <w:r>
        <w:rPr>
          <w:rFonts w:hint="eastAsia" w:ascii="方正小标宋简体" w:hAnsi="方正小标宋简体" w:eastAsia="方正小标宋简体" w:cs="方正小标宋简体"/>
          <w:color w:val="auto"/>
          <w:sz w:val="44"/>
          <w:szCs w:val="44"/>
          <w:highlight w:val="none"/>
          <w:lang w:val="zh-CN"/>
        </w:rPr>
        <w:t>于</w:t>
      </w:r>
      <w:r>
        <w:rPr>
          <w:rFonts w:hint="default" w:ascii="Times New Roman" w:hAnsi="Times New Roman" w:eastAsia="方正小标宋简体" w:cs="Times New Roman"/>
          <w:sz w:val="44"/>
          <w:szCs w:val="44"/>
          <w:lang w:val="zh-CN"/>
        </w:rPr>
        <w:t>春光</w:t>
      </w:r>
      <w:r>
        <w:rPr>
          <w:rFonts w:hint="eastAsia" w:ascii="方正小标宋简体" w:hAnsi="方正小标宋简体" w:eastAsia="方正小标宋简体" w:cs="方正小标宋简体"/>
          <w:sz w:val="44"/>
          <w:szCs w:val="44"/>
          <w:lang w:val="zh-CN"/>
        </w:rPr>
        <w:t>油田15t/h移动</w:t>
      </w:r>
      <w:r>
        <w:rPr>
          <w:rFonts w:hint="default" w:ascii="Times New Roman" w:hAnsi="Times New Roman" w:eastAsia="方正小标宋简体" w:cs="Times New Roman"/>
          <w:sz w:val="44"/>
          <w:szCs w:val="44"/>
          <w:lang w:val="zh-CN"/>
        </w:rPr>
        <w:t>注汽锅炉安装工程</w:t>
      </w:r>
    </w:p>
    <w:p w14:paraId="1DDCC3DC">
      <w:pPr>
        <w:spacing w:line="600" w:lineRule="exact"/>
        <w:jc w:val="center"/>
        <w:rPr>
          <w:rFonts w:hint="default" w:ascii="Times New Roman" w:hAnsi="Times New Roman" w:eastAsia="仿宋_GB2312" w:cs="Times New Roman"/>
          <w:color w:val="auto"/>
          <w:kern w:val="0"/>
          <w:szCs w:val="32"/>
          <w:highlight w:val="none"/>
        </w:rPr>
      </w:pPr>
      <w:r>
        <w:rPr>
          <w:rFonts w:hint="default" w:ascii="Times New Roman" w:hAnsi="Times New Roman" w:eastAsia="方正小标宋简体" w:cs="Times New Roman"/>
          <w:sz w:val="44"/>
          <w:szCs w:val="44"/>
        </w:rPr>
        <w:t>环境影响报告表</w:t>
      </w:r>
      <w:r>
        <w:rPr>
          <w:rFonts w:hint="default" w:ascii="Times New Roman" w:hAnsi="Times New Roman" w:eastAsia="方正小标宋简体" w:cs="Times New Roman"/>
          <w:color w:val="auto"/>
          <w:sz w:val="44"/>
          <w:szCs w:val="44"/>
          <w:highlight w:val="none"/>
          <w:lang w:val="zh-CN"/>
        </w:rPr>
        <w:t>的</w:t>
      </w:r>
      <w:r>
        <w:rPr>
          <w:rFonts w:hint="default" w:ascii="Times New Roman" w:hAnsi="Times New Roman" w:eastAsia="方正小标宋简体" w:cs="Times New Roman"/>
          <w:snapToGrid w:val="0"/>
          <w:color w:val="auto"/>
          <w:kern w:val="0"/>
          <w:sz w:val="44"/>
          <w:szCs w:val="44"/>
          <w:highlight w:val="none"/>
        </w:rPr>
        <w:t>批复</w:t>
      </w:r>
    </w:p>
    <w:p w14:paraId="70DA2D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p>
    <w:p w14:paraId="6826D73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r>
        <w:rPr>
          <w:rFonts w:hint="default" w:ascii="Times New Roman" w:hAnsi="Times New Roman" w:eastAsia="仿宋_GB2312" w:cs="Times New Roman"/>
          <w:bCs/>
          <w:color w:val="auto"/>
          <w:szCs w:val="32"/>
          <w:highlight w:val="none"/>
        </w:rPr>
        <w:t>中国石油化工股份有限公司河南油田分公司新疆采油厂：</w:t>
      </w:r>
    </w:p>
    <w:p w14:paraId="134912F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snapToGrid w:val="0"/>
          <w:color w:val="auto"/>
          <w:kern w:val="0"/>
          <w:szCs w:val="32"/>
          <w:highlight w:val="none"/>
        </w:rPr>
      </w:pPr>
      <w:r>
        <w:rPr>
          <w:rFonts w:hint="default" w:ascii="Times New Roman" w:hAnsi="Times New Roman" w:eastAsia="仿宋_GB2312" w:cs="Times New Roman"/>
          <w:bCs/>
          <w:color w:val="auto"/>
          <w:szCs w:val="32"/>
          <w:highlight w:val="none"/>
        </w:rPr>
        <w:t>你单位《关于审批</w:t>
      </w:r>
      <w:r>
        <w:rPr>
          <w:rFonts w:hint="default" w:ascii="Times New Roman" w:hAnsi="Times New Roman" w:eastAsia="仿宋_GB2312" w:cs="Times New Roman"/>
          <w:bCs/>
          <w:color w:val="auto"/>
          <w:szCs w:val="32"/>
          <w:highlight w:val="none"/>
          <w:lang w:val="zh-CN"/>
        </w:rPr>
        <w:t>春光油田15t/h移动注汽锅炉安装工程</w:t>
      </w:r>
      <w:r>
        <w:rPr>
          <w:rFonts w:hint="default" w:ascii="Times New Roman" w:hAnsi="Times New Roman" w:eastAsia="仿宋_GB2312" w:cs="Times New Roman"/>
          <w:bCs/>
          <w:color w:val="auto"/>
          <w:szCs w:val="32"/>
          <w:highlight w:val="none"/>
        </w:rPr>
        <w:t>环境影响报告表的请示》收悉。经研究，批复如下：</w:t>
      </w:r>
    </w:p>
    <w:p w14:paraId="4A5DC82D">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zCs w:val="32"/>
          <w:highlight w:val="none"/>
          <w:lang w:val="en-US" w:eastAsia="zh-CN"/>
        </w:rPr>
        <w:t>一、</w:t>
      </w:r>
      <w:r>
        <w:rPr>
          <w:rFonts w:hint="default" w:ascii="Times New Roman" w:hAnsi="Times New Roman" w:eastAsia="仿宋_GB2312" w:cs="Times New Roman"/>
          <w:color w:val="auto"/>
          <w:szCs w:val="32"/>
          <w:highlight w:val="none"/>
        </w:rPr>
        <w:t>该项目位于第七师</w:t>
      </w:r>
      <w:r>
        <w:rPr>
          <w:rFonts w:hint="default" w:ascii="Times New Roman" w:hAnsi="Times New Roman" w:eastAsia="仿宋_GB2312" w:cs="Times New Roman"/>
          <w:color w:val="auto"/>
          <w:szCs w:val="32"/>
          <w:highlight w:val="none"/>
          <w:lang w:val="zh-CN"/>
        </w:rPr>
        <w:t>12</w:t>
      </w:r>
      <w:r>
        <w:rPr>
          <w:rFonts w:hint="eastAsia" w:eastAsia="仿宋_GB2312" w:cs="Times New Roman"/>
          <w:color w:val="auto"/>
          <w:szCs w:val="32"/>
          <w:highlight w:val="none"/>
          <w:lang w:val="en-US" w:eastAsia="zh-CN"/>
        </w:rPr>
        <w:t>3</w:t>
      </w:r>
      <w:r>
        <w:rPr>
          <w:rFonts w:hint="default" w:ascii="Times New Roman" w:hAnsi="Times New Roman" w:eastAsia="仿宋_GB2312" w:cs="Times New Roman"/>
          <w:color w:val="auto"/>
          <w:szCs w:val="32"/>
          <w:highlight w:val="none"/>
          <w:lang w:val="zh-CN"/>
        </w:rPr>
        <w:t>团</w:t>
      </w:r>
      <w:r>
        <w:rPr>
          <w:rFonts w:hint="default" w:ascii="Times New Roman" w:hAnsi="Times New Roman" w:eastAsia="仿宋_GB2312" w:cs="Times New Roman"/>
          <w:szCs w:val="32"/>
          <w:highlight w:val="none"/>
          <w:lang w:val="en-US" w:eastAsia="zh-CN"/>
        </w:rPr>
        <w:t>17连</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zh-CN"/>
        </w:rPr>
        <w:t>项目中心地理位置坐标为</w:t>
      </w:r>
      <w:r>
        <w:rPr>
          <w:rFonts w:hint="default" w:ascii="Times New Roman" w:hAnsi="Times New Roman" w:eastAsia="仿宋_GB2312" w:cs="Times New Roman"/>
          <w:color w:val="auto"/>
          <w:szCs w:val="32"/>
          <w:highlight w:val="none"/>
          <w:lang w:val="zh-CN" w:eastAsia="zh-CN"/>
        </w:rPr>
        <w:t>北纬44</w:t>
      </w:r>
      <w:r>
        <w:rPr>
          <w:rFonts w:hint="default" w:ascii="Times New Roman" w:hAnsi="Times New Roman" w:eastAsia="仿宋_GB2312" w:cs="Times New Roman"/>
          <w:color w:val="auto"/>
          <w:szCs w:val="32"/>
          <w:highlight w:val="none"/>
          <w:lang w:val="zh-CN"/>
        </w:rPr>
        <w:t>°</w:t>
      </w:r>
      <w:r>
        <w:rPr>
          <w:rFonts w:hint="default" w:ascii="Times New Roman" w:hAnsi="Times New Roman" w:eastAsia="仿宋_GB2312" w:cs="Times New Roman"/>
          <w:color w:val="auto"/>
          <w:szCs w:val="32"/>
          <w:highlight w:val="none"/>
          <w:lang w:val="zh-CN" w:eastAsia="zh-CN"/>
        </w:rPr>
        <w:t>58</w:t>
      </w:r>
      <w:r>
        <w:rPr>
          <w:rFonts w:hint="default" w:ascii="Times New Roman" w:hAnsi="Times New Roman" w:eastAsia="仿宋_GB2312" w:cs="Times New Roman"/>
          <w:color w:val="auto"/>
          <w:szCs w:val="32"/>
          <w:highlight w:val="none"/>
          <w:lang w:val="zh-CN"/>
        </w:rPr>
        <w:t>′</w:t>
      </w:r>
      <w:r>
        <w:rPr>
          <w:rFonts w:hint="default" w:ascii="Times New Roman" w:hAnsi="Times New Roman" w:eastAsia="仿宋_GB2312" w:cs="Times New Roman"/>
          <w:color w:val="auto"/>
          <w:szCs w:val="32"/>
          <w:highlight w:val="none"/>
          <w:lang w:val="zh-CN" w:eastAsia="zh-CN"/>
        </w:rPr>
        <w:t>16.1040″</w:t>
      </w:r>
      <w:r>
        <w:rPr>
          <w:rFonts w:hint="default" w:ascii="Times New Roman" w:hAnsi="Times New Roman" w:eastAsia="仿宋_GB2312" w:cs="Times New Roman"/>
          <w:color w:val="auto"/>
          <w:szCs w:val="32"/>
          <w:highlight w:val="none"/>
          <w:lang w:val="zh-CN"/>
        </w:rPr>
        <w:t>，</w:t>
      </w:r>
      <w:r>
        <w:rPr>
          <w:rFonts w:hint="default" w:ascii="Times New Roman" w:hAnsi="Times New Roman" w:eastAsia="仿宋_GB2312" w:cs="Times New Roman"/>
          <w:color w:val="auto"/>
          <w:szCs w:val="32"/>
          <w:highlight w:val="none"/>
          <w:lang w:val="zh-CN" w:eastAsia="zh-CN"/>
        </w:rPr>
        <w:t>东经84</w:t>
      </w:r>
      <w:r>
        <w:rPr>
          <w:rFonts w:hint="default" w:ascii="Times New Roman" w:hAnsi="Times New Roman" w:eastAsia="仿宋_GB2312" w:cs="Times New Roman"/>
          <w:color w:val="auto"/>
          <w:szCs w:val="32"/>
          <w:highlight w:val="none"/>
          <w:lang w:val="zh-CN"/>
        </w:rPr>
        <w:t>°</w:t>
      </w:r>
      <w:r>
        <w:rPr>
          <w:rFonts w:hint="default" w:ascii="Times New Roman" w:hAnsi="Times New Roman" w:eastAsia="仿宋_GB2312" w:cs="Times New Roman"/>
          <w:color w:val="auto"/>
          <w:szCs w:val="32"/>
          <w:highlight w:val="none"/>
          <w:lang w:val="zh-CN" w:eastAsia="zh-CN"/>
        </w:rPr>
        <w:t>34</w:t>
      </w:r>
      <w:r>
        <w:rPr>
          <w:rFonts w:hint="default" w:ascii="Times New Roman" w:hAnsi="Times New Roman" w:eastAsia="仿宋_GB2312" w:cs="Times New Roman"/>
          <w:color w:val="auto"/>
          <w:szCs w:val="32"/>
          <w:highlight w:val="none"/>
          <w:lang w:val="zh-CN"/>
        </w:rPr>
        <w:t>′</w:t>
      </w:r>
      <w:r>
        <w:rPr>
          <w:rFonts w:hint="default" w:ascii="Times New Roman" w:hAnsi="Times New Roman" w:eastAsia="仿宋_GB2312" w:cs="Times New Roman"/>
          <w:color w:val="auto"/>
          <w:szCs w:val="32"/>
          <w:highlight w:val="none"/>
          <w:lang w:val="zh-CN" w:eastAsia="zh-CN"/>
        </w:rPr>
        <w:t>13.5516″</w:t>
      </w:r>
      <w:r>
        <w:rPr>
          <w:rFonts w:hint="default" w:ascii="Times New Roman" w:hAnsi="Times New Roman" w:eastAsia="仿宋_GB2312" w:cs="Times New Roman"/>
          <w:color w:val="auto"/>
          <w:szCs w:val="32"/>
          <w:highlight w:val="none"/>
          <w:lang w:val="zh-CN"/>
        </w:rPr>
        <w:t>。</w:t>
      </w:r>
      <w:bookmarkStart w:id="0" w:name="OLE_LINK397"/>
      <w:r>
        <w:rPr>
          <w:rFonts w:hint="eastAsia" w:eastAsia="仿宋_GB2312" w:cs="Times New Roman"/>
          <w:color w:val="auto"/>
          <w:szCs w:val="32"/>
          <w:highlight w:val="none"/>
          <w:lang w:val="en-US" w:eastAsia="zh-CN"/>
        </w:rPr>
        <w:t>项目新建（迁建）1台15吨/小时燃气锅炉</w:t>
      </w:r>
      <w:r>
        <w:rPr>
          <w:rFonts w:hint="default" w:ascii="Times New Roman" w:hAnsi="Times New Roman" w:eastAsia="仿宋_GB2312" w:cs="Times New Roman"/>
          <w:color w:val="auto"/>
          <w:szCs w:val="32"/>
          <w:highlight w:val="none"/>
          <w:lang w:val="zh-CN"/>
        </w:rPr>
        <w:t>。</w:t>
      </w:r>
      <w:bookmarkEnd w:id="0"/>
      <w:r>
        <w:rPr>
          <w:rFonts w:hint="default" w:ascii="Times New Roman" w:hAnsi="Times New Roman" w:eastAsia="仿宋_GB2312" w:cs="Times New Roman"/>
          <w:kern w:val="2"/>
          <w:sz w:val="32"/>
          <w:szCs w:val="32"/>
          <w:highlight w:val="none"/>
          <w:lang w:val="en-US" w:eastAsia="zh-CN" w:bidi="ar-SA"/>
        </w:rPr>
        <w:t>项目总投资48万元，</w:t>
      </w:r>
      <w:r>
        <w:rPr>
          <w:rFonts w:hint="eastAsia" w:ascii="Times New Roman" w:hAnsi="Times New Roman" w:eastAsia="仿宋_GB2312" w:cs="Times New Roman"/>
          <w:kern w:val="2"/>
          <w:sz w:val="32"/>
          <w:szCs w:val="32"/>
          <w:highlight w:val="none"/>
          <w:lang w:val="en-US" w:eastAsia="zh-CN" w:bidi="ar-SA"/>
        </w:rPr>
        <w:t>其中</w:t>
      </w:r>
      <w:r>
        <w:rPr>
          <w:rFonts w:hint="default" w:ascii="Times New Roman" w:hAnsi="Times New Roman" w:eastAsia="仿宋_GB2312" w:cs="Times New Roman"/>
          <w:kern w:val="2"/>
          <w:sz w:val="32"/>
          <w:szCs w:val="32"/>
          <w:highlight w:val="none"/>
          <w:lang w:val="en-US" w:eastAsia="zh-CN" w:bidi="ar-SA"/>
        </w:rPr>
        <w:t>环保投资15万元，占总投资的31.25%</w:t>
      </w:r>
    </w:p>
    <w:p w14:paraId="1ADC4B0E">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color w:val="FF0000"/>
          <w:szCs w:val="32"/>
          <w:highlight w:val="none"/>
        </w:rPr>
      </w:pPr>
      <w:r>
        <w:rPr>
          <w:rFonts w:hint="default" w:ascii="Times New Roman" w:hAnsi="Times New Roman" w:eastAsia="仿宋_GB2312" w:cs="Times New Roman"/>
          <w:bCs/>
          <w:color w:val="auto"/>
          <w:szCs w:val="32"/>
          <w:highlight w:val="none"/>
        </w:rPr>
        <w:t>二、</w:t>
      </w:r>
      <w:r>
        <w:rPr>
          <w:rFonts w:hint="default" w:ascii="Times New Roman" w:hAnsi="Times New Roman" w:eastAsia="仿宋_GB2312" w:cs="Times New Roman"/>
          <w:color w:val="auto"/>
          <w:szCs w:val="32"/>
          <w:highlight w:val="none"/>
        </w:rPr>
        <w:t>在全面落实报告</w:t>
      </w:r>
      <w:r>
        <w:rPr>
          <w:rFonts w:hint="eastAsia" w:eastAsia="仿宋_GB2312" w:cs="Times New Roman"/>
          <w:color w:val="auto"/>
          <w:szCs w:val="32"/>
          <w:highlight w:val="none"/>
          <w:lang w:val="en-US" w:eastAsia="zh-CN"/>
        </w:rPr>
        <w:t>表</w:t>
      </w:r>
      <w:r>
        <w:rPr>
          <w:rFonts w:hint="default" w:ascii="Times New Roman" w:hAnsi="Times New Roman" w:eastAsia="仿宋_GB2312" w:cs="Times New Roman"/>
          <w:color w:val="auto"/>
          <w:szCs w:val="32"/>
          <w:highlight w:val="none"/>
        </w:rPr>
        <w:t>提出的各项生态保护和污染防治措施后，项目建设和运营过程中对环境的不利影响能够得到缓解和控制。因此，综合各方面因素，从环境保护角度考虑，我局原则同意你单位按照报告</w:t>
      </w:r>
      <w:r>
        <w:rPr>
          <w:rFonts w:hint="eastAsia" w:eastAsia="仿宋_GB2312" w:cs="Times New Roman"/>
          <w:color w:val="auto"/>
          <w:szCs w:val="32"/>
          <w:highlight w:val="none"/>
          <w:lang w:val="en-US" w:eastAsia="zh-CN"/>
        </w:rPr>
        <w:t>表</w:t>
      </w:r>
      <w:r>
        <w:rPr>
          <w:rFonts w:hint="default" w:ascii="Times New Roman" w:hAnsi="Times New Roman" w:eastAsia="仿宋_GB2312" w:cs="Times New Roman"/>
          <w:color w:val="auto"/>
          <w:szCs w:val="32"/>
          <w:highlight w:val="none"/>
        </w:rPr>
        <w:t>中所列建设项目地点、性质、规模和拟采取的环境保护对策措施进行项目建设。</w:t>
      </w:r>
    </w:p>
    <w:p w14:paraId="58E01A0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三、项目建设中应重点做好以下工作：</w:t>
      </w:r>
    </w:p>
    <w:p w14:paraId="6043E76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一</w:t>
      </w:r>
      <w:r>
        <w:rPr>
          <w:rFonts w:hint="default" w:ascii="Times New Roman" w:hAnsi="Times New Roman" w:eastAsia="仿宋_GB2312" w:cs="Times New Roman"/>
          <w:bCs/>
          <w:color w:val="auto"/>
          <w:szCs w:val="32"/>
          <w:highlight w:val="none"/>
        </w:rPr>
        <w:t>）严格落实大气污染防治措施。</w:t>
      </w:r>
      <w:r>
        <w:rPr>
          <w:rFonts w:hint="default" w:ascii="Times New Roman" w:hAnsi="Times New Roman" w:eastAsia="仿宋_GB2312" w:cs="Times New Roman"/>
          <w:bCs/>
          <w:color w:val="auto"/>
          <w:szCs w:val="32"/>
          <w:highlight w:val="none"/>
          <w:lang w:val="en-US" w:eastAsia="zh-CN"/>
        </w:rPr>
        <w:t>燃气锅炉采用“低氮燃烧器+烟气再循环”技术，烟气经处理后由8米高</w:t>
      </w:r>
      <w:r>
        <w:rPr>
          <w:rFonts w:hint="eastAsia" w:eastAsia="仿宋_GB2312" w:cs="Times New Roman"/>
          <w:bCs/>
          <w:color w:val="auto"/>
          <w:szCs w:val="32"/>
          <w:highlight w:val="none"/>
          <w:lang w:val="en-US" w:eastAsia="zh-CN"/>
        </w:rPr>
        <w:t>的</w:t>
      </w:r>
      <w:r>
        <w:rPr>
          <w:rFonts w:hint="default" w:ascii="Times New Roman" w:hAnsi="Times New Roman" w:eastAsia="仿宋_GB2312" w:cs="Times New Roman"/>
          <w:bCs/>
          <w:color w:val="auto"/>
          <w:szCs w:val="32"/>
          <w:highlight w:val="none"/>
          <w:lang w:val="en-US" w:eastAsia="zh-CN"/>
        </w:rPr>
        <w:t>排气筒排放，烟气中颗粒物、二氧化硫、氮氧化物和林格曼黑度排放</w:t>
      </w:r>
      <w:r>
        <w:rPr>
          <w:rFonts w:hint="eastAsia" w:eastAsia="仿宋_GB2312" w:cs="Times New Roman"/>
          <w:bCs/>
          <w:color w:val="auto"/>
          <w:szCs w:val="32"/>
          <w:highlight w:val="none"/>
          <w:lang w:val="en-US" w:eastAsia="zh-CN"/>
        </w:rPr>
        <w:t>执行</w:t>
      </w:r>
      <w:r>
        <w:rPr>
          <w:rFonts w:hint="default" w:ascii="Times New Roman" w:hAnsi="Times New Roman" w:eastAsia="仿宋_GB2312" w:cs="Times New Roman"/>
          <w:bCs/>
          <w:color w:val="auto"/>
          <w:szCs w:val="32"/>
          <w:highlight w:val="none"/>
          <w:lang w:val="en-US" w:eastAsia="zh-CN"/>
        </w:rPr>
        <w:t>《锅炉大气污染物排放标准》（GB13271-2014）中表2新建锅炉大气污染物排放浓度限值中燃气锅炉限值要求。</w:t>
      </w:r>
    </w:p>
    <w:p w14:paraId="2CE9E30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eastAsia="仿宋_GB2312" w:cs="Times New Roman"/>
          <w:b w:val="0"/>
          <w:bCs w:val="0"/>
          <w:w w:val="100"/>
          <w:kern w:val="2"/>
          <w:sz w:val="32"/>
          <w:szCs w:val="32"/>
          <w:lang w:val="en-US" w:eastAsia="zh-CN" w:bidi="ar-SA"/>
        </w:rPr>
        <w:t>该项目</w:t>
      </w:r>
      <w:r>
        <w:rPr>
          <w:rFonts w:hint="eastAsia" w:ascii="Times New Roman" w:hAnsi="Times New Roman" w:eastAsia="仿宋_GB2312" w:cs="Times New Roman"/>
          <w:b w:val="0"/>
          <w:bCs w:val="0"/>
          <w:w w:val="100"/>
          <w:kern w:val="2"/>
          <w:sz w:val="32"/>
          <w:szCs w:val="32"/>
          <w:lang w:val="en-US" w:eastAsia="zh-CN" w:bidi="ar-SA"/>
        </w:rPr>
        <w:t>氮氧化物排放总量不超过</w:t>
      </w:r>
      <w:r>
        <w:rPr>
          <w:rFonts w:hint="eastAsia" w:ascii="Times New Roman" w:hAnsi="Times New Roman" w:eastAsia="仿宋_GB2312" w:cs="Times New Roman"/>
          <w:szCs w:val="32"/>
          <w:highlight w:val="none"/>
          <w:lang w:val="en-US" w:eastAsia="zh-CN"/>
        </w:rPr>
        <w:t>2.6179</w:t>
      </w:r>
      <w:r>
        <w:rPr>
          <w:rFonts w:hint="eastAsia" w:ascii="Times New Roman" w:hAnsi="Times New Roman" w:eastAsia="仿宋_GB2312" w:cs="Times New Roman"/>
          <w:b w:val="0"/>
          <w:bCs w:val="0"/>
          <w:w w:val="100"/>
          <w:kern w:val="2"/>
          <w:sz w:val="32"/>
          <w:szCs w:val="32"/>
          <w:lang w:val="en-US" w:eastAsia="zh-CN" w:bidi="ar-SA"/>
        </w:rPr>
        <w:t>吨/年。</w:t>
      </w:r>
    </w:p>
    <w:p w14:paraId="481BA2A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二</w:t>
      </w:r>
      <w:r>
        <w:rPr>
          <w:rFonts w:hint="default" w:ascii="Times New Roman" w:hAnsi="Times New Roman" w:eastAsia="仿宋_GB2312" w:cs="Times New Roman"/>
          <w:bCs/>
          <w:color w:val="auto"/>
          <w:szCs w:val="32"/>
          <w:highlight w:val="none"/>
        </w:rPr>
        <w:t>）严格</w:t>
      </w:r>
      <w:bookmarkStart w:id="1" w:name="_GoBack"/>
      <w:bookmarkEnd w:id="1"/>
      <w:r>
        <w:rPr>
          <w:rFonts w:hint="default" w:ascii="Times New Roman" w:hAnsi="Times New Roman" w:eastAsia="仿宋_GB2312" w:cs="Times New Roman"/>
          <w:bCs/>
          <w:color w:val="auto"/>
          <w:szCs w:val="32"/>
          <w:highlight w:val="none"/>
        </w:rPr>
        <w:t>落实水污染防治措施。</w:t>
      </w:r>
      <w:r>
        <w:rPr>
          <w:rFonts w:hint="default" w:ascii="Times New Roman" w:hAnsi="Times New Roman" w:eastAsia="仿宋_GB2312" w:cs="Times New Roman"/>
          <w:bCs/>
          <w:color w:val="auto"/>
          <w:szCs w:val="32"/>
          <w:highlight w:val="none"/>
          <w:lang w:val="en-US" w:eastAsia="zh-CN"/>
        </w:rPr>
        <w:t>锅炉排污水、软水制备系统废水经自然冷却后由罐车拉运至春光油田采油废水处理系统处理满足《碎屑岩油藏注水水质指标技术要求及分析方法》（SY/T5329）表1水质主要控制指标要求后回注；生活污水定期由吸污车拉运至春光联合站生活污水处理设施处理。</w:t>
      </w:r>
    </w:p>
    <w:p w14:paraId="06B25B9E">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三</w:t>
      </w:r>
      <w:r>
        <w:rPr>
          <w:rFonts w:hint="default" w:ascii="Times New Roman" w:hAnsi="Times New Roman" w:eastAsia="仿宋_GB2312" w:cs="Times New Roman"/>
          <w:bCs/>
          <w:color w:val="auto"/>
          <w:szCs w:val="32"/>
          <w:highlight w:val="none"/>
        </w:rPr>
        <w:t>）严格落实噪声防治措施。</w:t>
      </w:r>
      <w:r>
        <w:rPr>
          <w:rFonts w:hint="default" w:ascii="Times New Roman" w:hAnsi="Times New Roman" w:eastAsia="仿宋_GB2312" w:cs="Times New Roman"/>
          <w:bCs/>
          <w:color w:val="auto"/>
          <w:szCs w:val="32"/>
          <w:highlight w:val="none"/>
          <w:lang w:val="en-US" w:eastAsia="zh-CN"/>
        </w:rPr>
        <w:t>选择先进可靠的低噪音设备，设备底部加减振坐垫；噪声源布置在锅炉房内，加强门窗的隔声性能。厂界昼、夜间噪声排放均</w:t>
      </w:r>
      <w:r>
        <w:rPr>
          <w:rFonts w:hint="eastAsia" w:eastAsia="仿宋_GB2312" w:cs="Times New Roman"/>
          <w:bCs/>
          <w:color w:val="auto"/>
          <w:szCs w:val="32"/>
          <w:highlight w:val="none"/>
          <w:lang w:val="en-US" w:eastAsia="zh-CN"/>
        </w:rPr>
        <w:t>执行</w:t>
      </w:r>
      <w:r>
        <w:rPr>
          <w:rFonts w:hint="default" w:ascii="Times New Roman" w:hAnsi="Times New Roman" w:eastAsia="仿宋_GB2312" w:cs="Times New Roman"/>
          <w:bCs/>
          <w:color w:val="auto"/>
          <w:szCs w:val="32"/>
          <w:highlight w:val="none"/>
          <w:lang w:val="en-US" w:eastAsia="zh-CN"/>
        </w:rPr>
        <w:t>《工业企业厂界环境噪声排放标准》（GB12348-2008）中2类标准限值要求。</w:t>
      </w:r>
    </w:p>
    <w:p w14:paraId="1B8BD6D1">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Cs/>
          <w:szCs w:val="32"/>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四</w:t>
      </w:r>
      <w:r>
        <w:rPr>
          <w:rFonts w:hint="default" w:ascii="Times New Roman" w:hAnsi="Times New Roman" w:eastAsia="仿宋_GB2312" w:cs="Times New Roman"/>
          <w:bCs/>
          <w:color w:val="auto"/>
          <w:szCs w:val="32"/>
          <w:highlight w:val="none"/>
        </w:rPr>
        <w:t>）固体废物实施分类管理和妥善处理处置。</w:t>
      </w:r>
      <w:r>
        <w:rPr>
          <w:rFonts w:hint="eastAsia" w:eastAsia="仿宋_GB2312" w:cs="Times New Roman"/>
          <w:bCs/>
          <w:color w:val="auto"/>
          <w:szCs w:val="32"/>
          <w:highlight w:val="none"/>
          <w:lang w:val="en-US" w:eastAsia="zh-CN"/>
        </w:rPr>
        <w:t>一般固体废物中</w:t>
      </w:r>
      <w:r>
        <w:rPr>
          <w:rFonts w:hint="eastAsia" w:ascii="Times New Roman" w:hAnsi="Times New Roman" w:eastAsia="仿宋_GB2312" w:cs="Times New Roman"/>
          <w:bCs/>
          <w:kern w:val="2"/>
          <w:sz w:val="32"/>
          <w:szCs w:val="32"/>
          <w:highlight w:val="none"/>
          <w:lang w:val="en-US" w:eastAsia="zh-CN" w:bidi="ar-SA"/>
        </w:rPr>
        <w:t>软水制备系统</w:t>
      </w:r>
      <w:r>
        <w:rPr>
          <w:rFonts w:hint="default" w:ascii="Times New Roman" w:hAnsi="Times New Roman" w:eastAsia="仿宋_GB2312" w:cs="Times New Roman"/>
          <w:bCs/>
          <w:kern w:val="2"/>
          <w:sz w:val="32"/>
          <w:szCs w:val="32"/>
          <w:highlight w:val="none"/>
          <w:lang w:val="en-US" w:eastAsia="zh-CN" w:bidi="ar-SA"/>
        </w:rPr>
        <w:t>产生的废离子交换树脂由厂家定期更换并回收；</w:t>
      </w:r>
      <w:r>
        <w:rPr>
          <w:rFonts w:hint="default" w:ascii="Times New Roman" w:hAnsi="Times New Roman" w:eastAsia="仿宋_GB2312" w:cs="Times New Roman"/>
          <w:color w:val="auto"/>
          <w:szCs w:val="32"/>
          <w:highlight w:val="none"/>
          <w:lang w:val="en-US" w:eastAsia="zh-CN"/>
        </w:rPr>
        <w:t>锅炉检修产生的废旧零配件</w:t>
      </w:r>
      <w:r>
        <w:rPr>
          <w:rFonts w:hint="eastAsia" w:ascii="Times New Roman" w:hAnsi="Times New Roman" w:eastAsia="仿宋_GB2312" w:cs="Times New Roman"/>
          <w:color w:val="auto"/>
          <w:szCs w:val="32"/>
          <w:highlight w:val="none"/>
          <w:lang w:val="en-US" w:eastAsia="zh-CN"/>
        </w:rPr>
        <w:t>外售至废品收购站</w:t>
      </w:r>
      <w:r>
        <w:rPr>
          <w:rFonts w:hint="eastAsia" w:ascii="Times New Roman" w:hAnsi="Times New Roman" w:eastAsia="仿宋_GB2312" w:cs="Times New Roman"/>
          <w:bCs/>
          <w:color w:val="auto"/>
          <w:kern w:val="2"/>
          <w:sz w:val="32"/>
          <w:szCs w:val="32"/>
          <w:highlight w:val="none"/>
          <w:lang w:val="en-US" w:eastAsia="zh-CN" w:bidi="ar-SA"/>
        </w:rPr>
        <w:t>。生活垃圾由环卫部门定期清运至胡杨河经济技术开发区南区生活垃圾填埋场处理。</w:t>
      </w:r>
    </w:p>
    <w:p w14:paraId="36EF84DE">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eastAsia" w:eastAsia="仿宋_GB2312" w:cs="Times New Roman"/>
          <w:color w:val="auto"/>
          <w:kern w:val="2"/>
          <w:szCs w:val="32"/>
          <w:highlight w:val="none"/>
          <w:lang w:eastAsia="zh-CN"/>
        </w:rPr>
      </w:pPr>
      <w:r>
        <w:rPr>
          <w:rFonts w:hint="default" w:ascii="Times New Roman" w:hAnsi="Times New Roman" w:eastAsia="仿宋_GB2312" w:cs="Times New Roman"/>
        </w:rPr>
        <w:t>（</w:t>
      </w:r>
      <w:r>
        <w:rPr>
          <w:rFonts w:hint="eastAsia" w:eastAsia="仿宋_GB2312" w:cs="Times New Roman"/>
          <w:lang w:val="en-US" w:eastAsia="zh-CN"/>
        </w:rPr>
        <w:t>五</w:t>
      </w:r>
      <w:r>
        <w:rPr>
          <w:rFonts w:hint="default" w:ascii="Times New Roman" w:hAnsi="Times New Roman" w:eastAsia="仿宋_GB2312" w:cs="Times New Roman"/>
        </w:rPr>
        <w:t>）严格落实</w:t>
      </w:r>
      <w:r>
        <w:rPr>
          <w:rFonts w:hint="default" w:ascii="Times New Roman" w:hAnsi="Times New Roman" w:eastAsia="仿宋_GB2312" w:cs="Times New Roman"/>
          <w:lang w:val="en-US" w:eastAsia="zh-CN"/>
        </w:rPr>
        <w:t>地下水及</w:t>
      </w:r>
      <w:r>
        <w:rPr>
          <w:rFonts w:hint="default" w:ascii="Times New Roman" w:hAnsi="Times New Roman" w:eastAsia="仿宋_GB2312" w:cs="Times New Roman"/>
        </w:rPr>
        <w:t>土壤污染防治措施。</w:t>
      </w:r>
      <w:r>
        <w:rPr>
          <w:rFonts w:hint="eastAsia" w:eastAsia="仿宋_GB2312" w:cs="Times New Roman"/>
          <w:bCs/>
          <w:color w:val="auto"/>
          <w:szCs w:val="32"/>
          <w:highlight w:val="none"/>
          <w:lang w:eastAsia="zh-CN"/>
        </w:rPr>
        <w:t>按照源头防控、分区防治、污染监控、应急响应的原则进行地下水污染防治。严格按照导则要求，落实分区防渗和监控措施，</w:t>
      </w:r>
      <w:r>
        <w:rPr>
          <w:rFonts w:hint="eastAsia" w:eastAsia="仿宋_GB2312" w:cs="Times New Roman"/>
          <w:bCs/>
          <w:color w:val="auto"/>
          <w:szCs w:val="32"/>
          <w:highlight w:val="none"/>
          <w:lang w:val="en-US" w:eastAsia="zh-CN"/>
        </w:rPr>
        <w:t>对</w:t>
      </w:r>
      <w:r>
        <w:rPr>
          <w:rFonts w:hint="eastAsia" w:ascii="Times New Roman" w:hAnsi="Times New Roman" w:eastAsia="仿宋_GB2312" w:cs="Times New Roman"/>
          <w:bCs/>
          <w:color w:val="000000"/>
          <w:szCs w:val="32"/>
          <w:lang w:val="en-US" w:eastAsia="zh-CN"/>
        </w:rPr>
        <w:t>锅炉及其附属设备区</w:t>
      </w:r>
      <w:r>
        <w:rPr>
          <w:rFonts w:hint="default" w:ascii="Times New Roman" w:hAnsi="Times New Roman" w:eastAsia="仿宋_GB2312" w:cs="Times New Roman"/>
          <w:color w:val="auto"/>
          <w:kern w:val="2"/>
          <w:szCs w:val="32"/>
          <w:highlight w:val="none"/>
          <w:lang w:eastAsia="zh-CN"/>
        </w:rPr>
        <w:t>进行</w:t>
      </w:r>
      <w:r>
        <w:rPr>
          <w:rFonts w:hint="default" w:ascii="Times New Roman" w:hAnsi="Times New Roman" w:eastAsia="仿宋_GB2312" w:cs="Times New Roman"/>
        </w:rPr>
        <w:t>一般防渗</w:t>
      </w:r>
      <w:r>
        <w:rPr>
          <w:rFonts w:hint="eastAsia" w:eastAsia="仿宋_GB2312" w:cs="Times New Roman"/>
          <w:lang w:eastAsia="zh-CN"/>
        </w:rPr>
        <w:t>。</w:t>
      </w:r>
      <w:r>
        <w:rPr>
          <w:rFonts w:hint="eastAsia" w:eastAsia="仿宋_GB2312" w:cs="Times New Roman"/>
          <w:color w:val="auto"/>
          <w:kern w:val="2"/>
          <w:szCs w:val="32"/>
          <w:highlight w:val="none"/>
          <w:lang w:eastAsia="zh-CN"/>
        </w:rPr>
        <w:t>加强防渗设施的日常维护，确保防渗设施牢固安全。</w:t>
      </w:r>
    </w:p>
    <w:p w14:paraId="0E2D6FEA">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六</w:t>
      </w:r>
      <w:r>
        <w:rPr>
          <w:rFonts w:hint="default" w:ascii="Times New Roman" w:hAnsi="Times New Roman" w:eastAsia="仿宋_GB2312" w:cs="Times New Roman"/>
          <w:bCs/>
          <w:color w:val="auto"/>
          <w:szCs w:val="32"/>
          <w:highlight w:val="none"/>
        </w:rPr>
        <w:t>）强化各项环境风险防范措施，有效防范环境风险。定期开展环境风险应急培训和演练，落实各项应急环境管理措施以及各项风险防范措施，确保风险事故得到有效控制。</w:t>
      </w:r>
    </w:p>
    <w:p w14:paraId="65688B01">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eastAsia="仿宋_GB2312" w:cs="Times New Roman"/>
          <w:bCs/>
          <w:color w:val="auto"/>
          <w:szCs w:val="32"/>
          <w:highlight w:val="none"/>
          <w:lang w:eastAsia="zh-CN"/>
        </w:rPr>
      </w:pP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七</w:t>
      </w:r>
      <w:r>
        <w:rPr>
          <w:rFonts w:hint="eastAsia" w:eastAsia="仿宋_GB2312" w:cs="Times New Roman"/>
          <w:bCs/>
          <w:color w:val="auto"/>
          <w:szCs w:val="32"/>
          <w:highlight w:val="none"/>
          <w:lang w:eastAsia="zh-CN"/>
        </w:rPr>
        <w:t>）加强施工期环境保护，落实防沙治沙措施，防止施工废水、扬尘、噪声污染、水土流失和生态破坏。</w:t>
      </w:r>
    </w:p>
    <w:p w14:paraId="7CE17F92">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八</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在工程</w:t>
      </w:r>
      <w:r>
        <w:rPr>
          <w:rFonts w:hint="eastAsia" w:eastAsia="仿宋_GB2312" w:cs="Times New Roman"/>
          <w:bCs/>
          <w:color w:val="auto"/>
          <w:szCs w:val="32"/>
          <w:highlight w:val="none"/>
          <w:lang w:val="en-US" w:eastAsia="zh-CN"/>
        </w:rPr>
        <w:t>建设</w:t>
      </w:r>
      <w:r>
        <w:rPr>
          <w:rFonts w:hint="default" w:ascii="Times New Roman" w:hAnsi="Times New Roman" w:eastAsia="仿宋_GB2312" w:cs="Times New Roman"/>
          <w:bCs/>
          <w:color w:val="auto"/>
          <w:szCs w:val="32"/>
          <w:highlight w:val="none"/>
        </w:rPr>
        <w:t>过程中，应建立畅通的公众参与平台，加强宣传与沟通工作，及时解决公众提出的合理环境诉求。定期发布企业环境信息，并主动接受社会监督。</w:t>
      </w:r>
    </w:p>
    <w:p w14:paraId="3EF3007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03AF6CC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五、环境影响报告</w:t>
      </w:r>
      <w:r>
        <w:rPr>
          <w:rFonts w:hint="eastAsia" w:eastAsia="仿宋_GB2312" w:cs="Times New Roman"/>
          <w:bCs/>
          <w:color w:val="auto"/>
          <w:szCs w:val="32"/>
          <w:highlight w:val="none"/>
          <w:lang w:val="en-US" w:eastAsia="zh-CN"/>
        </w:rPr>
        <w:t>表</w:t>
      </w:r>
      <w:r>
        <w:rPr>
          <w:rFonts w:hint="default" w:ascii="Times New Roman" w:hAnsi="Times New Roman" w:eastAsia="仿宋_GB2312" w:cs="Times New Roman"/>
          <w:bCs/>
          <w:color w:val="auto"/>
          <w:szCs w:val="32"/>
          <w:highlight w:val="none"/>
        </w:rPr>
        <w:t>经批准后，该项目的性质、规模、地点、生产工艺和环境保护措施发生重大变动，且可能导致环境影响显著变化</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特别是不利环境影响加重</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的，应当重新报批该项目环境影响评价报告。</w:t>
      </w:r>
    </w:p>
    <w:p w14:paraId="18251CE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六、</w:t>
      </w:r>
      <w:r>
        <w:rPr>
          <w:rFonts w:hint="eastAsia" w:eastAsia="仿宋_GB2312" w:cs="Times New Roman"/>
          <w:bCs/>
          <w:color w:val="auto"/>
          <w:szCs w:val="32"/>
          <w:highlight w:val="none"/>
          <w:lang w:val="en-US" w:eastAsia="zh-CN"/>
        </w:rPr>
        <w:t>123</w:t>
      </w:r>
      <w:r>
        <w:rPr>
          <w:rFonts w:hint="default" w:ascii="Times New Roman" w:hAnsi="Times New Roman" w:eastAsia="仿宋_GB2312" w:cs="Times New Roman"/>
          <w:bCs/>
          <w:color w:val="auto"/>
          <w:szCs w:val="32"/>
          <w:highlight w:val="none"/>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4ACBABA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七、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报告</w:t>
      </w:r>
      <w:r>
        <w:rPr>
          <w:rFonts w:hint="eastAsia" w:eastAsia="仿宋_GB2312" w:cs="Times New Roman"/>
          <w:bCs/>
          <w:color w:val="auto"/>
          <w:szCs w:val="32"/>
          <w:highlight w:val="none"/>
          <w:lang w:val="en-US" w:eastAsia="zh-CN"/>
        </w:rPr>
        <w:t>表</w:t>
      </w:r>
      <w:r>
        <w:rPr>
          <w:rFonts w:hint="default" w:ascii="Times New Roman" w:hAnsi="Times New Roman" w:eastAsia="仿宋_GB2312" w:cs="Times New Roman"/>
          <w:bCs/>
          <w:color w:val="auto"/>
          <w:szCs w:val="32"/>
          <w:highlight w:val="none"/>
        </w:rPr>
        <w:t>送师市生态环境保护综合行政执法支队、生态环境监测站、</w:t>
      </w:r>
      <w:r>
        <w:rPr>
          <w:rFonts w:hint="eastAsia" w:eastAsia="仿宋_GB2312" w:cs="Times New Roman"/>
          <w:bCs/>
          <w:sz w:val="32"/>
          <w:szCs w:val="32"/>
          <w:lang w:val="en-US" w:eastAsia="zh-CN"/>
        </w:rPr>
        <w:t>123</w:t>
      </w:r>
      <w:r>
        <w:rPr>
          <w:rFonts w:hint="default" w:ascii="Times New Roman" w:hAnsi="Times New Roman" w:eastAsia="仿宋_GB2312" w:cs="Times New Roman"/>
          <w:bCs/>
          <w:sz w:val="32"/>
          <w:szCs w:val="32"/>
        </w:rPr>
        <w:t>团城镇和生态保护中心</w:t>
      </w:r>
      <w:r>
        <w:rPr>
          <w:rFonts w:hint="default" w:ascii="Times New Roman" w:hAnsi="Times New Roman" w:eastAsia="仿宋_GB2312" w:cs="Times New Roman"/>
          <w:bCs/>
          <w:color w:val="auto"/>
          <w:szCs w:val="32"/>
          <w:highlight w:val="none"/>
        </w:rPr>
        <w:t>，并按规定接受各级生态环境主管部门的监督检查。</w:t>
      </w:r>
    </w:p>
    <w:p w14:paraId="1DE9D5F3">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4A8A137E">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7A10EB94">
      <w:pPr>
        <w:keepNext w:val="0"/>
        <w:keepLines w:val="0"/>
        <w:pageBreakBefore w:val="0"/>
        <w:widowControl w:val="0"/>
        <w:kinsoku/>
        <w:wordWrap/>
        <w:overflowPunct/>
        <w:topLinePunct w:val="0"/>
        <w:autoSpaceDE/>
        <w:autoSpaceDN/>
        <w:bidi w:val="0"/>
        <w:adjustRightInd/>
        <w:snapToGrid/>
        <w:spacing w:line="400" w:lineRule="exact"/>
        <w:ind w:firstLine="4740" w:firstLineChars="15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 xml:space="preserve">第七师胡杨河市生态环境局 </w:t>
      </w:r>
    </w:p>
    <w:p w14:paraId="59CCFCC4">
      <w:pPr>
        <w:keepNext w:val="0"/>
        <w:keepLines w:val="0"/>
        <w:pageBreakBefore w:val="0"/>
        <w:widowControl w:val="0"/>
        <w:kinsoku/>
        <w:wordWrap/>
        <w:overflowPunct/>
        <w:topLinePunct w:val="0"/>
        <w:autoSpaceDE/>
        <w:autoSpaceDN/>
        <w:bidi w:val="0"/>
        <w:adjustRightInd/>
        <w:snapToGrid/>
        <w:spacing w:line="400" w:lineRule="exact"/>
        <w:ind w:firstLine="5372" w:firstLineChars="1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Cs w:val="32"/>
          <w:highlight w:val="none"/>
        </w:rPr>
        <w:t>202</w:t>
      </w:r>
      <w:r>
        <w:rPr>
          <w:rFonts w:hint="eastAsia" w:eastAsia="仿宋_GB2312" w:cs="Times New Roman"/>
          <w:bCs/>
          <w:color w:val="auto"/>
          <w:szCs w:val="32"/>
          <w:highlight w:val="none"/>
          <w:lang w:val="en-US" w:eastAsia="zh-CN"/>
        </w:rPr>
        <w:t>5</w:t>
      </w:r>
      <w:r>
        <w:rPr>
          <w:rFonts w:hint="default" w:ascii="Times New Roman" w:hAnsi="Times New Roman" w:eastAsia="仿宋_GB2312" w:cs="Times New Roman"/>
          <w:bCs/>
          <w:color w:val="auto"/>
          <w:szCs w:val="32"/>
          <w:highlight w:val="none"/>
        </w:rPr>
        <w:t>年</w:t>
      </w:r>
      <w:r>
        <w:rPr>
          <w:rFonts w:hint="eastAsia" w:eastAsia="仿宋_GB2312" w:cs="Times New Roman"/>
          <w:bCs/>
          <w:color w:val="auto"/>
          <w:szCs w:val="32"/>
          <w:highlight w:val="none"/>
          <w:lang w:val="en-US" w:eastAsia="zh-CN"/>
        </w:rPr>
        <w:t>10</w:t>
      </w:r>
      <w:r>
        <w:rPr>
          <w:rFonts w:hint="default" w:ascii="Times New Roman" w:hAnsi="Times New Roman" w:eastAsia="仿宋_GB2312" w:cs="Times New Roman"/>
          <w:bCs/>
          <w:color w:val="auto"/>
          <w:szCs w:val="32"/>
          <w:highlight w:val="none"/>
        </w:rPr>
        <w:t>月</w:t>
      </w:r>
      <w:r>
        <w:rPr>
          <w:rFonts w:hint="eastAsia" w:eastAsia="仿宋_GB2312" w:cs="Times New Roman"/>
          <w:bCs/>
          <w:color w:val="auto"/>
          <w:szCs w:val="32"/>
          <w:highlight w:val="none"/>
          <w:lang w:val="en-US" w:eastAsia="zh-CN"/>
        </w:rPr>
        <w:t>10</w:t>
      </w:r>
      <w:r>
        <w:rPr>
          <w:rFonts w:hint="default" w:ascii="Times New Roman" w:hAnsi="Times New Roman" w:eastAsia="仿宋_GB2312" w:cs="Times New Roman"/>
          <w:bCs/>
          <w:color w:val="auto"/>
          <w:szCs w:val="32"/>
          <w:highlight w:val="none"/>
        </w:rPr>
        <w:t>日</w:t>
      </w:r>
    </w:p>
    <w:p w14:paraId="596E1838">
      <w:pPr>
        <w:spacing w:line="400" w:lineRule="exact"/>
        <w:ind w:right="316" w:rightChars="100"/>
        <w:rPr>
          <w:rFonts w:hint="eastAsia" w:ascii="仿宋_GB2312" w:hAnsi="仿宋_GB2312" w:eastAsia="仿宋_GB2312" w:cs="仿宋_GB2312"/>
          <w:color w:val="auto"/>
          <w:sz w:val="28"/>
          <w:szCs w:val="28"/>
        </w:rPr>
      </w:pPr>
    </w:p>
    <w:p w14:paraId="24738FDE">
      <w:pPr>
        <w:spacing w:line="400" w:lineRule="exact"/>
        <w:ind w:right="316" w:rightChars="100"/>
        <w:rPr>
          <w:rFonts w:hint="eastAsia" w:ascii="仿宋_GB2312" w:hAnsi="仿宋_GB2312" w:eastAsia="仿宋_GB2312" w:cs="仿宋_GB2312"/>
          <w:color w:val="auto"/>
          <w:sz w:val="28"/>
          <w:szCs w:val="28"/>
        </w:rPr>
      </w:pPr>
    </w:p>
    <w:p w14:paraId="1A1C9868">
      <w:pPr>
        <w:spacing w:line="400" w:lineRule="exact"/>
        <w:ind w:right="316" w:rightChars="100"/>
        <w:rPr>
          <w:rFonts w:hint="eastAsia" w:ascii="仿宋_GB2312" w:hAnsi="仿宋_GB2312" w:eastAsia="仿宋_GB2312" w:cs="仿宋_GB2312"/>
          <w:color w:val="auto"/>
          <w:sz w:val="28"/>
          <w:szCs w:val="28"/>
        </w:rPr>
      </w:pPr>
    </w:p>
    <w:p w14:paraId="2EDE9E4E">
      <w:pPr>
        <w:spacing w:line="400" w:lineRule="exact"/>
        <w:ind w:right="316" w:rightChars="100"/>
        <w:rPr>
          <w:rFonts w:hint="eastAsia" w:ascii="仿宋_GB2312" w:hAnsi="仿宋_GB2312" w:eastAsia="仿宋_GB2312" w:cs="仿宋_GB2312"/>
          <w:color w:val="auto"/>
          <w:sz w:val="28"/>
          <w:szCs w:val="28"/>
        </w:rPr>
      </w:pPr>
    </w:p>
    <w:p w14:paraId="771F028F">
      <w:pPr>
        <w:spacing w:line="400" w:lineRule="exact"/>
        <w:ind w:right="316" w:rightChars="100"/>
        <w:rPr>
          <w:rFonts w:hint="eastAsia" w:ascii="仿宋_GB2312" w:hAnsi="仿宋_GB2312" w:eastAsia="仿宋_GB2312" w:cs="仿宋_GB2312"/>
          <w:color w:val="auto"/>
          <w:sz w:val="28"/>
          <w:szCs w:val="28"/>
        </w:rPr>
      </w:pPr>
    </w:p>
    <w:p w14:paraId="502CC00B">
      <w:pPr>
        <w:spacing w:line="400" w:lineRule="exact"/>
        <w:ind w:right="316" w:rightChars="100"/>
        <w:rPr>
          <w:rFonts w:hint="eastAsia" w:ascii="仿宋_GB2312" w:hAnsi="仿宋_GB2312" w:eastAsia="仿宋_GB2312" w:cs="仿宋_GB2312"/>
          <w:color w:val="auto"/>
          <w:sz w:val="28"/>
          <w:szCs w:val="28"/>
        </w:rPr>
      </w:pPr>
    </w:p>
    <w:p w14:paraId="1248DF68">
      <w:pPr>
        <w:spacing w:line="400" w:lineRule="exact"/>
        <w:ind w:right="316" w:rightChars="100"/>
        <w:rPr>
          <w:rFonts w:hint="eastAsia" w:ascii="仿宋_GB2312" w:hAnsi="仿宋_GB2312" w:eastAsia="仿宋_GB2312" w:cs="仿宋_GB2312"/>
          <w:color w:val="auto"/>
          <w:sz w:val="28"/>
          <w:szCs w:val="28"/>
        </w:rPr>
      </w:pPr>
    </w:p>
    <w:p w14:paraId="68BD409B">
      <w:pPr>
        <w:spacing w:line="400" w:lineRule="exact"/>
        <w:ind w:right="316" w:rightChars="100"/>
        <w:rPr>
          <w:rFonts w:hint="eastAsia" w:ascii="仿宋_GB2312" w:hAnsi="仿宋_GB2312" w:eastAsia="仿宋_GB2312" w:cs="仿宋_GB2312"/>
          <w:color w:val="auto"/>
          <w:sz w:val="28"/>
          <w:szCs w:val="28"/>
        </w:rPr>
      </w:pPr>
    </w:p>
    <w:p w14:paraId="34DBF893">
      <w:pPr>
        <w:spacing w:line="400" w:lineRule="exact"/>
        <w:ind w:right="316" w:rightChars="100"/>
        <w:rPr>
          <w:rFonts w:hint="eastAsia" w:ascii="仿宋_GB2312" w:hAnsi="仿宋_GB2312" w:eastAsia="仿宋_GB2312" w:cs="仿宋_GB2312"/>
          <w:color w:val="auto"/>
          <w:sz w:val="28"/>
          <w:szCs w:val="28"/>
        </w:rPr>
      </w:pPr>
    </w:p>
    <w:p w14:paraId="1FF00EE0">
      <w:pPr>
        <w:spacing w:line="400" w:lineRule="exact"/>
        <w:ind w:right="316" w:rightChars="100"/>
        <w:rPr>
          <w:rFonts w:hint="eastAsia" w:ascii="仿宋_GB2312" w:hAnsi="仿宋_GB2312" w:eastAsia="仿宋_GB2312" w:cs="仿宋_GB2312"/>
          <w:color w:val="auto"/>
          <w:sz w:val="28"/>
          <w:szCs w:val="28"/>
        </w:rPr>
      </w:pPr>
    </w:p>
    <w:p w14:paraId="209024CF">
      <w:pPr>
        <w:spacing w:line="400" w:lineRule="exact"/>
        <w:ind w:right="316" w:rightChars="100"/>
        <w:rPr>
          <w:rFonts w:hint="eastAsia" w:ascii="仿宋_GB2312" w:hAnsi="仿宋_GB2312" w:eastAsia="仿宋_GB2312" w:cs="仿宋_GB2312"/>
          <w:color w:val="auto"/>
          <w:sz w:val="28"/>
          <w:szCs w:val="28"/>
        </w:rPr>
      </w:pPr>
    </w:p>
    <w:p w14:paraId="30CB17D1">
      <w:pPr>
        <w:spacing w:line="400" w:lineRule="exact"/>
        <w:ind w:right="316" w:rightChars="100"/>
        <w:rPr>
          <w:rFonts w:hint="eastAsia" w:ascii="仿宋_GB2312" w:hAnsi="仿宋_GB2312" w:eastAsia="仿宋_GB2312" w:cs="仿宋_GB2312"/>
          <w:color w:val="auto"/>
          <w:sz w:val="28"/>
          <w:szCs w:val="28"/>
        </w:rPr>
      </w:pPr>
    </w:p>
    <w:p w14:paraId="44F14151">
      <w:pPr>
        <w:spacing w:line="400" w:lineRule="exact"/>
        <w:ind w:right="316" w:rightChars="100"/>
        <w:rPr>
          <w:rFonts w:hint="eastAsia" w:ascii="仿宋_GB2312" w:hAnsi="仿宋_GB2312" w:eastAsia="仿宋_GB2312" w:cs="仿宋_GB2312"/>
          <w:color w:val="auto"/>
          <w:sz w:val="28"/>
          <w:szCs w:val="28"/>
        </w:rPr>
      </w:pPr>
    </w:p>
    <w:p w14:paraId="67A28875">
      <w:pPr>
        <w:spacing w:line="400" w:lineRule="exact"/>
        <w:ind w:right="316" w:rightChars="100"/>
        <w:rPr>
          <w:rFonts w:hint="eastAsia" w:ascii="仿宋_GB2312" w:hAnsi="仿宋_GB2312" w:eastAsia="仿宋_GB2312" w:cs="仿宋_GB2312"/>
          <w:color w:val="auto"/>
          <w:sz w:val="28"/>
          <w:szCs w:val="28"/>
        </w:rPr>
      </w:pPr>
    </w:p>
    <w:p w14:paraId="6160180A">
      <w:pPr>
        <w:spacing w:line="400" w:lineRule="exact"/>
        <w:ind w:right="316" w:rightChars="100"/>
        <w:rPr>
          <w:rFonts w:hint="eastAsia" w:ascii="仿宋_GB2312" w:hAnsi="仿宋_GB2312" w:eastAsia="仿宋_GB2312" w:cs="仿宋_GB2312"/>
          <w:color w:val="auto"/>
          <w:sz w:val="28"/>
          <w:szCs w:val="28"/>
        </w:rPr>
      </w:pPr>
    </w:p>
    <w:p w14:paraId="791286ED">
      <w:pPr>
        <w:spacing w:line="400" w:lineRule="exact"/>
        <w:ind w:right="316" w:right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77840" cy="25400"/>
                <wp:effectExtent l="0" t="9525" r="3810" b="22225"/>
                <wp:wrapNone/>
                <wp:docPr id="1" name="直接连接符 1"/>
                <wp:cNvGraphicFramePr/>
                <a:graphic xmlns:a="http://schemas.openxmlformats.org/drawingml/2006/main">
                  <a:graphicData uri="http://schemas.microsoft.com/office/word/2010/wordprocessingShape">
                    <wps:wsp>
                      <wps:cNvCnPr/>
                      <wps:spPr>
                        <a:xfrm>
                          <a:off x="0" y="0"/>
                          <a:ext cx="5577840" cy="2540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2pt;width:439.2pt;z-index:251660288;mso-width-relative:page;mso-height-relative:page;" filled="f" stroked="t" coordsize="21600,21600" o:gfxdata="UEsDBAoAAAAAAIdO4kAAAAAAAAAAAAAAAAAEAAAAZHJzL1BLAwQUAAAACACHTuJAhK2OaNIAAAAD&#10;AQAADwAAAGRycy9kb3ducmV2LnhtbE2PwU7DMAyG70i8Q2QkbiwZKpCVppOYxGU3ygQcvSZrKxqn&#10;arJufXsMF3axZP2/Pn8u1mffi8mNsQtkYLlQIBzVwXbUGNi9v95pEDEhWewDOQOzi7Aur68KzG04&#10;0ZubqtQIhlDM0UCb0pBLGevWeYyLMDji7BBGj4nXsZF2xBPDfS/vlXqUHjviCy0ObtO6+rs6eqY8&#10;fOqXLerdPPfV1yrbfGwn8sbc3izVM4jkzum/DL/6rA4lO+3DkWwUvQF+JP1NzvSTzkDsDWQKZFnI&#10;S/fyB1BLAwQUAAAACACHTuJA0zPWFf4BAAD3AwAADgAAAGRycy9lMm9Eb2MueG1srVPNjtMwEL4j&#10;8Q6W7zRptWWXqOketiwXBJWAB5g6TmLJf/K4TfsSvAASNzhx5M7b7PIYjJ1SluXSAzk4Y8/MN/N9&#10;Hi+u90aznQyonK35dFJyJq1wjbJdzT+8v312xRlGsA1oZ2XNDxL59fLpk8XgKzlzvdONDIxALFaD&#10;r3kfo6+KAkUvDeDEeWnJ2bpgINI2dEUTYCB0o4tZWT4vBhcaH5yQiHS6Gp38iBjOAXRtq4RcObE1&#10;0sYRNUgNkShhrzzyZe62baWIb9sWZWS65sQ05pWKkL1Ja7FcQNUF8L0SxxbgnBYecTKgLBU9Qa0g&#10;AtsG9Q+UUSI4dG2cCGeKkUhWhFhMy0favOvBy8yFpEZ/Eh3/H6x4s1sHphqaBM4sGLrw+0/f7z5+&#10;+fnjM633376yaRJp8FhR7I1dh+MO/Tokxvs2mPQnLmyfhT2chJX7yAQdzueXl1cXpLkg32x+UWbh&#10;iz/JPmB8JZ1hyai5Vjbxhgp2rzFSQQr9HZKOtWUDdfyinCdMoCls6fbJNJ6YoO1yMjqtmluldUrB&#10;0G1udGA7SJOQv8SLgP8KS1VWgP0Yl13jjPQSmpe2YfHgSSNLT4OnHoxsONOSXlKyCBCqCEqfE0ml&#10;tU0JMs/pkWgSepQ2WRvXHOh+tj6oridh8l0UyUPzkLs/zm4auId7sh++1+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K2OaNIAAAADAQAADwAAAAAAAAABACAAAAAiAAAAZHJzL2Rvd25yZXYueG1s&#10;UEsBAhQAFAAAAAgAh07iQNMz1hX+AQAA9wMAAA4AAAAAAAAAAQAgAAAAIQEAAGRycy9lMm9Eb2Mu&#10;eG1sUEsFBgAAAAAGAAYAWQEAAJE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auto"/>
          <w:sz w:val="28"/>
          <w:szCs w:val="28"/>
        </w:rPr>
        <w:t>抄送：师市生态环境保护综合行政执法支队、生态环境监测站、1</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团城镇和生态保护中心。</w:t>
      </w:r>
    </w:p>
    <w:p w14:paraId="1BC33527">
      <w:pPr>
        <w:spacing w:line="600" w:lineRule="exact"/>
        <w:ind w:right="316" w:rightChars="100" w:firstLine="254" w:firstLineChars="100"/>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382270</wp:posOffset>
                </wp:positionV>
                <wp:extent cx="5615940"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15pt;width:442.2pt;z-index:251661312;mso-width-relative:page;mso-height-relative:page;" filled="f" stroked="t" coordsize="21600,21600" o:gfxdata="UEsDBAoAAAAAAIdO4kAAAAAAAAAAAAAAAAAEAAAAZHJzL1BLAwQUAAAACACHTuJAObkz1dQAAAAG&#10;AQAADwAAAGRycy9kb3ducmV2LnhtbE2PwU7DMAyG70i8Q2QkbizZ1E2hNJ3EJC67UabB0WtMW9E4&#10;VZN169uTneBo/78+fy62V9eLicbQeTawXCgQxLW3HTcGDh9vTxpEiMgWe89kYKYA2/L+rsDc+gu/&#10;01TFRiQIhxwNtDEOuZShbslhWPiBOGXffnQY0zg20o54SXDXy5VSG+mw43ShxYF2LdU/1dklyvpT&#10;v+5RH+a5r76es91xP7Ez5vFhqV5ARLrGvzLc9JM6lMnp5M9sg+gNpEeigY1agUip1lkG4nRbrEGW&#10;hfyvX/4CUEsDBBQAAAAIAIdO4kAeJISH+AEAAPYDAAAOAAAAZHJzL2Uyb0RvYy54bWytU0uOEzEQ&#10;3SNxB8t70klERkwrnVlMGDYIIgEHqLjd3Zb8k8tJJ5fgAkjsYMWSPbdh5hiU3U2YzyYLeuEuu56f&#10;6z2Xl1cHo9leBlTOVnw2mXImrXC1sm3FP328efGKM4xga9DOyoofJfKr1fNny96Xcu46p2sZGJFY&#10;LHtf8S5GXxYFik4awInz0lKyccFApGloizpAT+xGF/Pp9KLoXah9cEIi0up6SPKRMZxD6JpGCbl2&#10;YmekjQNrkBoiScJOeeSrXG3TSBHfNw3KyHTFSWnMIx1C8TaNxWoJZRvAd0qMJcA5JTzSZEBZOvRE&#10;tYYIbBfUEyqjRHDomjgRzhSDkOwIqZhNH3nzoQMvsxayGv3JdPx/tOLdfhOYqis+58yCoQu//fLz&#10;9+dvd7++0nj74zubJ5N6jyVhr+0mjDP0m5AUH5pg0p+0sEM29ngyVh4iE7S4uJgtLl+S54Jys8vp&#10;IlEW//b6gPGNdIaloOJa2SQbSti/xThA/0LSsrasH3gSJVATNnT5FBpPQtC2eTM6reobpXXagqHd&#10;XuvA9pAaIX9jDQ9g6ZQ1YDfgcirBoOwk1K9tzeLRk0WWXgZPNRhZc6YlPaQUZWQEpc9BknxtE7XM&#10;bToKTT4PzqZo6+ojXc/OB9V2ZMws15wy1A7ZwbF1U7/dn1N8/7m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uTPV1AAAAAYBAAAPAAAAAAAAAAEAIAAAACIAAABkcnMvZG93bnJldi54bWxQSwEC&#10;FAAUAAAACACHTuJAHiSEh/gBAAD2AwAADgAAAAAAAAABACAAAAAjAQAAZHJzL2Uyb0RvYy54bWxQ&#10;SwUGAAAAAAYABgBZAQAAjQU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57784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7840"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5pt;height:0.5pt;width:439.2pt;z-index:251661312;mso-width-relative:page;mso-height-relative:page;" filled="f" stroked="t" coordsize="21600,21600" o:gfxdata="UEsDBAoAAAAAAIdO4kAAAAAAAAAAAAAAAAAEAAAAZHJzL1BLAwQUAAAACACHTuJA4iMwQNMAAAAE&#10;AQAADwAAAGRycy9kb3ducmV2LnhtbE2PQU/DMAyF70j8h8hI3LakA0HXNZ0QAi5ISBuFc9qYtiJx&#10;qibrxr/HO8HJen7We5/L7ck7MeMUh0AasqUCgdQGO1CnoX5/XuQgYjJkjQuEGn4wwra6vChNYcOR&#10;djjvUyc4hGJhNPQpjYWUse3Rm7gMIxJ7X2HyJrGcOmknc+Rw7+RKqTvpzUDc0JsRH3tsv/cHr+Hh&#10;8/Xp5m1ufHB23dUf1tfqZaX19VWmNiASntLfMZzxGR0qZmrCgWwUTgM/kjQsMp7s5vf5LYjmvJZV&#10;Kf/DV79QSwMEFAAAAAgAh07iQPj8sJsGAgAA/wMAAA4AAABkcnMvZTJvRG9jLnhtbK1TS44TMRDd&#10;I3EHy3vS+ZCZoZXOLCYMGwSR+Owr/nRb8k+2k04uwQWQ2MGK5ey5DcMxKLtDNAybLOiFVXaVX9V7&#10;fr243htNdiJE5WxDJ6MxJcIyx5VtG/rh/e2zK0piAstBOysaehCRXi+fPln0vhZT1znNRSAIYmPd&#10;+4Z2Kfm6qiLrhIE4cl5YTEoXDCTchrbiAXpEN7qajscXVe8C98ExESOeroYkPSKGcwCdlIqJlWNb&#10;I2waUIPQkJBS7JSPdFmmlVKw9FbKKBLRDUWmqazYBONNXqvlAuo2gO8UO44A54zwiJMBZbHpCWoF&#10;Ccg2qH+gjGLBRSfTiDlTDUSKIshiMn6kzbsOvChcUOroT6LH/wfL3uzWgSje0BklFgw++P3nu5+f&#10;vv768QXX++/fyCyL1PtYY+2NXYfjLvp1yIz3MhgitfIf0U1FA2RF9kXiw0lisU+E4eF8fnl59RzV&#10;Z5i7mM3LC1QDSkbzIaZXwhmSg4ZqZbMAUMPudUzYGUv/lORjbUnf0Bfz6RwRAd0o0QUYGo+Mom3L&#10;3ei04rdK63wjhnZzowPZQXZE+TI/xP2rLDdZQeyGupIavNIJ4C8tJ+ngUSuLvwjNIxjBKdEC/6gc&#10;ISDUCZQ+pxJba5sviOLXI88s+CBxjjaOH/Cdtj6otkNdJmXmnEFflOmPHs7Ge7jH+OF/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iMwQNMAAAAEAQAADwAAAAAAAAABACAAAAAiAAAAZHJzL2Rv&#10;d25yZXYueG1sUEsBAhQAFAAAAAgAh07iQPj8sJsGAgAA/wMAAA4AAAAAAAAAAQAgAAAAIgEAAGRy&#10;cy9lMm9Eb2MueG1sUEsFBgAAAAAGAAYAWQEAAJo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11"/>
          <w:sz w:val="28"/>
          <w:szCs w:val="28"/>
        </w:rPr>
        <w:t>新疆生产建设兵团第七师胡杨河市生态环境局</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日印发</w:t>
      </w:r>
    </w:p>
    <w:sectPr>
      <w:headerReference r:id="rId3" w:type="default"/>
      <w:footerReference r:id="rId4" w:type="default"/>
      <w:footerReference r:id="rId5" w:type="even"/>
      <w:pgSz w:w="11906" w:h="16838"/>
      <w:pgMar w:top="2098" w:right="1474" w:bottom="1984" w:left="1587"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onet">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F376">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3C982">
                          <w:pPr>
                            <w:pStyle w:val="11"/>
                            <w:ind w:left="320" w:leftChars="100" w:right="320" w:rightChars="100"/>
                            <w:rPr>
                              <w:rStyle w:val="17"/>
                              <w:rFonts w:hint="eastAsia" w:ascii="仿宋_GB2312" w:eastAsia="仿宋_GB2312"/>
                              <w:b/>
                              <w:bCs/>
                              <w:sz w:val="28"/>
                              <w:szCs w:val="28"/>
                            </w:rPr>
                          </w:pPr>
                          <w:r>
                            <w:rPr>
                              <w:rStyle w:val="17"/>
                              <w:rFonts w:hint="eastAsia" w:ascii="仿宋_GB2312" w:eastAsia="仿宋_GB2312"/>
                              <w:sz w:val="28"/>
                              <w:szCs w:val="28"/>
                            </w:rPr>
                            <w:t xml:space="preserve">— </w:t>
                          </w:r>
                          <w:r>
                            <w:rPr>
                              <w:rFonts w:hint="eastAsia" w:asciiTheme="majorEastAsia" w:hAnsiTheme="majorEastAsia" w:eastAsiaTheme="majorEastAsia" w:cstheme="majorEastAsia"/>
                              <w:sz w:val="28"/>
                              <w:szCs w:val="28"/>
                            </w:rPr>
                            <w:fldChar w:fldCharType="begin"/>
                          </w:r>
                          <w:r>
                            <w:rPr>
                              <w:rStyle w:val="17"/>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17"/>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Style w:val="17"/>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LxMNQAAAAH&#10;AQAADwAAAGRycy9kb3ducmV2LnhtbE2PwU7DMBBE70j8g7VI3KjTtEVRiFOJinBEouHA0Y2XJGCv&#10;I9tNw9+znOA4M6uZt9V+cVbMGOLoScF6lYFA6rwZqVfw1jZ3BYiYNBltPaGCb4ywr6+vKl0af6FX&#10;nI+pF1xCsdQKhpSmUsrYDeh0XPkJibMPH5xOLEMvTdAXLndW5ll2L50eiRcGPeFhwO7reHYKDk3b&#10;hhljsO/43Gw+Xx63+LQodXuzzh5AJFzS3zH84jM61Mx08mcyUVgF/EhSsNnuQHCaFwUbJzbyfAey&#10;ruR//voH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LxM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3C33C982">
                    <w:pPr>
                      <w:pStyle w:val="11"/>
                      <w:ind w:left="320" w:leftChars="100" w:right="320" w:rightChars="100"/>
                      <w:rPr>
                        <w:rStyle w:val="17"/>
                        <w:rFonts w:hint="eastAsia" w:ascii="仿宋_GB2312" w:eastAsia="仿宋_GB2312"/>
                        <w:b/>
                        <w:bCs/>
                        <w:sz w:val="28"/>
                        <w:szCs w:val="28"/>
                      </w:rPr>
                    </w:pPr>
                    <w:r>
                      <w:rPr>
                        <w:rStyle w:val="17"/>
                        <w:rFonts w:hint="eastAsia" w:ascii="仿宋_GB2312" w:eastAsia="仿宋_GB2312"/>
                        <w:sz w:val="28"/>
                        <w:szCs w:val="28"/>
                      </w:rPr>
                      <w:t xml:space="preserve">— </w:t>
                    </w:r>
                    <w:r>
                      <w:rPr>
                        <w:rFonts w:hint="eastAsia" w:asciiTheme="majorEastAsia" w:hAnsiTheme="majorEastAsia" w:eastAsiaTheme="majorEastAsia" w:cstheme="majorEastAsia"/>
                        <w:sz w:val="28"/>
                        <w:szCs w:val="28"/>
                      </w:rPr>
                      <w:fldChar w:fldCharType="begin"/>
                    </w:r>
                    <w:r>
                      <w:rPr>
                        <w:rStyle w:val="17"/>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17"/>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Style w:val="17"/>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3F64">
    <w:pPr>
      <w:pStyle w:val="11"/>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25E3BEF7">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217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01AFB"/>
    <w:multiLevelType w:val="multilevel"/>
    <w:tmpl w:val="7F401AFB"/>
    <w:lvl w:ilvl="0" w:tentative="0">
      <w:start w:val="1"/>
      <w:numFmt w:val="decimal"/>
      <w:pStyle w:val="2"/>
      <w:suff w:val="space"/>
      <w:lvlText w:val="%1"/>
      <w:lvlJc w:val="center"/>
      <w:pPr>
        <w:ind w:left="0" w:firstLine="0"/>
      </w:pPr>
      <w:rPr>
        <w:rFonts w:hint="default" w:ascii="Times New Roman" w:hAnsi="Times New Roman" w:eastAsia="宋体"/>
        <w:b/>
        <w:i w:val="0"/>
        <w:caps w:val="0"/>
        <w:strike w:val="0"/>
        <w:dstrike w:val="0"/>
        <w:vanish w:val="0"/>
        <w:color w:val="auto"/>
        <w:sz w:val="28"/>
        <w:szCs w:val="32"/>
        <w:u w:val="none"/>
        <w:vertAlign w:val="baseline"/>
      </w:rPr>
    </w:lvl>
    <w:lvl w:ilvl="1" w:tentative="0">
      <w:start w:val="1"/>
      <w:numFmt w:val="decimal"/>
      <w:isLgl/>
      <w:suff w:val="space"/>
      <w:lvlText w:val="%1.%2"/>
      <w:lvlJc w:val="left"/>
      <w:pPr>
        <w:ind w:left="0" w:firstLine="0"/>
      </w:pPr>
      <w:rPr>
        <w:rFonts w:hint="default" w:ascii="Times New Roman" w:hAnsi="Times New Roman" w:eastAsia="宋体"/>
        <w:b/>
        <w:i w:val="0"/>
        <w:caps w:val="0"/>
        <w:smallCaps w:val="0"/>
        <w:strike w:val="0"/>
        <w:dstrike w:val="0"/>
        <w:vanish w:val="0"/>
        <w:spacing w:val="0"/>
        <w:position w:val="0"/>
        <w:sz w:val="24"/>
        <w:u w:val="none"/>
        <w:vertAlign w:val="baseline"/>
      </w:rPr>
    </w:lvl>
    <w:lvl w:ilvl="2" w:tentative="0">
      <w:start w:val="1"/>
      <w:numFmt w:val="decimal"/>
      <w:suff w:val="space"/>
      <w:lvlText w:val="%1.%2.%3"/>
      <w:lvlJc w:val="left"/>
      <w:pPr>
        <w:ind w:left="280" w:firstLine="0"/>
      </w:pPr>
      <w:rPr>
        <w:rFonts w:hint="default" w:ascii="Times New Roman" w:hAnsi="Times New Roman" w:eastAsia="宋体"/>
        <w:b w:val="0"/>
        <w:i w:val="0"/>
        <w:caps w:val="0"/>
        <w:strike w:val="0"/>
        <w:dstrike w:val="0"/>
        <w:vanish w:val="0"/>
        <w:color w:val="auto"/>
        <w:sz w:val="24"/>
        <w:szCs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Coronet"/>
        <w:b w:val="0"/>
        <w:bCs w:val="0"/>
        <w:i w:val="0"/>
        <w:iCs w:val="0"/>
        <w:caps w:val="0"/>
        <w:smallCaps w:val="0"/>
        <w:strike w:val="0"/>
        <w:dstrike w:val="0"/>
        <w:vanish w:val="0"/>
        <w:spacing w:val="0"/>
        <w:kern w:val="0"/>
        <w:position w:val="0"/>
        <w:u w:val="none"/>
        <w:vertAlign w:val="baseline"/>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007E248D"/>
    <w:rsid w:val="003C56A9"/>
    <w:rsid w:val="004964B4"/>
    <w:rsid w:val="004E2243"/>
    <w:rsid w:val="00551627"/>
    <w:rsid w:val="00667BE7"/>
    <w:rsid w:val="006E0941"/>
    <w:rsid w:val="00716EAB"/>
    <w:rsid w:val="007E248D"/>
    <w:rsid w:val="008833E6"/>
    <w:rsid w:val="008E7DDF"/>
    <w:rsid w:val="009102E5"/>
    <w:rsid w:val="009C6F11"/>
    <w:rsid w:val="00B8473B"/>
    <w:rsid w:val="00BB7897"/>
    <w:rsid w:val="00C43B00"/>
    <w:rsid w:val="00C514AC"/>
    <w:rsid w:val="00D003EC"/>
    <w:rsid w:val="00D774FB"/>
    <w:rsid w:val="00DC26F3"/>
    <w:rsid w:val="00DE4A81"/>
    <w:rsid w:val="00EC6E6C"/>
    <w:rsid w:val="00F617BE"/>
    <w:rsid w:val="00FB12F8"/>
    <w:rsid w:val="01913DF5"/>
    <w:rsid w:val="02370362"/>
    <w:rsid w:val="02B04EBD"/>
    <w:rsid w:val="04B77D73"/>
    <w:rsid w:val="05737345"/>
    <w:rsid w:val="06C71389"/>
    <w:rsid w:val="06CC7B06"/>
    <w:rsid w:val="07061550"/>
    <w:rsid w:val="07E14CFA"/>
    <w:rsid w:val="08EC6D80"/>
    <w:rsid w:val="0994708F"/>
    <w:rsid w:val="09E77F18"/>
    <w:rsid w:val="0BBC2B25"/>
    <w:rsid w:val="0BFE77BB"/>
    <w:rsid w:val="0CE57E5A"/>
    <w:rsid w:val="0E130163"/>
    <w:rsid w:val="0FF24E09"/>
    <w:rsid w:val="128F6BA3"/>
    <w:rsid w:val="16B800EE"/>
    <w:rsid w:val="177121A0"/>
    <w:rsid w:val="19A10D50"/>
    <w:rsid w:val="1E460B4D"/>
    <w:rsid w:val="1E7948A6"/>
    <w:rsid w:val="1F282554"/>
    <w:rsid w:val="20783D41"/>
    <w:rsid w:val="21162F81"/>
    <w:rsid w:val="21DD6837"/>
    <w:rsid w:val="21EA78A3"/>
    <w:rsid w:val="232E3EB1"/>
    <w:rsid w:val="24057B5F"/>
    <w:rsid w:val="24696853"/>
    <w:rsid w:val="247C78BD"/>
    <w:rsid w:val="250B5DC7"/>
    <w:rsid w:val="256C6F12"/>
    <w:rsid w:val="25B11864"/>
    <w:rsid w:val="260C6FC7"/>
    <w:rsid w:val="266546C4"/>
    <w:rsid w:val="291034DE"/>
    <w:rsid w:val="2B066B68"/>
    <w:rsid w:val="2B665A9B"/>
    <w:rsid w:val="2BA03F96"/>
    <w:rsid w:val="2F0C396C"/>
    <w:rsid w:val="2F130EE6"/>
    <w:rsid w:val="2F234AE5"/>
    <w:rsid w:val="2F2B3664"/>
    <w:rsid w:val="2FEE4162"/>
    <w:rsid w:val="30217E08"/>
    <w:rsid w:val="32C5491C"/>
    <w:rsid w:val="343311B5"/>
    <w:rsid w:val="34504E98"/>
    <w:rsid w:val="358F67ED"/>
    <w:rsid w:val="371F1D45"/>
    <w:rsid w:val="37A75B88"/>
    <w:rsid w:val="38207142"/>
    <w:rsid w:val="38453BBB"/>
    <w:rsid w:val="3BAC6099"/>
    <w:rsid w:val="3C25479F"/>
    <w:rsid w:val="3D7076AF"/>
    <w:rsid w:val="3DD64512"/>
    <w:rsid w:val="3EB56DDC"/>
    <w:rsid w:val="3EC1562C"/>
    <w:rsid w:val="3F0E35AF"/>
    <w:rsid w:val="3F4E158E"/>
    <w:rsid w:val="4419237E"/>
    <w:rsid w:val="45D948F4"/>
    <w:rsid w:val="46F24DE3"/>
    <w:rsid w:val="47587B93"/>
    <w:rsid w:val="4AB55994"/>
    <w:rsid w:val="4B9F5BD0"/>
    <w:rsid w:val="4CBF17F2"/>
    <w:rsid w:val="4CCA458A"/>
    <w:rsid w:val="50CC6933"/>
    <w:rsid w:val="50CD705E"/>
    <w:rsid w:val="52C76BF5"/>
    <w:rsid w:val="52E568E7"/>
    <w:rsid w:val="54231BA0"/>
    <w:rsid w:val="562D5084"/>
    <w:rsid w:val="57563655"/>
    <w:rsid w:val="581B211A"/>
    <w:rsid w:val="596F60AE"/>
    <w:rsid w:val="5A605F4A"/>
    <w:rsid w:val="5A885A96"/>
    <w:rsid w:val="609006D2"/>
    <w:rsid w:val="63A06130"/>
    <w:rsid w:val="64C86FBA"/>
    <w:rsid w:val="654C1999"/>
    <w:rsid w:val="66BE66CF"/>
    <w:rsid w:val="677F3533"/>
    <w:rsid w:val="68991CEA"/>
    <w:rsid w:val="68B418D9"/>
    <w:rsid w:val="69145912"/>
    <w:rsid w:val="6ADC4BA2"/>
    <w:rsid w:val="6B762AC2"/>
    <w:rsid w:val="6B997D40"/>
    <w:rsid w:val="6C054650"/>
    <w:rsid w:val="6C711CE5"/>
    <w:rsid w:val="6D272415"/>
    <w:rsid w:val="6F065AB6"/>
    <w:rsid w:val="70205EFC"/>
    <w:rsid w:val="70787AE6"/>
    <w:rsid w:val="721320EC"/>
    <w:rsid w:val="73323C81"/>
    <w:rsid w:val="7388211F"/>
    <w:rsid w:val="745A0337"/>
    <w:rsid w:val="76DD68F5"/>
    <w:rsid w:val="76FA7D0E"/>
    <w:rsid w:val="77B21B30"/>
    <w:rsid w:val="780A371A"/>
    <w:rsid w:val="795C442C"/>
    <w:rsid w:val="79601704"/>
    <w:rsid w:val="79621333"/>
    <w:rsid w:val="798C319D"/>
    <w:rsid w:val="79F35C8E"/>
    <w:rsid w:val="7A85778D"/>
    <w:rsid w:val="7C460A98"/>
    <w:rsid w:val="7D7B4DE1"/>
    <w:rsid w:val="7EB24410"/>
    <w:rsid w:val="7F8A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b/>
      <w:kern w:val="0"/>
      <w:sz w:val="28"/>
      <w:szCs w:val="28"/>
    </w:rPr>
  </w:style>
  <w:style w:type="paragraph" w:styleId="3">
    <w:name w:val="heading 2"/>
    <w:basedOn w:val="1"/>
    <w:next w:val="1"/>
    <w:qFormat/>
    <w:uiPriority w:val="0"/>
    <w:pPr>
      <w:keepNext/>
      <w:keepLines/>
      <w:widowControl w:val="0"/>
      <w:spacing w:before="50" w:beforeLines="50" w:after="50" w:afterLines="50" w:line="560" w:lineRule="exact"/>
      <w:ind w:firstLine="640" w:firstLineChars="200"/>
      <w:outlineLvl w:val="1"/>
    </w:pPr>
    <w:rPr>
      <w:rFonts w:ascii="仿宋" w:hAnsi="宋体" w:eastAsia="楷体" w:cs="仿宋"/>
      <w:b/>
      <w:bCs/>
      <w:kern w:val="2"/>
      <w:sz w:val="36"/>
      <w:szCs w:val="32"/>
      <w:lang w:val="en-US" w:eastAsia="zh-CN" w:bidi="ar-SA"/>
    </w:rPr>
  </w:style>
  <w:style w:type="paragraph" w:styleId="4">
    <w:name w:val="heading 3"/>
    <w:basedOn w:val="1"/>
    <w:next w:val="1"/>
    <w:qFormat/>
    <w:uiPriority w:val="0"/>
    <w:pPr>
      <w:keepNext/>
      <w:keepLines/>
      <w:spacing w:line="360" w:lineRule="auto"/>
      <w:ind w:firstLine="200" w:firstLineChars="200"/>
      <w:outlineLvl w:val="2"/>
    </w:pPr>
    <w:rPr>
      <w:bCs/>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宋体" w:hAnsi="宋体"/>
    </w:rPr>
  </w:style>
  <w:style w:type="paragraph" w:styleId="6">
    <w:name w:val="index 5"/>
    <w:basedOn w:val="1"/>
    <w:next w:val="1"/>
    <w:qFormat/>
    <w:uiPriority w:val="0"/>
    <w:pPr>
      <w:ind w:left="800" w:leftChars="800"/>
    </w:pPr>
  </w:style>
  <w:style w:type="paragraph" w:styleId="7">
    <w:name w:val="Body Text"/>
    <w:basedOn w:val="1"/>
    <w:next w:val="8"/>
    <w:qFormat/>
    <w:uiPriority w:val="0"/>
    <w:rPr>
      <w:rFonts w:eastAsia="华文中宋"/>
      <w:b/>
      <w:bCs/>
      <w:w w:val="90"/>
      <w:sz w:val="44"/>
    </w:rPr>
  </w:style>
  <w:style w:type="paragraph" w:customStyle="1" w:styleId="8">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9">
    <w:name w:val="Block Text"/>
    <w:basedOn w:val="1"/>
    <w:next w:val="10"/>
    <w:qFormat/>
    <w:uiPriority w:val="99"/>
    <w:pPr>
      <w:spacing w:line="480" w:lineRule="exact"/>
      <w:ind w:left="-125" w:right="-56" w:firstLine="570"/>
    </w:pPr>
    <w:rPr>
      <w:sz w:val="28"/>
      <w:szCs w:val="24"/>
    </w:rPr>
  </w:style>
  <w:style w:type="paragraph" w:styleId="10">
    <w:name w:val="toc 9"/>
    <w:basedOn w:val="1"/>
    <w:next w:val="1"/>
    <w:qFormat/>
    <w:uiPriority w:val="39"/>
    <w:pPr>
      <w:jc w:val="center"/>
    </w:pPr>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footnote text"/>
    <w:basedOn w:val="1"/>
    <w:next w:val="6"/>
    <w:unhideWhenUsed/>
    <w:qFormat/>
    <w:uiPriority w:val="99"/>
    <w:pPr>
      <w:snapToGrid w:val="0"/>
      <w:jc w:val="left"/>
    </w:pPr>
    <w:rPr>
      <w:rFonts w:ascii="Calibri" w:hAnsi="Calibri" w:eastAsia="仿宋" w:cs="Times New Roman"/>
      <w:sz w:val="18"/>
      <w:szCs w:val="18"/>
    </w:rPr>
  </w:style>
  <w:style w:type="paragraph" w:styleId="14">
    <w:name w:val="Body Text 2"/>
    <w:basedOn w:val="1"/>
    <w:unhideWhenUsed/>
    <w:qFormat/>
    <w:uiPriority w:val="99"/>
    <w:pPr>
      <w:spacing w:after="120" w:line="480" w:lineRule="auto"/>
    </w:pPr>
  </w:style>
  <w:style w:type="character" w:styleId="17">
    <w:name w:val="page number"/>
    <w:basedOn w:val="16"/>
    <w:qFormat/>
    <w:uiPriority w:val="0"/>
  </w:style>
  <w:style w:type="paragraph" w:customStyle="1" w:styleId="18">
    <w:name w:val="Default"/>
    <w:basedOn w:val="19"/>
    <w:next w:val="1"/>
    <w:unhideWhenUsed/>
    <w:qFormat/>
    <w:uiPriority w:val="0"/>
    <w:pPr>
      <w:tabs>
        <w:tab w:val="left" w:pos="2760"/>
      </w:tabs>
      <w:autoSpaceDE w:val="0"/>
      <w:autoSpaceDN w:val="0"/>
    </w:pPr>
    <w:rPr>
      <w:rFonts w:hAnsi="宋体" w:eastAsia="宋体"/>
      <w:color w:val="000000"/>
      <w:sz w:val="24"/>
    </w:rPr>
  </w:style>
  <w:style w:type="paragraph" w:customStyle="1" w:styleId="19">
    <w:name w:val="纯文本1"/>
    <w:basedOn w:val="1"/>
    <w:qFormat/>
    <w:uiPriority w:val="0"/>
    <w:pPr>
      <w:tabs>
        <w:tab w:val="left" w:pos="2760"/>
      </w:tabs>
      <w:adjustRightInd w:val="0"/>
    </w:pPr>
    <w:rPr>
      <w:rFonts w:ascii="宋体" w:hAnsi="Courier New"/>
    </w:rPr>
  </w:style>
  <w:style w:type="paragraph" w:customStyle="1" w:styleId="20">
    <w:name w:val="Char"/>
    <w:basedOn w:val="1"/>
    <w:qFormat/>
    <w:uiPriority w:val="0"/>
    <w:rPr>
      <w:rFonts w:cs="宋体"/>
      <w:sz w:val="28"/>
    </w:rPr>
  </w:style>
  <w:style w:type="paragraph" w:customStyle="1" w:styleId="21">
    <w:name w:val="YJ正文*"/>
    <w:basedOn w:val="1"/>
    <w:qFormat/>
    <w:uiPriority w:val="0"/>
    <w:pPr>
      <w:spacing w:line="500" w:lineRule="exact"/>
      <w:ind w:firstLine="200" w:firstLineChars="200"/>
      <w:jc w:val="both"/>
    </w:pPr>
    <w:rPr>
      <w:rFonts w:ascii="等线" w:hAnsi="等线" w:eastAsia="宋体"/>
      <w:sz w:val="24"/>
    </w:rPr>
  </w:style>
  <w:style w:type="paragraph" w:customStyle="1" w:styleId="22">
    <w:name w:val="表字-书"/>
    <w:basedOn w:val="1"/>
    <w:qFormat/>
    <w:uiPriority w:val="0"/>
    <w:pPr>
      <w:spacing w:line="240" w:lineRule="exact"/>
      <w:ind w:firstLine="0" w:firstLineChars="0"/>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1690</Words>
  <Characters>1794</Characters>
  <Lines>11</Lines>
  <Paragraphs>3</Paragraphs>
  <TotalTime>6</TotalTime>
  <ScaleCrop>false</ScaleCrop>
  <LinksUpToDate>false</LinksUpToDate>
  <CharactersWithSpaces>1831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2020-12-18T12:29:00Z</dcterms:created>
  <dc:creator>Administrator</dc:creator>
  <cp:lastModifiedBy>风的自由</cp:lastModifiedBy>
  <cp:lastPrinted>2024-11-21T03:27:00Z</cp:lastPrinted>
  <dcterms:modified xsi:type="dcterms:W3CDTF">2025-10-10T02:15:30Z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03FD591F40FA4D3C92BAE23E053869C4_13</vt:lpwstr>
  </property>
  <property fmtid="{D5CDD505-2E9C-101B-9397-08002B2CF9AE}" pid="4" name="KSOTemplateDocerSaveRecord">
    <vt:lpwstr>eyJoZGlkIjoiODBjNzYxYmIzOWJkMDlmNzJmZjdjMmNkNDkzMGYxZDkiLCJ1c2VySWQiOiI1NTE5NjI2NTYifQ==</vt:lpwstr>
  </property>
</Properties>
</file>