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BD914">
      <w:pPr>
        <w:keepNext w:val="0"/>
        <w:keepLines w:val="0"/>
        <w:pageBreakBefore w:val="0"/>
        <w:widowControl w:val="0"/>
        <w:tabs>
          <w:tab w:val="left" w:pos="4982"/>
        </w:tabs>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ab/>
      </w:r>
    </w:p>
    <w:p w14:paraId="73A69D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kern w:val="0"/>
          <w:sz w:val="32"/>
          <w:szCs w:val="32"/>
        </w:rPr>
      </w:pPr>
      <w:r>
        <w:rPr>
          <w:rFonts w:hint="eastAsia" w:ascii="仿宋_GB2312" w:eastAsia="仿宋_GB2312"/>
          <w:snapToGrid w:val="0"/>
          <w:kern w:val="0"/>
          <w:sz w:val="32"/>
          <w:szCs w:val="32"/>
        </w:rPr>
        <w:t xml:space="preserve">                              </w:t>
      </w:r>
      <w:r>
        <w:rPr>
          <w:rFonts w:hint="default" w:ascii="Times New Roman" w:hAnsi="Times New Roman" w:eastAsia="仿宋_GB2312" w:cs="Times New Roman"/>
          <w:snapToGrid w:val="0"/>
          <w:kern w:val="0"/>
          <w:sz w:val="32"/>
          <w:szCs w:val="32"/>
        </w:rPr>
        <w:t xml:space="preserve">  师市环审〔202</w:t>
      </w: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w:t>
      </w:r>
      <w:r>
        <w:rPr>
          <w:rFonts w:hint="eastAsia" w:eastAsia="仿宋_GB2312" w:cs="Times New Roman"/>
          <w:snapToGrid w:val="0"/>
          <w:kern w:val="0"/>
          <w:sz w:val="32"/>
          <w:szCs w:val="32"/>
          <w:lang w:val="en-US" w:eastAsia="zh-CN"/>
        </w:rPr>
        <w:t>40</w:t>
      </w:r>
      <w:r>
        <w:rPr>
          <w:rFonts w:hint="default" w:ascii="Times New Roman" w:hAnsi="Times New Roman" w:eastAsia="仿宋_GB2312" w:cs="Times New Roman"/>
          <w:snapToGrid w:val="0"/>
          <w:kern w:val="0"/>
          <w:sz w:val="32"/>
          <w:szCs w:val="32"/>
        </w:rPr>
        <w:t>号</w:t>
      </w:r>
    </w:p>
    <w:p w14:paraId="41EC6D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57F1DF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snapToGrid w:val="0"/>
          <w:kern w:val="0"/>
          <w:sz w:val="44"/>
          <w:szCs w:val="44"/>
          <w:lang w:val="zh-CN"/>
        </w:rPr>
      </w:pPr>
      <w:r>
        <w:rPr>
          <w:rFonts w:hint="eastAsia" w:ascii="方正小标宋简体" w:hAnsi="宋体" w:eastAsia="方正小标宋简体"/>
          <w:bCs/>
          <w:snapToGrid w:val="0"/>
          <w:kern w:val="0"/>
          <w:sz w:val="44"/>
          <w:szCs w:val="44"/>
        </w:rPr>
        <w:t>关于</w:t>
      </w:r>
      <w:r>
        <w:rPr>
          <w:rFonts w:hint="eastAsia" w:ascii="方正小标宋简体" w:hAnsi="宋体" w:eastAsia="方正小标宋简体"/>
          <w:bCs/>
          <w:snapToGrid w:val="0"/>
          <w:kern w:val="0"/>
          <w:sz w:val="44"/>
          <w:szCs w:val="44"/>
          <w:lang w:val="zh-CN"/>
        </w:rPr>
        <w:t>新疆法康尼石油化工有限公司20万吨/年改性沥青配套储罐技改项目环境影响</w:t>
      </w:r>
    </w:p>
    <w:p w14:paraId="13FE4E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zh-CN"/>
        </w:rPr>
        <w:t>报告</w:t>
      </w:r>
      <w:r>
        <w:rPr>
          <w:rFonts w:hint="eastAsia" w:ascii="方正小标宋简体" w:hAnsi="宋体" w:eastAsia="方正小标宋简体"/>
          <w:bCs/>
          <w:snapToGrid w:val="0"/>
          <w:kern w:val="0"/>
          <w:sz w:val="44"/>
          <w:szCs w:val="44"/>
        </w:rPr>
        <w:t>表</w:t>
      </w:r>
      <w:r>
        <w:rPr>
          <w:rFonts w:hint="eastAsia" w:ascii="方正小标宋简体" w:hAnsi="宋体" w:eastAsia="方正小标宋简体"/>
          <w:bCs/>
          <w:snapToGrid w:val="0"/>
          <w:kern w:val="0"/>
          <w:sz w:val="44"/>
          <w:szCs w:val="44"/>
          <w:lang w:val="en-US" w:eastAsia="zh-CN"/>
        </w:rPr>
        <w:t>的</w:t>
      </w:r>
      <w:r>
        <w:rPr>
          <w:rFonts w:hint="eastAsia" w:ascii="方正小标宋简体" w:hAnsi="宋体" w:eastAsia="方正小标宋简体"/>
          <w:bCs/>
          <w:snapToGrid w:val="0"/>
          <w:kern w:val="0"/>
          <w:sz w:val="44"/>
          <w:szCs w:val="44"/>
        </w:rPr>
        <w:t>批复</w:t>
      </w:r>
    </w:p>
    <w:p w14:paraId="48F0C9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030CAA5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新疆法康尼石油化工有限公司</w:t>
      </w:r>
      <w:r>
        <w:rPr>
          <w:rFonts w:hint="default" w:ascii="Times New Roman" w:hAnsi="Times New Roman" w:eastAsia="仿宋_GB2312" w:cs="Times New Roman"/>
          <w:sz w:val="32"/>
          <w:szCs w:val="32"/>
        </w:rPr>
        <w:t>：</w:t>
      </w:r>
    </w:p>
    <w:p w14:paraId="319D04D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w:t>
      </w:r>
      <w:r>
        <w:rPr>
          <w:rFonts w:hint="default" w:ascii="Times New Roman" w:hAnsi="Times New Roman" w:eastAsia="仿宋_GB2312" w:cs="Times New Roman"/>
          <w:sz w:val="32"/>
          <w:szCs w:val="32"/>
          <w:lang w:val="zh-CN"/>
        </w:rPr>
        <w:t>新疆法康尼石油化工有限公司20万吨/年改性沥青配套储罐技改项目</w:t>
      </w:r>
      <w:r>
        <w:rPr>
          <w:rFonts w:hint="default" w:ascii="Times New Roman" w:hAnsi="Times New Roman" w:eastAsia="仿宋_GB2312" w:cs="Times New Roman"/>
          <w:sz w:val="32"/>
          <w:szCs w:val="32"/>
        </w:rPr>
        <w:t>&gt;的请示》收悉。经研究，批复如下：</w:t>
      </w:r>
    </w:p>
    <w:p w14:paraId="5A11AC1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一、该项目</w:t>
      </w:r>
      <w:r>
        <w:rPr>
          <w:rFonts w:hint="default" w:ascii="Times New Roman" w:hAnsi="Times New Roman" w:eastAsia="仿宋_GB2312" w:cs="Times New Roman"/>
          <w:sz w:val="32"/>
          <w:szCs w:val="32"/>
          <w:lang w:val="en-US" w:eastAsia="zh-CN"/>
        </w:rPr>
        <w:t>位于第七师胡杨河经济技术开发区南园区，项目区中心地理位置坐标为</w:t>
      </w:r>
      <w:bookmarkStart w:id="0" w:name="_Hlk180516248"/>
      <w:r>
        <w:rPr>
          <w:rFonts w:hint="default" w:ascii="Times New Roman" w:hAnsi="Times New Roman" w:eastAsia="仿宋_GB2312" w:cs="Times New Roman"/>
          <w:sz w:val="32"/>
          <w:szCs w:val="32"/>
          <w:lang w:val="en-US" w:eastAsia="zh-CN"/>
        </w:rPr>
        <w:t>东经84°51′57.691″，北纬44°50′32.351″。</w:t>
      </w:r>
      <w:bookmarkEnd w:id="0"/>
      <w:r>
        <w:rPr>
          <w:rFonts w:hint="default" w:ascii="Times New Roman" w:hAnsi="Times New Roman" w:eastAsia="仿宋_GB2312" w:cs="Times New Roman"/>
          <w:sz w:val="32"/>
          <w:szCs w:val="32"/>
          <w:lang w:val="en-US" w:eastAsia="zh-CN"/>
        </w:rPr>
        <w:t>项目为扩建工程，主要建设4座3000m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的内浮顶原料油储罐、1座50m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的原料油零位罐。2座3000m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的立式固定顶沥青储罐、1座1500m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的立式固定顶蜡油储罐、1座1500m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的立式固定顶轻蜡油储罐。配套一座泵房及汽车装卸设施。项目总投资5060万元，其中环保投资37万元，占总投资的0.73%。</w:t>
      </w:r>
    </w:p>
    <w:p w14:paraId="05EE05C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w:t>
      </w:r>
      <w:bookmarkStart w:id="1" w:name="_GoBack"/>
      <w:bookmarkEnd w:id="1"/>
      <w:r>
        <w:rPr>
          <w:rFonts w:hint="default" w:ascii="Times New Roman" w:hAnsi="Times New Roman" w:eastAsia="仿宋_GB2312" w:cs="Times New Roman"/>
          <w:bCs/>
          <w:sz w:val="32"/>
          <w:szCs w:val="32"/>
        </w:rPr>
        <w:t>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14:paraId="1ACB3F6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1BE4D38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（一）严格落实大气污染防治措施。</w:t>
      </w:r>
      <w:r>
        <w:rPr>
          <w:rFonts w:hint="default" w:ascii="Times New Roman" w:hAnsi="Times New Roman" w:eastAsia="仿宋_GB2312" w:cs="Times New Roman"/>
          <w:b w:val="0"/>
          <w:bCs/>
          <w:sz w:val="32"/>
          <w:szCs w:val="32"/>
          <w:lang w:val="en-US" w:eastAsia="zh-CN"/>
        </w:rPr>
        <w:t>油品储罐废气依托现有油气回收装置“脱硫+冷凝+吸附”工艺处理后，尾气引入现有加热炉燃烧处理，由40米高的排气筒排放。废气中二氧化硫、氮氧化物、非甲烷总烃排放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val="en-US" w:eastAsia="zh-CN"/>
        </w:rPr>
        <w:t>《石油炼制工业污染物排放标准》（GB31570-2015）（含修改单）表4大气污染物特别排放限值要求。沥青储罐废气依托现有工程“喷淋＋除雾+二级活性炭吸附”装置处理后，由15米高的排气筒排放。废气中非甲烷总烃、沥青烟、苯并[a]芘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val="en-US" w:eastAsia="zh-CN"/>
        </w:rPr>
        <w:t>《石油炼制工业污染物排放标准》（GB31570-2015）（含修改单）表4大气污染物特别排放限值要求。</w:t>
      </w:r>
    </w:p>
    <w:p w14:paraId="6E02E18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b w:val="0"/>
          <w:bCs w:val="0"/>
          <w:w w:val="100"/>
          <w:kern w:val="2"/>
          <w:sz w:val="32"/>
          <w:szCs w:val="32"/>
          <w:lang w:val="en-US" w:eastAsia="zh-CN" w:bidi="ar-SA"/>
        </w:rPr>
      </w:pPr>
      <w:r>
        <w:rPr>
          <w:rFonts w:hint="eastAsia" w:ascii="Times New Roman" w:hAnsi="Times New Roman" w:eastAsia="仿宋_GB2312" w:cs="Times New Roman"/>
          <w:b w:val="0"/>
          <w:bCs w:val="0"/>
          <w:w w:val="100"/>
          <w:kern w:val="2"/>
          <w:sz w:val="32"/>
          <w:szCs w:val="32"/>
          <w:lang w:val="en-US" w:eastAsia="zh-CN" w:bidi="ar-SA"/>
        </w:rPr>
        <w:t>各储罐均密闭，物料输送均通过密闭管道；生产中加强输料泵、管道、阀门的管理和维护，制定泄漏检测与修复（LDAR）计划，定期检测、及时修复，厂界非甲烷总烃无组织排放</w:t>
      </w:r>
      <w:r>
        <w:rPr>
          <w:rFonts w:hint="eastAsia" w:eastAsia="仿宋_GB2312" w:cs="Times New Roman"/>
          <w:b w:val="0"/>
          <w:bCs w:val="0"/>
          <w:w w:val="100"/>
          <w:kern w:val="2"/>
          <w:sz w:val="32"/>
          <w:szCs w:val="32"/>
          <w:lang w:val="en-US" w:eastAsia="zh-CN" w:bidi="ar-SA"/>
        </w:rPr>
        <w:t>执行</w:t>
      </w:r>
      <w:r>
        <w:rPr>
          <w:rFonts w:hint="eastAsia" w:ascii="Times New Roman" w:hAnsi="Times New Roman" w:eastAsia="仿宋_GB2312" w:cs="Times New Roman"/>
          <w:b w:val="0"/>
          <w:bCs w:val="0"/>
          <w:w w:val="100"/>
          <w:kern w:val="2"/>
          <w:sz w:val="32"/>
          <w:szCs w:val="32"/>
          <w:lang w:val="en-US" w:eastAsia="zh-CN" w:bidi="ar-SA"/>
        </w:rPr>
        <w:t>《石油炼制工业污染物排放标准》（GB31570-2015）表5企业边界大气污染物浓度限值要求，厂内非甲烷总烃无组织排放</w:t>
      </w:r>
      <w:r>
        <w:rPr>
          <w:rFonts w:hint="eastAsia" w:eastAsia="仿宋_GB2312" w:cs="Times New Roman"/>
          <w:b w:val="0"/>
          <w:bCs w:val="0"/>
          <w:w w:val="100"/>
          <w:kern w:val="2"/>
          <w:sz w:val="32"/>
          <w:szCs w:val="32"/>
          <w:lang w:val="en-US" w:eastAsia="zh-CN" w:bidi="ar-SA"/>
        </w:rPr>
        <w:t>执行</w:t>
      </w:r>
      <w:r>
        <w:rPr>
          <w:rFonts w:hint="eastAsia" w:ascii="Times New Roman" w:hAnsi="Times New Roman" w:eastAsia="仿宋_GB2312" w:cs="Times New Roman"/>
          <w:b w:val="0"/>
          <w:bCs w:val="0"/>
          <w:w w:val="100"/>
          <w:kern w:val="2"/>
          <w:sz w:val="32"/>
          <w:szCs w:val="32"/>
          <w:lang w:val="en-US" w:eastAsia="zh-CN" w:bidi="ar-SA"/>
        </w:rPr>
        <w:t>《挥发性有机物无组织排放控制标准》（GB 37822-2019）中表A.1厂区内VOCs无组织排放限值要求。</w:t>
      </w:r>
    </w:p>
    <w:p w14:paraId="41796B3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w w:val="100"/>
          <w:kern w:val="2"/>
          <w:sz w:val="32"/>
          <w:szCs w:val="32"/>
          <w:lang w:val="en-US" w:eastAsia="zh-CN" w:bidi="ar-SA"/>
        </w:rPr>
      </w:pPr>
      <w:r>
        <w:rPr>
          <w:rFonts w:hint="eastAsia" w:eastAsia="仿宋_GB2312" w:cs="Times New Roman"/>
          <w:b w:val="0"/>
          <w:bCs w:val="0"/>
          <w:w w:val="100"/>
          <w:kern w:val="2"/>
          <w:sz w:val="32"/>
          <w:szCs w:val="32"/>
          <w:lang w:val="en-US" w:eastAsia="zh-CN" w:bidi="ar-SA"/>
        </w:rPr>
        <w:t>该项目VOCs</w:t>
      </w:r>
      <w:r>
        <w:rPr>
          <w:rFonts w:hint="eastAsia" w:ascii="Times New Roman" w:hAnsi="Times New Roman" w:eastAsia="仿宋_GB2312" w:cs="Times New Roman"/>
          <w:b w:val="0"/>
          <w:bCs w:val="0"/>
          <w:w w:val="100"/>
          <w:kern w:val="2"/>
          <w:sz w:val="32"/>
          <w:szCs w:val="32"/>
          <w:lang w:val="en-US" w:eastAsia="zh-CN" w:bidi="ar-SA"/>
        </w:rPr>
        <w:t>排放总量不超过0.0</w:t>
      </w:r>
      <w:r>
        <w:rPr>
          <w:rFonts w:hint="eastAsia" w:eastAsia="仿宋_GB2312" w:cs="Times New Roman"/>
          <w:b w:val="0"/>
          <w:bCs w:val="0"/>
          <w:w w:val="100"/>
          <w:kern w:val="2"/>
          <w:sz w:val="32"/>
          <w:szCs w:val="32"/>
          <w:lang w:val="en-US" w:eastAsia="zh-CN" w:bidi="ar-SA"/>
        </w:rPr>
        <w:t>23</w:t>
      </w:r>
      <w:r>
        <w:rPr>
          <w:rFonts w:hint="eastAsia" w:ascii="Times New Roman" w:hAnsi="Times New Roman" w:eastAsia="仿宋_GB2312" w:cs="Times New Roman"/>
          <w:b w:val="0"/>
          <w:bCs w:val="0"/>
          <w:w w:val="100"/>
          <w:kern w:val="2"/>
          <w:sz w:val="32"/>
          <w:szCs w:val="32"/>
          <w:lang w:val="en-US" w:eastAsia="zh-CN" w:bidi="ar-SA"/>
        </w:rPr>
        <w:t>吨/年</w:t>
      </w:r>
      <w:r>
        <w:rPr>
          <w:rFonts w:hint="eastAsia" w:eastAsia="仿宋_GB2312" w:cs="Times New Roman"/>
          <w:b w:val="0"/>
          <w:bCs w:val="0"/>
          <w:w w:val="100"/>
          <w:kern w:val="2"/>
          <w:sz w:val="32"/>
          <w:szCs w:val="32"/>
          <w:lang w:val="en-US" w:eastAsia="zh-CN" w:bidi="ar-SA"/>
        </w:rPr>
        <w:t>，氮氧化物</w:t>
      </w:r>
      <w:r>
        <w:rPr>
          <w:rFonts w:hint="eastAsia" w:ascii="Times New Roman" w:hAnsi="Times New Roman" w:eastAsia="仿宋_GB2312" w:cs="Times New Roman"/>
          <w:b w:val="0"/>
          <w:bCs w:val="0"/>
          <w:w w:val="100"/>
          <w:kern w:val="2"/>
          <w:sz w:val="32"/>
          <w:szCs w:val="32"/>
          <w:lang w:val="en-US" w:eastAsia="zh-CN" w:bidi="ar-SA"/>
        </w:rPr>
        <w:t>排放总量不超过</w:t>
      </w:r>
      <w:r>
        <w:rPr>
          <w:rFonts w:hint="eastAsia" w:eastAsia="仿宋_GB2312" w:cs="Times New Roman"/>
          <w:b w:val="0"/>
          <w:bCs w:val="0"/>
          <w:w w:val="100"/>
          <w:kern w:val="2"/>
          <w:sz w:val="32"/>
          <w:szCs w:val="32"/>
          <w:lang w:val="en-US" w:eastAsia="zh-CN" w:bidi="ar-SA"/>
        </w:rPr>
        <w:t>0.018吨/年。</w:t>
      </w:r>
    </w:p>
    <w:p w14:paraId="26673AD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）严格落实噪声污染防治措施。选择先进可靠的低噪声设备，</w:t>
      </w:r>
      <w:r>
        <w:rPr>
          <w:rFonts w:hint="eastAsia" w:eastAsia="仿宋_GB2312" w:cs="Times New Roman"/>
          <w:sz w:val="32"/>
          <w:szCs w:val="32"/>
          <w:lang w:val="en-US" w:eastAsia="zh-CN"/>
        </w:rPr>
        <w:t>对</w:t>
      </w:r>
      <w:r>
        <w:rPr>
          <w:rFonts w:hint="default" w:ascii="Times New Roman" w:hAnsi="Times New Roman" w:eastAsia="仿宋_GB2312" w:cs="Times New Roman"/>
          <w:sz w:val="32"/>
          <w:szCs w:val="32"/>
        </w:rPr>
        <w:t>泵、风机加装消声器；强噪声设备置于室内，并采用隔声、吸音材料制作门窗、砌体等；对设备进行定期维护，确保设备运行状态良好；加强厂区绿化。厂界噪声排放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类标准要求。</w:t>
      </w:r>
    </w:p>
    <w:p w14:paraId="146304A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rPr>
        <w:t>）严格落实固体废物分类处置和综合利用措施。</w:t>
      </w:r>
      <w:r>
        <w:rPr>
          <w:rFonts w:hint="default" w:ascii="Times New Roman" w:hAnsi="Times New Roman" w:eastAsia="仿宋_GB2312" w:cs="Times New Roman"/>
          <w:sz w:val="32"/>
          <w:szCs w:val="32"/>
          <w:lang w:val="en-US" w:eastAsia="zh-CN"/>
        </w:rPr>
        <w:t>清罐油泥，废活性炭</w:t>
      </w:r>
      <w:r>
        <w:rPr>
          <w:rFonts w:hint="eastAsia" w:eastAsia="仿宋_GB2312" w:cs="Times New Roman"/>
          <w:sz w:val="32"/>
          <w:szCs w:val="32"/>
          <w:lang w:val="en-US" w:eastAsia="zh-CN"/>
        </w:rPr>
        <w:t>属于危险废物，收集后分类分区暂存于厂区现有的危险废物暂存间暂存，定期交由有资质单位处置。</w:t>
      </w:r>
      <w:r>
        <w:rPr>
          <w:rFonts w:hint="default" w:ascii="Times New Roman" w:hAnsi="Times New Roman" w:eastAsia="仿宋_GB2312" w:cs="Times New Roman"/>
          <w:sz w:val="32"/>
          <w:szCs w:val="32"/>
          <w:lang w:val="en-US" w:eastAsia="zh-CN"/>
        </w:rPr>
        <w:t>危险废物的收集、贮存、运输须符合《危险废物收集 贮存 运输技术规范》（HJ2025-2012）及《危险废物贮存污染控制标准》（GB18597-2023）的相关要求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生活垃圾由环卫部门统一清运处理。</w:t>
      </w:r>
    </w:p>
    <w:p w14:paraId="533DDAF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四</w:t>
      </w:r>
      <w:r>
        <w:rPr>
          <w:rFonts w:hint="default" w:ascii="Times New Roman" w:hAnsi="Times New Roman" w:eastAsia="仿宋_GB2312" w:cs="Times New Roman"/>
          <w:bCs/>
          <w:sz w:val="32"/>
          <w:szCs w:val="32"/>
        </w:rPr>
        <w:t>）严格落实地下水及土壤污染防治措施。</w:t>
      </w:r>
      <w:r>
        <w:rPr>
          <w:rFonts w:hint="default" w:ascii="Times New Roman" w:hAnsi="Times New Roman" w:eastAsia="仿宋_GB2312" w:cs="Times New Roman"/>
          <w:bCs/>
          <w:sz w:val="32"/>
          <w:szCs w:val="32"/>
          <w:lang w:eastAsia="zh-CN"/>
        </w:rPr>
        <w:t>按照源头防控、分区防治、污染监控、应急响应的原则进行地下水污染防治。严格按照导则要求，落实分区防渗和监控措施，</w:t>
      </w:r>
      <w:r>
        <w:rPr>
          <w:rFonts w:hint="default" w:ascii="Times New Roman" w:hAnsi="Times New Roman" w:eastAsia="仿宋_GB2312" w:cs="Times New Roman"/>
          <w:bCs/>
          <w:sz w:val="32"/>
          <w:szCs w:val="32"/>
          <w:lang w:val="en-US" w:eastAsia="zh-CN"/>
        </w:rPr>
        <w:t>对生产车间</w:t>
      </w:r>
      <w:r>
        <w:rPr>
          <w:rFonts w:hint="default" w:ascii="Times New Roman" w:hAnsi="Times New Roman" w:eastAsia="仿宋_GB2312" w:cs="Times New Roman"/>
          <w:bCs/>
          <w:sz w:val="32"/>
          <w:szCs w:val="32"/>
          <w:lang w:eastAsia="zh-CN"/>
        </w:rPr>
        <w:t>进行重点防渗</w:t>
      </w:r>
      <w:r>
        <w:rPr>
          <w:rFonts w:hint="eastAsia" w:eastAsia="仿宋_GB2312" w:cs="Times New Roman"/>
          <w:bCs/>
          <w:sz w:val="32"/>
          <w:szCs w:val="32"/>
          <w:lang w:eastAsia="zh-CN"/>
        </w:rPr>
        <w:t>，</w:t>
      </w:r>
      <w:r>
        <w:rPr>
          <w:rFonts w:hint="eastAsia" w:eastAsia="仿宋_GB2312" w:cs="Times New Roman"/>
          <w:bCs/>
          <w:sz w:val="32"/>
          <w:szCs w:val="32"/>
          <w:lang w:val="en-US" w:eastAsia="zh-CN"/>
        </w:rPr>
        <w:t>对生产车间外的其他区域</w:t>
      </w:r>
      <w:r>
        <w:rPr>
          <w:rFonts w:hint="default" w:ascii="Times New Roman" w:hAnsi="Times New Roman" w:eastAsia="仿宋_GB2312" w:cs="Times New Roman"/>
          <w:bCs/>
          <w:sz w:val="32"/>
          <w:szCs w:val="32"/>
          <w:lang w:eastAsia="zh-CN"/>
        </w:rPr>
        <w:t>进行</w:t>
      </w:r>
      <w:r>
        <w:rPr>
          <w:rFonts w:hint="eastAsia" w:ascii="Times New Roman" w:hAnsi="Times New Roman" w:eastAsia="仿宋_GB2312" w:cs="Times New Roman"/>
          <w:bCs/>
          <w:sz w:val="32"/>
          <w:szCs w:val="32"/>
          <w:lang w:val="en-US" w:eastAsia="zh-CN"/>
        </w:rPr>
        <w:t>一般</w:t>
      </w:r>
      <w:r>
        <w:rPr>
          <w:rFonts w:hint="default" w:ascii="Times New Roman" w:hAnsi="Times New Roman" w:eastAsia="仿宋_GB2312" w:cs="Times New Roman"/>
          <w:bCs/>
          <w:sz w:val="32"/>
          <w:szCs w:val="32"/>
          <w:lang w:eastAsia="zh-CN"/>
        </w:rPr>
        <w:t>防渗。</w:t>
      </w:r>
    </w:p>
    <w:p w14:paraId="6C6DB61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14:paraId="2F6AE0E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lang w:eastAsia="zh-CN"/>
        </w:rPr>
        <w:t>）加强施工期环境保护，防止施工废水、扬尘、噪声污染。</w:t>
      </w:r>
    </w:p>
    <w:p w14:paraId="40814F6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七</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14:paraId="0E6DE9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193BE63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1339E8C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w:t>
      </w:r>
      <w:r>
        <w:rPr>
          <w:rFonts w:hint="eastAsia" w:eastAsia="仿宋_GB2312" w:cs="Times New Roman"/>
          <w:bCs/>
          <w:color w:val="auto"/>
          <w:sz w:val="32"/>
          <w:szCs w:val="32"/>
          <w:highlight w:val="none"/>
          <w:lang w:val="en-US" w:eastAsia="zh-CN"/>
        </w:rPr>
        <w:t>重新</w:t>
      </w:r>
      <w:r>
        <w:rPr>
          <w:rFonts w:hint="default" w:ascii="Times New Roman" w:hAnsi="Times New Roman" w:eastAsia="仿宋_GB2312" w:cs="Times New Roman"/>
          <w:bCs/>
          <w:color w:val="auto"/>
          <w:sz w:val="32"/>
          <w:szCs w:val="32"/>
          <w:highlight w:val="none"/>
        </w:rPr>
        <w:t>申领排污许可证。</w:t>
      </w:r>
    </w:p>
    <w:p w14:paraId="75AA436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2D11EB7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14:paraId="583E004E">
      <w:pPr>
        <w:keepNext w:val="0"/>
        <w:keepLines w:val="0"/>
        <w:pageBreakBefore w:val="0"/>
        <w:widowControl w:val="0"/>
        <w:kinsoku/>
        <w:wordWrap/>
        <w:overflowPunct/>
        <w:topLinePunct w:val="0"/>
        <w:autoSpaceDE/>
        <w:autoSpaceDN/>
        <w:bidi w:val="0"/>
        <w:adjustRightInd/>
        <w:snapToGrid/>
        <w:spacing w:line="740" w:lineRule="exact"/>
        <w:ind w:firstLine="4480" w:firstLineChars="1400"/>
        <w:textAlignment w:val="auto"/>
        <w:rPr>
          <w:rFonts w:hint="default" w:ascii="Times New Roman" w:hAnsi="Times New Roman" w:eastAsia="仿宋_GB2312" w:cs="Times New Roman"/>
          <w:bCs/>
          <w:sz w:val="32"/>
          <w:szCs w:val="32"/>
        </w:rPr>
      </w:pPr>
    </w:p>
    <w:p w14:paraId="1CEB457F">
      <w:pPr>
        <w:keepNext w:val="0"/>
        <w:keepLines w:val="0"/>
        <w:pageBreakBefore w:val="0"/>
        <w:widowControl w:val="0"/>
        <w:kinsoku/>
        <w:wordWrap/>
        <w:overflowPunct/>
        <w:topLinePunct w:val="0"/>
        <w:autoSpaceDE/>
        <w:autoSpaceDN/>
        <w:bidi w:val="0"/>
        <w:adjustRightInd/>
        <w:snapToGrid/>
        <w:spacing w:line="740" w:lineRule="exact"/>
        <w:ind w:firstLine="4480" w:firstLineChars="1400"/>
        <w:textAlignment w:val="auto"/>
        <w:rPr>
          <w:rFonts w:hint="default" w:ascii="Times New Roman" w:hAnsi="Times New Roman" w:eastAsia="仿宋_GB2312" w:cs="Times New Roman"/>
          <w:bCs/>
          <w:sz w:val="32"/>
          <w:szCs w:val="32"/>
        </w:rPr>
      </w:pPr>
    </w:p>
    <w:p w14:paraId="2CBC5884">
      <w:pPr>
        <w:spacing w:line="440" w:lineRule="exact"/>
        <w:ind w:firstLine="4800" w:firstLineChars="15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698587AC">
      <w:pPr>
        <w:spacing w:line="440" w:lineRule="exact"/>
        <w:ind w:firstLine="5440" w:firstLineChars="1700"/>
        <w:rPr>
          <w:rFonts w:hint="eastAsia"/>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17</w:t>
      </w:r>
      <w:r>
        <w:rPr>
          <w:rFonts w:hint="default" w:ascii="Times New Roman" w:hAnsi="Times New Roman" w:eastAsia="仿宋_GB2312" w:cs="Times New Roman"/>
          <w:bCs/>
          <w:sz w:val="32"/>
          <w:szCs w:val="32"/>
        </w:rPr>
        <w:t>日</w:t>
      </w:r>
    </w:p>
    <w:p w14:paraId="5B3042F1">
      <w:pPr>
        <w:rPr>
          <w:rFonts w:hint="eastAsia"/>
        </w:rPr>
      </w:pPr>
    </w:p>
    <w:p w14:paraId="25083779">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1A32A60D">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28"/>
          <w:szCs w:val="28"/>
        </w:rPr>
        <w:t>抄送</w:t>
      </w:r>
      <w:r>
        <w:rPr>
          <w:rFonts w:hint="eastAsia" w:ascii="仿宋_GB2312" w:hAnsi="仿宋_GB2312" w:eastAsia="仿宋_GB2312" w:cs="仿宋_GB2312"/>
          <w:sz w:val="28"/>
          <w:szCs w:val="28"/>
        </w:rPr>
        <w:t>：师市生态环境保护综合行政执法支队、生态环境监测站、胡杨河经济技术开发区应急管理和环境保护局</w:t>
      </w:r>
      <w:r>
        <w:rPr>
          <w:rFonts w:hint="eastAsia" w:ascii="仿宋_GB2312" w:hAnsi="仿宋_GB2312" w:eastAsia="仿宋_GB2312" w:cs="仿宋_GB2312"/>
          <w:sz w:val="28"/>
          <w:szCs w:val="28"/>
          <w:lang w:eastAsia="zh-CN"/>
        </w:rPr>
        <w:t>。</w:t>
      </w:r>
    </w:p>
    <w:p w14:paraId="390BBF29">
      <w:pPr>
        <w:spacing w:line="600" w:lineRule="exact"/>
        <w:ind w:right="210" w:rightChars="10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w:t xml:space="preserve">兵团第七师胡杨河市生态环境局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DB4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C333E">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7A1C333E">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19A61553"/>
    <w:rsid w:val="00301E8D"/>
    <w:rsid w:val="006F367F"/>
    <w:rsid w:val="00742AA9"/>
    <w:rsid w:val="01B110AA"/>
    <w:rsid w:val="025F2F6C"/>
    <w:rsid w:val="03374331"/>
    <w:rsid w:val="03E07A24"/>
    <w:rsid w:val="0402172C"/>
    <w:rsid w:val="06103791"/>
    <w:rsid w:val="064F49ED"/>
    <w:rsid w:val="07EF0236"/>
    <w:rsid w:val="0A0D21E1"/>
    <w:rsid w:val="0A6D7B38"/>
    <w:rsid w:val="0A717628"/>
    <w:rsid w:val="0BD55735"/>
    <w:rsid w:val="0CD67C16"/>
    <w:rsid w:val="0CEB02C3"/>
    <w:rsid w:val="0DEC6201"/>
    <w:rsid w:val="0E927B6D"/>
    <w:rsid w:val="0F3A0A84"/>
    <w:rsid w:val="0F8E2A2A"/>
    <w:rsid w:val="0F9811B3"/>
    <w:rsid w:val="10415B91"/>
    <w:rsid w:val="13222B5F"/>
    <w:rsid w:val="1367781A"/>
    <w:rsid w:val="13B33653"/>
    <w:rsid w:val="15E46F00"/>
    <w:rsid w:val="19A61553"/>
    <w:rsid w:val="1ABC044C"/>
    <w:rsid w:val="1CB3762C"/>
    <w:rsid w:val="1D4B3D09"/>
    <w:rsid w:val="1E1F706C"/>
    <w:rsid w:val="1E222CBC"/>
    <w:rsid w:val="1E2F2A87"/>
    <w:rsid w:val="1F0C482E"/>
    <w:rsid w:val="1F6410B2"/>
    <w:rsid w:val="2177331E"/>
    <w:rsid w:val="21A1039B"/>
    <w:rsid w:val="24C7636B"/>
    <w:rsid w:val="24F3437F"/>
    <w:rsid w:val="274A3283"/>
    <w:rsid w:val="27E6038A"/>
    <w:rsid w:val="293E30BA"/>
    <w:rsid w:val="29ED02E2"/>
    <w:rsid w:val="2A0C4820"/>
    <w:rsid w:val="2BE9171D"/>
    <w:rsid w:val="2DB71358"/>
    <w:rsid w:val="2E6647A7"/>
    <w:rsid w:val="2FE778C1"/>
    <w:rsid w:val="30766E97"/>
    <w:rsid w:val="308621F1"/>
    <w:rsid w:val="319A0963"/>
    <w:rsid w:val="31DB1B10"/>
    <w:rsid w:val="31DE6AA2"/>
    <w:rsid w:val="325A00D3"/>
    <w:rsid w:val="32EA1B39"/>
    <w:rsid w:val="334B0167"/>
    <w:rsid w:val="3390201E"/>
    <w:rsid w:val="34552334"/>
    <w:rsid w:val="345D63A4"/>
    <w:rsid w:val="34DB0164"/>
    <w:rsid w:val="34DB0F65"/>
    <w:rsid w:val="35222615"/>
    <w:rsid w:val="35335B87"/>
    <w:rsid w:val="3763266A"/>
    <w:rsid w:val="37C91FA2"/>
    <w:rsid w:val="389B146D"/>
    <w:rsid w:val="390336C5"/>
    <w:rsid w:val="39586DFD"/>
    <w:rsid w:val="3B901665"/>
    <w:rsid w:val="3E3F2FBE"/>
    <w:rsid w:val="3E5263F1"/>
    <w:rsid w:val="3E8F41EC"/>
    <w:rsid w:val="3ED656D0"/>
    <w:rsid w:val="41E12475"/>
    <w:rsid w:val="41F36599"/>
    <w:rsid w:val="425C5EED"/>
    <w:rsid w:val="4475215D"/>
    <w:rsid w:val="44AC37CB"/>
    <w:rsid w:val="465316EE"/>
    <w:rsid w:val="46C2653A"/>
    <w:rsid w:val="46CD5F17"/>
    <w:rsid w:val="46F76C15"/>
    <w:rsid w:val="47623535"/>
    <w:rsid w:val="4B4732F2"/>
    <w:rsid w:val="4B9E0BAE"/>
    <w:rsid w:val="4BE111CF"/>
    <w:rsid w:val="4D3248D1"/>
    <w:rsid w:val="4DF46F02"/>
    <w:rsid w:val="4E1C7BCA"/>
    <w:rsid w:val="4E23273D"/>
    <w:rsid w:val="4E2A19FE"/>
    <w:rsid w:val="4E8B592A"/>
    <w:rsid w:val="5144471C"/>
    <w:rsid w:val="51CA44D0"/>
    <w:rsid w:val="52016A0C"/>
    <w:rsid w:val="521E31BF"/>
    <w:rsid w:val="53732803"/>
    <w:rsid w:val="5445681C"/>
    <w:rsid w:val="54E21B59"/>
    <w:rsid w:val="55F63B99"/>
    <w:rsid w:val="576461D9"/>
    <w:rsid w:val="58D34BF9"/>
    <w:rsid w:val="593C3F2A"/>
    <w:rsid w:val="598D4786"/>
    <w:rsid w:val="59BB12F3"/>
    <w:rsid w:val="5A0B54BA"/>
    <w:rsid w:val="5A132EDD"/>
    <w:rsid w:val="5A2854B0"/>
    <w:rsid w:val="5AD563E4"/>
    <w:rsid w:val="5ADB6D32"/>
    <w:rsid w:val="5BBE331C"/>
    <w:rsid w:val="5E116A2B"/>
    <w:rsid w:val="5EAF46C2"/>
    <w:rsid w:val="5EE50BC0"/>
    <w:rsid w:val="5F304919"/>
    <w:rsid w:val="5FCF6BF0"/>
    <w:rsid w:val="609D79A4"/>
    <w:rsid w:val="60BB7E2A"/>
    <w:rsid w:val="6109328C"/>
    <w:rsid w:val="612B239E"/>
    <w:rsid w:val="623C143F"/>
    <w:rsid w:val="62A019CE"/>
    <w:rsid w:val="62E3579C"/>
    <w:rsid w:val="641A1263"/>
    <w:rsid w:val="644952F5"/>
    <w:rsid w:val="651D40D0"/>
    <w:rsid w:val="6703077D"/>
    <w:rsid w:val="679C6136"/>
    <w:rsid w:val="68152516"/>
    <w:rsid w:val="698B1E19"/>
    <w:rsid w:val="6CC3509F"/>
    <w:rsid w:val="6F2512C7"/>
    <w:rsid w:val="6F4158DC"/>
    <w:rsid w:val="708446DD"/>
    <w:rsid w:val="7375588F"/>
    <w:rsid w:val="73E5637C"/>
    <w:rsid w:val="75006CB2"/>
    <w:rsid w:val="7516167C"/>
    <w:rsid w:val="75F30136"/>
    <w:rsid w:val="76017E90"/>
    <w:rsid w:val="79AC0800"/>
    <w:rsid w:val="7BE007E5"/>
    <w:rsid w:val="7F4A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纯文本1"/>
    <w:basedOn w:val="1"/>
    <w:qFormat/>
    <w:uiPriority w:val="0"/>
    <w:pPr>
      <w:adjustRightInd w:val="0"/>
      <w:textAlignment w:val="baseline"/>
    </w:pPr>
    <w:rPr>
      <w:rFonts w:ascii="宋体" w:hAnsi="Courier New"/>
      <w:szCs w:val="20"/>
    </w:rPr>
  </w:style>
  <w:style w:type="paragraph" w:styleId="4">
    <w:name w:val="index 5"/>
    <w:basedOn w:val="1"/>
    <w:next w:val="1"/>
    <w:qFormat/>
    <w:uiPriority w:val="0"/>
    <w:pPr>
      <w:ind w:left="800" w:leftChars="800"/>
    </w:pPr>
  </w:style>
  <w:style w:type="paragraph" w:styleId="5">
    <w:name w:val="Body Text"/>
    <w:basedOn w:val="1"/>
    <w:next w:val="1"/>
    <w:qFormat/>
    <w:uiPriority w:val="0"/>
    <w:rPr>
      <w:rFonts w:eastAsia="华文中宋"/>
      <w:b/>
      <w:bCs/>
      <w:w w:val="90"/>
      <w:sz w:val="44"/>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List"/>
    <w:basedOn w:val="1"/>
    <w:qFormat/>
    <w:uiPriority w:val="0"/>
    <w:pPr>
      <w:ind w:left="200" w:hanging="200" w:hangingChars="200"/>
    </w:pPr>
  </w:style>
  <w:style w:type="paragraph" w:styleId="8">
    <w:name w:val="footnote text"/>
    <w:basedOn w:val="1"/>
    <w:next w:val="4"/>
    <w:unhideWhenUsed/>
    <w:qFormat/>
    <w:uiPriority w:val="99"/>
    <w:pPr>
      <w:snapToGrid w:val="0"/>
      <w:jc w:val="left"/>
    </w:pPr>
    <w:rPr>
      <w:rFonts w:ascii="Calibri" w:hAnsi="Calibri" w:eastAsia="仿宋" w:cs="Times New Roman"/>
      <w:sz w:val="18"/>
      <w:szCs w:val="18"/>
    </w:rPr>
  </w:style>
  <w:style w:type="paragraph" w:styleId="9">
    <w:name w:val="Body Text 2"/>
    <w:basedOn w:val="1"/>
    <w:unhideWhenUsed/>
    <w:qFormat/>
    <w:uiPriority w:val="99"/>
    <w:pPr>
      <w:spacing w:after="120" w:line="480" w:lineRule="auto"/>
    </w:pPr>
  </w:style>
  <w:style w:type="paragraph" w:customStyle="1" w:styleId="12">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1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2100</Words>
  <Characters>2267</Characters>
  <Lines>0</Lines>
  <Paragraphs>0</Paragraphs>
  <TotalTime>110</TotalTime>
  <ScaleCrop>false</ScaleCrop>
  <LinksUpToDate>false</LinksUpToDate>
  <CharactersWithSpaces>2316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风的自由</cp:lastModifiedBy>
  <cp:lastPrinted>2025-09-17T10:15:02Z</cp:lastPrinted>
  <dcterms:modified xsi:type="dcterms:W3CDTF">2025-09-17T10:34:13Z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7BE7D078F12441EBAB6ADF9265AB1F91_13</vt:lpwstr>
  </property>
  <property fmtid="{D5CDD505-2E9C-101B-9397-08002B2CF9AE}" pid="4" name="KSOTemplateDocerSaveRecord">
    <vt:lpwstr>eyJoZGlkIjoiODBjNzYxYmIzOWJkMDlmNzJmZjdjMmNkNDkzMGYxZDkiLCJ1c2VySWQiOiI1NTE5NjI2NTYifQ==</vt:lpwstr>
  </property>
</Properties>
</file>