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D6A3">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26E627C7">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highlight w:val="none"/>
        </w:rPr>
        <w:t xml:space="preserve">  </w:t>
      </w:r>
      <w:r>
        <w:rPr>
          <w:rFonts w:hint="eastAsia" w:eastAsia="仿宋_GB2312" w:cs="Times New Roman"/>
          <w:snapToGrid w:val="0"/>
          <w:color w:val="auto"/>
          <w:kern w:val="0"/>
          <w:szCs w:val="32"/>
          <w:highlight w:val="none"/>
          <w:lang w:val="en-US" w:eastAsia="zh-CN"/>
        </w:rPr>
        <w:t xml:space="preserve"> </w:t>
      </w:r>
      <w:r>
        <w:rPr>
          <w:rFonts w:hint="eastAsia" w:ascii="仿宋_GB2312" w:hAnsi="仿宋_GB2312" w:eastAsia="仿宋_GB2312" w:cs="仿宋_GB2312"/>
          <w:snapToGrid w:val="0"/>
          <w:color w:val="auto"/>
          <w:kern w:val="0"/>
          <w:szCs w:val="32"/>
          <w:highlight w:val="none"/>
          <w:lang w:val="en-US" w:eastAsia="zh-CN"/>
        </w:rPr>
        <w:t xml:space="preserve"> </w:t>
      </w:r>
      <w:r>
        <w:rPr>
          <w:rFonts w:hint="eastAsia" w:ascii="仿宋_GB2312" w:hAnsi="仿宋_GB2312" w:eastAsia="仿宋_GB2312" w:cs="仿宋_GB2312"/>
          <w:snapToGrid w:val="0"/>
          <w:color w:val="auto"/>
          <w:kern w:val="0"/>
          <w:szCs w:val="32"/>
          <w:highlight w:val="none"/>
        </w:rPr>
        <w:t>师市环审〔202</w:t>
      </w:r>
      <w:r>
        <w:rPr>
          <w:rFonts w:hint="eastAsia" w:ascii="仿宋_GB2312" w:hAnsi="仿宋_GB2312" w:eastAsia="仿宋_GB2312" w:cs="仿宋_GB2312"/>
          <w:snapToGrid w:val="0"/>
          <w:color w:val="auto"/>
          <w:kern w:val="0"/>
          <w:szCs w:val="32"/>
          <w:highlight w:val="none"/>
          <w:lang w:val="en-US" w:eastAsia="zh-CN"/>
        </w:rPr>
        <w:t>5</w:t>
      </w:r>
      <w:r>
        <w:rPr>
          <w:rFonts w:hint="eastAsia" w:ascii="仿宋_GB2312" w:hAnsi="仿宋_GB2312" w:eastAsia="仿宋_GB2312" w:cs="仿宋_GB2312"/>
          <w:snapToGrid w:val="0"/>
          <w:color w:val="auto"/>
          <w:kern w:val="0"/>
          <w:szCs w:val="32"/>
          <w:highlight w:val="none"/>
        </w:rPr>
        <w:t>〕</w:t>
      </w:r>
      <w:r>
        <w:rPr>
          <w:rFonts w:hint="eastAsia" w:ascii="仿宋_GB2312" w:hAnsi="仿宋_GB2312" w:eastAsia="仿宋_GB2312" w:cs="仿宋_GB2312"/>
          <w:snapToGrid w:val="0"/>
          <w:color w:val="auto"/>
          <w:kern w:val="0"/>
          <w:szCs w:val="32"/>
          <w:highlight w:val="none"/>
          <w:lang w:val="en-US" w:eastAsia="zh-CN"/>
        </w:rPr>
        <w:t>38</w:t>
      </w:r>
      <w:r>
        <w:rPr>
          <w:rFonts w:hint="eastAsia" w:ascii="仿宋_GB2312" w:hAnsi="仿宋_GB2312" w:eastAsia="仿宋_GB2312" w:cs="仿宋_GB2312"/>
          <w:snapToGrid w:val="0"/>
          <w:color w:val="auto"/>
          <w:kern w:val="0"/>
          <w:szCs w:val="32"/>
          <w:highlight w:val="none"/>
        </w:rPr>
        <w:t>号</w:t>
      </w:r>
    </w:p>
    <w:p w14:paraId="6B20D21A">
      <w:pPr>
        <w:spacing w:line="600" w:lineRule="exact"/>
        <w:rPr>
          <w:rFonts w:hint="default" w:ascii="Times New Roman" w:hAnsi="Times New Roman" w:eastAsia="仿宋_GB2312" w:cs="Times New Roman"/>
          <w:snapToGrid w:val="0"/>
          <w:color w:val="auto"/>
          <w:kern w:val="0"/>
          <w:sz w:val="30"/>
          <w:highlight w:val="none"/>
        </w:rPr>
      </w:pPr>
    </w:p>
    <w:p w14:paraId="763B36A1">
      <w:pPr>
        <w:spacing w:line="600" w:lineRule="exact"/>
        <w:jc w:val="center"/>
        <w:outlineLvl w:val="0"/>
        <w:rPr>
          <w:rFonts w:hint="eastAsia" w:ascii="方正小标宋简体" w:hAnsi="方正小标宋简体" w:eastAsia="方正小标宋简体" w:cs="方正小标宋简体"/>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eastAsia" w:ascii="方正小标宋简体" w:hAnsi="方正小标宋简体" w:eastAsia="方正小标宋简体" w:cs="方正小标宋简体"/>
          <w:color w:val="auto"/>
          <w:sz w:val="44"/>
          <w:szCs w:val="44"/>
          <w:highlight w:val="none"/>
          <w:lang w:val="zh-CN" w:eastAsia="zh-CN"/>
        </w:rPr>
        <w:t>胡杨河市广泰建材有限公司新建金属结构厂房及年产20万m</w:t>
      </w:r>
      <w:r>
        <w:rPr>
          <w:rFonts w:hint="eastAsia" w:ascii="方正小标宋简体" w:hAnsi="方正小标宋简体" w:eastAsia="方正小标宋简体" w:cs="方正小标宋简体"/>
          <w:color w:val="auto"/>
          <w:sz w:val="44"/>
          <w:szCs w:val="44"/>
          <w:highlight w:val="none"/>
          <w:vertAlign w:val="superscript"/>
          <w:lang w:val="zh-CN" w:eastAsia="zh-CN"/>
        </w:rPr>
        <w:t>3</w:t>
      </w:r>
      <w:r>
        <w:rPr>
          <w:rFonts w:hint="eastAsia" w:ascii="方正小标宋简体" w:hAnsi="方正小标宋简体" w:eastAsia="方正小标宋简体" w:cs="方正小标宋简体"/>
          <w:color w:val="auto"/>
          <w:sz w:val="44"/>
          <w:szCs w:val="44"/>
          <w:highlight w:val="none"/>
          <w:lang w:val="zh-CN" w:eastAsia="zh-CN"/>
        </w:rPr>
        <w:t>蒸压加气混凝土砌块和</w:t>
      </w:r>
    </w:p>
    <w:p w14:paraId="6D9DF62C">
      <w:pPr>
        <w:spacing w:line="600" w:lineRule="exact"/>
        <w:jc w:val="center"/>
        <w:outlineLvl w:val="0"/>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eastAsia="zh-CN"/>
        </w:rPr>
        <w:t>蒸压加气混凝土ALC配筋板材建设项目</w:t>
      </w:r>
    </w:p>
    <w:p w14:paraId="3C068172">
      <w:pPr>
        <w:spacing w:line="600" w:lineRule="exact"/>
        <w:jc w:val="center"/>
        <w:outlineLvl w:val="0"/>
        <w:rPr>
          <w:rFonts w:hint="default" w:ascii="Times New Roman" w:hAnsi="Times New Roman" w:eastAsia="仿宋_GB2312" w:cs="Times New Roman"/>
          <w:color w:val="auto"/>
          <w:kern w:val="0"/>
          <w:szCs w:val="32"/>
          <w:highlight w:val="none"/>
        </w:rPr>
      </w:pPr>
      <w:r>
        <w:rPr>
          <w:rFonts w:hint="eastAsia" w:ascii="方正小标宋简体" w:hAnsi="方正小标宋简体" w:eastAsia="方正小标宋简体" w:cs="方正小标宋简体"/>
          <w:color w:val="auto"/>
          <w:sz w:val="44"/>
          <w:szCs w:val="44"/>
          <w:highlight w:val="none"/>
          <w:lang w:val="zh-CN"/>
        </w:rPr>
        <w:t>环境影响报告表</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6E50F4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57D54E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lang w:eastAsia="zh-CN"/>
        </w:rPr>
        <w:t>胡杨河市广泰建材有限公司</w:t>
      </w:r>
      <w:r>
        <w:rPr>
          <w:rFonts w:hint="default" w:ascii="Times New Roman" w:hAnsi="Times New Roman" w:eastAsia="仿宋_GB2312" w:cs="Times New Roman"/>
          <w:bCs/>
          <w:color w:val="auto"/>
          <w:szCs w:val="32"/>
          <w:highlight w:val="none"/>
        </w:rPr>
        <w:t>：</w:t>
      </w:r>
    </w:p>
    <w:p w14:paraId="6CFB24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你单位《关于胡杨河市广泰建材有限公司新建金属结构厂房及年产20万m</w:t>
      </w:r>
      <w:r>
        <w:rPr>
          <w:rFonts w:hint="default" w:ascii="Times New Roman" w:hAnsi="Times New Roman" w:eastAsia="仿宋_GB2312" w:cs="Times New Roman"/>
          <w:bCs/>
          <w:color w:val="auto"/>
          <w:szCs w:val="32"/>
          <w:highlight w:val="none"/>
          <w:vertAlign w:val="superscript"/>
        </w:rPr>
        <w:t>3</w:t>
      </w:r>
      <w:r>
        <w:rPr>
          <w:rFonts w:hint="default" w:ascii="Times New Roman" w:hAnsi="Times New Roman" w:eastAsia="仿宋_GB2312" w:cs="Times New Roman"/>
          <w:bCs/>
          <w:color w:val="auto"/>
          <w:szCs w:val="32"/>
          <w:highlight w:val="none"/>
        </w:rPr>
        <w:t>蒸压加气混凝土砌块和蒸压加气混凝土ALC配筋板材建设项目</w:t>
      </w:r>
      <w:r>
        <w:rPr>
          <w:rFonts w:hint="default" w:ascii="Times New Roman" w:hAnsi="Times New Roman" w:eastAsia="仿宋_GB2312" w:cs="Times New Roman"/>
          <w:bCs/>
          <w:color w:val="auto"/>
          <w:szCs w:val="32"/>
          <w:highlight w:val="none"/>
          <w:lang w:val="zh-CN"/>
        </w:rPr>
        <w:t>环境影响报告表</w:t>
      </w:r>
      <w:r>
        <w:rPr>
          <w:rFonts w:hint="default" w:ascii="Times New Roman" w:hAnsi="Times New Roman" w:eastAsia="仿宋_GB2312" w:cs="Times New Roman"/>
          <w:bCs/>
          <w:color w:val="auto"/>
          <w:szCs w:val="32"/>
          <w:highlight w:val="none"/>
        </w:rPr>
        <w:t>的请示》收悉。经研究，批复如下：</w:t>
      </w:r>
    </w:p>
    <w:p w14:paraId="6CFDC6FD">
      <w:pPr>
        <w:keepNext w:val="0"/>
        <w:keepLines w:val="0"/>
        <w:pageBreakBefore w:val="0"/>
        <w:widowControl w:val="0"/>
        <w:numPr>
          <w:ilvl w:val="0"/>
          <w:numId w:val="2"/>
        </w:numPr>
        <w:kinsoku/>
        <w:wordWrap/>
        <w:overflowPunct/>
        <w:topLinePunct w:val="0"/>
        <w:autoSpaceDE/>
        <w:autoSpaceDN/>
        <w:bidi w:val="0"/>
        <w:spacing w:line="560" w:lineRule="exact"/>
        <w:ind w:firstLine="632" w:firstLineChars="200"/>
        <w:textAlignment w:val="auto"/>
        <w:rPr>
          <w:rFonts w:hint="eastAsia" w:eastAsia="仿宋_GB2312" w:cs="Times New Roman"/>
          <w:color w:val="auto"/>
          <w:szCs w:val="32"/>
          <w:highlight w:val="none"/>
          <w:lang w:eastAsia="zh-CN"/>
        </w:rPr>
      </w:pPr>
      <w:r>
        <w:rPr>
          <w:rFonts w:hint="default" w:ascii="Times New Roman" w:hAnsi="Times New Roman" w:eastAsia="仿宋_GB2312" w:cs="Times New Roman"/>
          <w:color w:val="auto"/>
          <w:szCs w:val="32"/>
          <w:highlight w:val="none"/>
        </w:rPr>
        <w:t>该项目位于</w:t>
      </w:r>
      <w:r>
        <w:rPr>
          <w:rFonts w:hint="default" w:ascii="Times New Roman" w:hAnsi="Times New Roman" w:eastAsia="仿宋_GB2312" w:cs="Times New Roman"/>
          <w:color w:val="auto"/>
          <w:szCs w:val="32"/>
          <w:highlight w:val="none"/>
          <w:lang w:val="en-US" w:eastAsia="zh-CN"/>
        </w:rPr>
        <w:t>胡杨河经济技术开发区南园区</w:t>
      </w:r>
      <w:r>
        <w:rPr>
          <w:rFonts w:hint="default" w:ascii="Times New Roman" w:hAnsi="Times New Roman" w:eastAsia="仿宋_GB2312" w:cs="Times New Roman"/>
          <w:color w:val="auto"/>
          <w:szCs w:val="32"/>
          <w:highlight w:val="none"/>
        </w:rPr>
        <w:t>，项目区中心地理位置坐标：东经：8</w:t>
      </w:r>
      <w:r>
        <w:rPr>
          <w:rFonts w:hint="default" w:ascii="Times New Roman" w:hAnsi="Times New Roman" w:eastAsia="仿宋_GB2312" w:cs="Times New Roman"/>
          <w:color w:val="auto"/>
          <w:szCs w:val="32"/>
          <w:highlight w:val="none"/>
          <w:lang w:val="en-US" w:eastAsia="zh-CN"/>
        </w:rPr>
        <w:t>4</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52</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11.921</w:t>
      </w:r>
      <w:r>
        <w:rPr>
          <w:rFonts w:hint="default" w:ascii="Times New Roman" w:hAnsi="Times New Roman" w:eastAsia="仿宋_GB2312" w:cs="Times New Roman"/>
          <w:color w:val="auto"/>
          <w:szCs w:val="32"/>
          <w:highlight w:val="none"/>
        </w:rPr>
        <w:t>″、北纬：4</w:t>
      </w:r>
      <w:r>
        <w:rPr>
          <w:rFonts w:hint="default" w:ascii="Times New Roman" w:hAnsi="Times New Roman" w:eastAsia="仿宋_GB2312" w:cs="Times New Roman"/>
          <w:color w:val="auto"/>
          <w:szCs w:val="32"/>
          <w:highlight w:val="none"/>
          <w:lang w:val="en-US" w:eastAsia="zh-CN"/>
        </w:rPr>
        <w:t>4</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47</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46.633</w:t>
      </w:r>
      <w:r>
        <w:rPr>
          <w:rFonts w:hint="default" w:ascii="Times New Roman" w:hAnsi="Times New Roman" w:eastAsia="仿宋_GB2312" w:cs="Times New Roman"/>
          <w:color w:val="auto"/>
          <w:szCs w:val="32"/>
          <w:highlight w:val="none"/>
        </w:rPr>
        <w:t>″。项目</w:t>
      </w:r>
      <w:r>
        <w:rPr>
          <w:rFonts w:hint="default" w:ascii="Times New Roman" w:hAnsi="Times New Roman" w:eastAsia="仿宋_GB2312" w:cs="Times New Roman"/>
          <w:color w:val="auto"/>
          <w:szCs w:val="32"/>
          <w:highlight w:val="none"/>
          <w:lang w:val="en-US" w:eastAsia="zh-CN"/>
        </w:rPr>
        <w:t>年产20万立方米蒸压加气混凝土砌块和蒸压加气混凝土ALC配筋板材生产线，配套建设厂区供电、给排水及消防室外管网基础配套设施等。项目总投资9410万元，其中环保投资112万元，占总投资的1.19%。</w:t>
      </w:r>
    </w:p>
    <w:p w14:paraId="13F81864">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default" w:ascii="Times New Roman" w:hAnsi="Times New Roman" w:eastAsia="仿宋_GB2312" w:cs="Times New Roman"/>
          <w:color w:val="auto"/>
          <w:szCs w:val="32"/>
          <w:highlight w:val="none"/>
          <w:lang w:eastAsia="zh-CN"/>
        </w:rPr>
        <w:t>表</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default" w:ascii="Times New Roman" w:hAnsi="Times New Roman" w:eastAsia="仿宋_GB2312" w:cs="Times New Roman"/>
          <w:color w:val="auto"/>
          <w:szCs w:val="32"/>
          <w:highlight w:val="none"/>
          <w:lang w:eastAsia="zh-CN"/>
        </w:rPr>
        <w:t>表</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24864BC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60EAD8AA">
      <w:pPr>
        <w:pStyle w:val="14"/>
        <w:keepNext w:val="0"/>
        <w:keepLines w:val="0"/>
        <w:pageBreakBefore w:val="0"/>
        <w:widowControl w:val="0"/>
        <w:kinsoku/>
        <w:wordWrap/>
        <w:overflowPunct/>
        <w:topLinePunct w:val="0"/>
        <w:autoSpaceDE/>
        <w:autoSpaceDN/>
        <w:bidi w:val="0"/>
        <w:spacing w:after="0" w:line="560" w:lineRule="exact"/>
        <w:ind w:firstLine="632" w:firstLineChars="200"/>
        <w:textAlignment w:val="auto"/>
        <w:rPr>
          <w:rFonts w:hint="default" w:ascii="Times New Roman" w:hAnsi="Times New Roman" w:eastAsia="仿宋_GB2312" w:cs="Times New Roman"/>
          <w:color w:val="auto"/>
          <w:szCs w:val="32"/>
          <w:highlight w:val="none"/>
        </w:rPr>
      </w:pPr>
      <w:r>
        <w:rPr>
          <w:rFonts w:hint="eastAsia" w:ascii="Times New Roman" w:hAnsi="Times New Roman" w:eastAsia="仿宋_GB2312" w:cs="Times New Roman"/>
          <w:bCs/>
          <w:color w:val="auto"/>
          <w:kern w:val="2"/>
          <w:sz w:val="32"/>
          <w:szCs w:val="32"/>
          <w:lang w:val="en-US" w:eastAsia="zh-CN" w:bidi="ar-SA"/>
        </w:rPr>
        <w:t>（一）</w:t>
      </w:r>
      <w:r>
        <w:rPr>
          <w:rFonts w:hint="default" w:ascii="Times New Roman" w:hAnsi="Times New Roman" w:eastAsia="仿宋_GB2312" w:cs="Times New Roman"/>
          <w:bCs/>
          <w:color w:val="auto"/>
          <w:szCs w:val="32"/>
          <w:highlight w:val="none"/>
        </w:rPr>
        <w:t>严</w:t>
      </w:r>
      <w:r>
        <w:rPr>
          <w:rFonts w:hint="default" w:ascii="Times New Roman" w:hAnsi="Times New Roman" w:eastAsia="仿宋_GB2312" w:cs="Times New Roman"/>
          <w:color w:val="auto"/>
          <w:szCs w:val="32"/>
          <w:highlight w:val="none"/>
        </w:rPr>
        <w:t>格落实大气污染防治措施。</w:t>
      </w:r>
      <w:r>
        <w:rPr>
          <w:rFonts w:hint="default" w:ascii="Times New Roman" w:hAnsi="Times New Roman" w:eastAsia="仿宋_GB2312" w:cs="Times New Roman"/>
          <w:color w:val="auto"/>
          <w:szCs w:val="32"/>
          <w:highlight w:val="none"/>
          <w:lang w:val="en-US" w:eastAsia="zh-CN"/>
        </w:rPr>
        <w:t>水泥、粉煤灰和石灰于筒仓储存。水泥筒仓</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石灰筒仓</w:t>
      </w:r>
      <w:r>
        <w:rPr>
          <w:rFonts w:hint="eastAsia" w:ascii="Times New Roman" w:hAnsi="Times New Roman"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粉煤灰筒仓</w:t>
      </w:r>
      <w:r>
        <w:rPr>
          <w:rFonts w:hint="default" w:ascii="Times New Roman" w:hAnsi="Times New Roman" w:eastAsia="仿宋_GB2312" w:cs="Times New Roman"/>
          <w:color w:val="auto"/>
          <w:szCs w:val="32"/>
          <w:highlight w:val="none"/>
        </w:rPr>
        <w:t>呼吸废气由</w:t>
      </w:r>
      <w:r>
        <w:rPr>
          <w:rFonts w:hint="default" w:ascii="Times New Roman" w:hAnsi="Times New Roman" w:eastAsia="仿宋_GB2312" w:cs="Times New Roman"/>
          <w:color w:val="auto"/>
          <w:szCs w:val="32"/>
          <w:highlight w:val="none"/>
          <w:lang w:val="en-US" w:eastAsia="zh-CN"/>
        </w:rPr>
        <w:t>各筒仓自带布袋除尘器</w:t>
      </w:r>
      <w:r>
        <w:rPr>
          <w:rFonts w:hint="default" w:ascii="Times New Roman" w:hAnsi="Times New Roman" w:eastAsia="仿宋_GB2312" w:cs="Times New Roman"/>
          <w:color w:val="auto"/>
          <w:szCs w:val="32"/>
          <w:highlight w:val="none"/>
        </w:rPr>
        <w:t>处理后</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分别</w:t>
      </w:r>
      <w:r>
        <w:rPr>
          <w:rFonts w:hint="default" w:ascii="Times New Roman" w:hAnsi="Times New Roman" w:eastAsia="仿宋_GB2312" w:cs="Times New Roman"/>
          <w:color w:val="auto"/>
          <w:szCs w:val="32"/>
          <w:highlight w:val="none"/>
        </w:rPr>
        <w:t>通过1</w:t>
      </w:r>
      <w:r>
        <w:rPr>
          <w:rFonts w:hint="default" w:ascii="Times New Roman" w:hAnsi="Times New Roman" w:eastAsia="仿宋_GB2312" w:cs="Times New Roman"/>
          <w:color w:val="auto"/>
          <w:szCs w:val="32"/>
          <w:highlight w:val="none"/>
          <w:lang w:val="en-US" w:eastAsia="zh-CN"/>
        </w:rPr>
        <w:t>5米</w:t>
      </w:r>
      <w:r>
        <w:rPr>
          <w:rFonts w:hint="default" w:ascii="Times New Roman" w:hAnsi="Times New Roman" w:eastAsia="仿宋_GB2312" w:cs="Times New Roman"/>
          <w:color w:val="auto"/>
          <w:szCs w:val="32"/>
          <w:highlight w:val="none"/>
        </w:rPr>
        <w:t>高排气筒排放</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底板清理过程产生的打磨粉尘经集气罩收集后，经布袋除尘器处理后由</w:t>
      </w:r>
      <w:r>
        <w:rPr>
          <w:rFonts w:hint="default" w:ascii="Times New Roman" w:hAnsi="Times New Roman" w:eastAsia="仿宋_GB2312" w:cs="Times New Roman"/>
          <w:color w:val="auto"/>
          <w:szCs w:val="32"/>
          <w:highlight w:val="none"/>
        </w:rPr>
        <w:t>1</w:t>
      </w:r>
      <w:r>
        <w:rPr>
          <w:rFonts w:hint="default" w:ascii="Times New Roman" w:hAnsi="Times New Roman" w:eastAsia="仿宋_GB2312" w:cs="Times New Roman"/>
          <w:color w:val="auto"/>
          <w:szCs w:val="32"/>
          <w:highlight w:val="none"/>
          <w:lang w:val="en-US" w:eastAsia="zh-CN"/>
        </w:rPr>
        <w:t>5米</w:t>
      </w:r>
      <w:r>
        <w:rPr>
          <w:rFonts w:hint="default" w:ascii="Times New Roman" w:hAnsi="Times New Roman" w:eastAsia="仿宋_GB2312" w:cs="Times New Roman"/>
          <w:color w:val="auto"/>
          <w:szCs w:val="32"/>
          <w:highlight w:val="none"/>
        </w:rPr>
        <w:t>高排气筒排</w:t>
      </w:r>
      <w:r>
        <w:rPr>
          <w:rFonts w:hint="default" w:ascii="Times New Roman" w:hAnsi="Times New Roman" w:eastAsia="仿宋_GB2312" w:cs="Times New Roman"/>
          <w:color w:val="auto"/>
          <w:szCs w:val="32"/>
          <w:highlight w:val="none"/>
          <w:lang w:val="en-US" w:eastAsia="zh-CN"/>
        </w:rPr>
        <w:t>放；钢钎防腐处理工序产生的有机废气采用集气罩收集后，由管道送至二级活性炭吸附装置处理后经15米高排气筒排放。筒仓储存和底板清理产生的颗粒物排放</w:t>
      </w:r>
      <w:r>
        <w:rPr>
          <w:rFonts w:hint="eastAsia" w:eastAsia="仿宋_GB2312" w:cs="Times New Roman"/>
          <w:color w:val="auto"/>
          <w:szCs w:val="32"/>
          <w:highlight w:val="none"/>
          <w:lang w:val="en-US" w:eastAsia="zh-CN"/>
        </w:rPr>
        <w:t>执行</w:t>
      </w:r>
      <w:r>
        <w:rPr>
          <w:rFonts w:hint="default" w:ascii="Times New Roman" w:hAnsi="Times New Roman" w:eastAsia="仿宋_GB2312" w:cs="Times New Roman"/>
          <w:color w:val="auto"/>
          <w:szCs w:val="32"/>
          <w:highlight w:val="none"/>
          <w:lang w:val="en-US" w:eastAsia="zh-CN"/>
        </w:rPr>
        <w:t>《水泥工业大气污染物排放标准》（GB4915-2013）表2大气污染物特别排放限值，非甲烷总烃</w:t>
      </w:r>
      <w:r>
        <w:rPr>
          <w:rFonts w:hint="default" w:ascii="Times New Roman" w:hAnsi="Times New Roman" w:eastAsia="仿宋_GB2312" w:cs="Times New Roman"/>
          <w:color w:val="auto"/>
          <w:szCs w:val="32"/>
          <w:highlight w:val="none"/>
        </w:rPr>
        <w:t>排放</w:t>
      </w:r>
      <w:r>
        <w:rPr>
          <w:rFonts w:hint="eastAsia" w:eastAsia="仿宋_GB2312" w:cs="Times New Roman"/>
          <w:color w:val="auto"/>
          <w:szCs w:val="32"/>
          <w:highlight w:val="none"/>
          <w:lang w:val="en-US" w:eastAsia="zh-CN"/>
        </w:rPr>
        <w:t>执行</w:t>
      </w:r>
      <w:r>
        <w:rPr>
          <w:rFonts w:hint="default" w:ascii="Times New Roman" w:hAnsi="Times New Roman" w:eastAsia="仿宋_GB2312" w:cs="Times New Roman"/>
          <w:color w:val="auto"/>
          <w:szCs w:val="32"/>
          <w:highlight w:val="none"/>
          <w:lang w:val="en-US" w:eastAsia="zh-CN"/>
        </w:rPr>
        <w:t>《合成树脂工业污染物排放标准》（含2024年修改单）（GB31572-2015）中表5大气污染物特别排放限值</w:t>
      </w:r>
      <w:r>
        <w:rPr>
          <w:rFonts w:hint="default" w:ascii="Times New Roman" w:hAnsi="Times New Roman" w:eastAsia="仿宋_GB2312" w:cs="Times New Roman"/>
          <w:color w:val="auto"/>
          <w:szCs w:val="32"/>
          <w:highlight w:val="none"/>
        </w:rPr>
        <w:t>。</w:t>
      </w:r>
    </w:p>
    <w:p w14:paraId="2F987175">
      <w:pPr>
        <w:pStyle w:val="14"/>
        <w:keepNext w:val="0"/>
        <w:keepLines w:val="0"/>
        <w:pageBreakBefore w:val="0"/>
        <w:widowControl w:val="0"/>
        <w:kinsoku/>
        <w:wordWrap/>
        <w:overflowPunct/>
        <w:topLinePunct w:val="0"/>
        <w:autoSpaceDE/>
        <w:autoSpaceDN/>
        <w:bidi w:val="0"/>
        <w:spacing w:after="0" w:line="56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lang w:val="en-US" w:eastAsia="zh-CN"/>
        </w:rPr>
        <w:t>生产车间建设为全封闭式结构，车间内定期打扫并洒水抑尘，加强通风；水泥、粉煤灰和石灰筒仓全封闭式设计；球磨工序在密闭设备中进行；厂区道路进行硬化，设置车辆清洗设施，保证物料运输车辆整洁。厂界颗粒物无组织排放</w:t>
      </w:r>
      <w:r>
        <w:rPr>
          <w:rFonts w:hint="eastAsia" w:eastAsia="仿宋_GB2312" w:cs="Times New Roman"/>
          <w:color w:val="auto"/>
          <w:szCs w:val="32"/>
          <w:highlight w:val="none"/>
          <w:lang w:val="en-US" w:eastAsia="zh-CN"/>
        </w:rPr>
        <w:t>执行</w:t>
      </w:r>
      <w:r>
        <w:rPr>
          <w:rFonts w:hint="default" w:ascii="Times New Roman" w:hAnsi="Times New Roman" w:eastAsia="仿宋_GB2312" w:cs="Times New Roman"/>
          <w:color w:val="auto"/>
          <w:szCs w:val="32"/>
          <w:highlight w:val="none"/>
          <w:lang w:val="en-US" w:eastAsia="zh-CN"/>
        </w:rPr>
        <w:t>《水泥工业大气污染物排放标准》（GB4915-2013）中表3大气污染物无组织排放限值要求；厂界非甲烷总烃无组织排放</w:t>
      </w:r>
      <w:r>
        <w:rPr>
          <w:rFonts w:hint="eastAsia" w:eastAsia="仿宋_GB2312" w:cs="Times New Roman"/>
          <w:color w:val="auto"/>
          <w:szCs w:val="32"/>
          <w:highlight w:val="none"/>
          <w:lang w:val="en-US" w:eastAsia="zh-CN"/>
        </w:rPr>
        <w:t>执行</w:t>
      </w:r>
      <w:r>
        <w:rPr>
          <w:rFonts w:hint="default" w:ascii="Times New Roman" w:hAnsi="Times New Roman" w:eastAsia="仿宋_GB2312" w:cs="Times New Roman"/>
          <w:color w:val="auto"/>
          <w:szCs w:val="32"/>
          <w:highlight w:val="none"/>
          <w:lang w:val="en-US" w:eastAsia="zh-CN"/>
        </w:rPr>
        <w:t>《合成树脂工业污染物排放标准》（GB31572-2015）中表9企业边界大气污染物浓度限值要求；厂区内非甲烷总烃无组织排放</w:t>
      </w:r>
      <w:r>
        <w:rPr>
          <w:rFonts w:hint="eastAsia" w:eastAsia="仿宋_GB2312" w:cs="Times New Roman"/>
          <w:color w:val="auto"/>
          <w:szCs w:val="32"/>
          <w:highlight w:val="none"/>
          <w:lang w:val="en-US" w:eastAsia="zh-CN"/>
        </w:rPr>
        <w:t>执行</w:t>
      </w:r>
      <w:r>
        <w:rPr>
          <w:rFonts w:hint="default" w:ascii="Times New Roman" w:hAnsi="Times New Roman" w:eastAsia="仿宋_GB2312" w:cs="Times New Roman"/>
          <w:color w:val="auto"/>
          <w:szCs w:val="32"/>
          <w:highlight w:val="none"/>
          <w:lang w:val="en-US" w:eastAsia="zh-CN"/>
        </w:rPr>
        <w:t>《挥发性有机物无组织排放控制标准》（GB37822-2019）表A.1中特别排放限值要求。</w:t>
      </w:r>
    </w:p>
    <w:p w14:paraId="0796A7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（二）</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落实水污染防治措施。项目生产</w:t>
      </w:r>
      <w:r>
        <w:rPr>
          <w:rFonts w:hint="default" w:ascii="Times New Roman" w:hAnsi="Times New Roman" w:eastAsia="仿宋_GB2312" w:cs="Times New Roman"/>
          <w:bCs/>
          <w:color w:val="auto"/>
          <w:szCs w:val="32"/>
          <w:highlight w:val="none"/>
          <w:lang w:val="en-US" w:eastAsia="zh-CN"/>
        </w:rPr>
        <w:t>用水全部进入产品，无生产废水产生</w:t>
      </w:r>
      <w:r>
        <w:rPr>
          <w:rFonts w:hint="default" w:ascii="Times New Roman" w:hAnsi="Times New Roman" w:eastAsia="仿宋_GB2312" w:cs="Times New Roman"/>
          <w:bCs/>
          <w:color w:val="auto"/>
          <w:szCs w:val="32"/>
          <w:highlight w:val="none"/>
        </w:rPr>
        <w:t>；生活污水</w:t>
      </w:r>
      <w:r>
        <w:rPr>
          <w:rFonts w:hint="default" w:ascii="Times New Roman" w:hAnsi="Times New Roman" w:eastAsia="仿宋_GB2312" w:cs="Times New Roman"/>
          <w:bCs/>
          <w:color w:val="auto"/>
          <w:szCs w:val="32"/>
          <w:highlight w:val="none"/>
          <w:lang w:val="en-US" w:eastAsia="zh-CN"/>
        </w:rPr>
        <w:t>依托生活区污水管网排至胡杨河经济技术开发区南园区污水处理厂</w:t>
      </w:r>
      <w:r>
        <w:rPr>
          <w:rFonts w:hint="default" w:ascii="Times New Roman" w:hAnsi="Times New Roman" w:eastAsia="仿宋_GB2312" w:cs="Times New Roman"/>
          <w:bCs/>
          <w:color w:val="auto"/>
          <w:szCs w:val="32"/>
          <w:highlight w:val="none"/>
          <w:lang w:eastAsia="zh-CN"/>
        </w:rPr>
        <w:t>。</w:t>
      </w:r>
    </w:p>
    <w:p w14:paraId="562532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kern w:val="2"/>
          <w:sz w:val="32"/>
          <w:szCs w:val="32"/>
          <w:lang w:val="en-US" w:eastAsia="zh-CN" w:bidi="ar-SA"/>
        </w:rPr>
        <w:t>三</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zCs w:val="32"/>
          <w:highlight w:val="none"/>
        </w:rPr>
        <w:t>严格落实噪声防治措施。</w:t>
      </w:r>
      <w:r>
        <w:rPr>
          <w:rFonts w:hint="default" w:ascii="Times New Roman" w:hAnsi="Times New Roman" w:eastAsia="仿宋_GB2312" w:cs="Times New Roman"/>
          <w:bCs/>
          <w:color w:val="auto"/>
          <w:szCs w:val="32"/>
          <w:highlight w:val="none"/>
          <w:lang w:val="zh-CN"/>
        </w:rPr>
        <w:t>合理布局各产噪设备，选用先进可靠的低噪声设备；对</w:t>
      </w:r>
      <w:r>
        <w:rPr>
          <w:rFonts w:hint="default" w:ascii="Times New Roman" w:hAnsi="Times New Roman" w:eastAsia="仿宋_GB2312" w:cs="Times New Roman"/>
          <w:bCs/>
          <w:color w:val="auto"/>
          <w:szCs w:val="32"/>
          <w:highlight w:val="none"/>
        </w:rPr>
        <w:t>强噪声设备</w:t>
      </w:r>
      <w:r>
        <w:rPr>
          <w:rFonts w:hint="default" w:ascii="Times New Roman" w:hAnsi="Times New Roman" w:eastAsia="仿宋_GB2312" w:cs="Times New Roman"/>
          <w:bCs/>
          <w:color w:val="auto"/>
          <w:szCs w:val="32"/>
          <w:highlight w:val="none"/>
          <w:lang w:val="zh-CN"/>
        </w:rPr>
        <w:t>加装隔声罩，采取基础减振措施；</w:t>
      </w:r>
      <w:r>
        <w:rPr>
          <w:rFonts w:hint="default" w:ascii="Times New Roman" w:hAnsi="Times New Roman" w:eastAsia="仿宋_GB2312" w:cs="Times New Roman"/>
          <w:bCs/>
          <w:color w:val="auto"/>
          <w:szCs w:val="32"/>
          <w:highlight w:val="none"/>
          <w:lang w:val="en-US" w:eastAsia="zh-CN"/>
        </w:rPr>
        <w:t>合理安排作业时间，夜间不生产</w:t>
      </w:r>
      <w:r>
        <w:rPr>
          <w:rFonts w:hint="default" w:ascii="Times New Roman" w:hAnsi="Times New Roman" w:eastAsia="仿宋_GB2312" w:cs="Times New Roman"/>
          <w:bCs/>
          <w:color w:val="auto"/>
          <w:szCs w:val="32"/>
          <w:highlight w:val="none"/>
          <w:lang w:val="zh-CN"/>
        </w:rPr>
        <w:t>。厂界噪声排放</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lang w:val="zh-CN"/>
        </w:rPr>
        <w:t>《工业企业厂界环境噪声排放标准》（GB12348-2008）中</w:t>
      </w:r>
      <w:r>
        <w:rPr>
          <w:rFonts w:hint="default" w:ascii="Times New Roman" w:hAnsi="Times New Roman" w:eastAsia="仿宋_GB2312" w:cs="Times New Roman"/>
          <w:bCs/>
          <w:color w:val="auto"/>
          <w:szCs w:val="32"/>
          <w:highlight w:val="none"/>
          <w:lang w:val="en-US" w:eastAsia="zh-CN"/>
        </w:rPr>
        <w:t>3</w:t>
      </w:r>
      <w:r>
        <w:rPr>
          <w:rFonts w:hint="default" w:ascii="Times New Roman" w:hAnsi="Times New Roman" w:eastAsia="仿宋_GB2312" w:cs="Times New Roman"/>
          <w:bCs/>
          <w:color w:val="auto"/>
          <w:szCs w:val="32"/>
          <w:highlight w:val="none"/>
          <w:lang w:val="zh-CN"/>
        </w:rPr>
        <w:t>类标准要求。</w:t>
      </w:r>
    </w:p>
    <w:p w14:paraId="672DCB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Cs/>
          <w:color w:val="000000" w:themeColor="text1"/>
          <w:szCs w:val="32"/>
          <w14:textFill>
            <w14:solidFill>
              <w14:schemeClr w14:val="tx1"/>
            </w14:solidFill>
          </w14:textFill>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四</w:t>
      </w:r>
      <w:r>
        <w:rPr>
          <w:rFonts w:hint="default" w:ascii="Times New Roman" w:hAnsi="Times New Roman" w:eastAsia="仿宋_GB2312" w:cs="Times New Roman"/>
          <w:bCs/>
          <w:color w:val="auto"/>
          <w:szCs w:val="32"/>
          <w:highlight w:val="none"/>
        </w:rPr>
        <w:t>）固体废物实施分类管理和妥善处理处置。废</w:t>
      </w:r>
      <w:r>
        <w:rPr>
          <w:rFonts w:hint="default" w:ascii="Times New Roman" w:hAnsi="Times New Roman" w:eastAsia="仿宋_GB2312" w:cs="Times New Roman"/>
          <w:bCs/>
          <w:color w:val="auto"/>
          <w:szCs w:val="32"/>
          <w:highlight w:val="none"/>
          <w:lang w:val="en-US" w:eastAsia="zh-CN"/>
        </w:rPr>
        <w:t>机油</w:t>
      </w:r>
      <w:r>
        <w:rPr>
          <w:rFonts w:hint="default" w:ascii="Times New Roman" w:hAnsi="Times New Roman"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lang w:val="en-US" w:eastAsia="zh-CN"/>
        </w:rPr>
        <w:t>废包装桶</w:t>
      </w:r>
      <w:r>
        <w:rPr>
          <w:rFonts w:hint="default" w:ascii="Times New Roman" w:hAnsi="Times New Roman"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lang w:val="en-US" w:eastAsia="zh-CN"/>
        </w:rPr>
        <w:t>废活性炭</w:t>
      </w:r>
      <w:r>
        <w:rPr>
          <w:rFonts w:hint="eastAsia" w:eastAsia="仿宋_GB2312" w:cs="Times New Roman"/>
          <w:bCs/>
          <w:color w:val="auto"/>
          <w:szCs w:val="32"/>
          <w:highlight w:val="none"/>
          <w:lang w:val="en-US" w:eastAsia="zh-CN"/>
        </w:rPr>
        <w:t>属于危险废物，暂存于危险废物贮存</w:t>
      </w:r>
      <w:r>
        <w:rPr>
          <w:rFonts w:hint="eastAsia" w:ascii="Times New Roman" w:hAnsi="Times New Roman" w:eastAsia="仿宋_GB2312" w:cs="Times New Roman"/>
          <w:bCs/>
          <w:szCs w:val="32"/>
          <w:highlight w:val="none"/>
          <w:lang w:val="en-US" w:eastAsia="zh-CN"/>
        </w:rPr>
        <w:t>库</w:t>
      </w:r>
      <w:r>
        <w:rPr>
          <w:rFonts w:hint="eastAsia" w:eastAsia="仿宋_GB2312" w:cs="Times New Roman"/>
          <w:bCs/>
          <w:color w:val="auto"/>
          <w:szCs w:val="32"/>
          <w:highlight w:val="none"/>
          <w:lang w:val="en-US" w:eastAsia="zh-CN"/>
        </w:rPr>
        <w:t>，定期交由有危险废物处置资质的单位进行妥善处置。一般固体废物中除尘粉尘、生产过程产生的边角料、不合格品、废钢筋、废布袋</w:t>
      </w:r>
      <w:r>
        <w:rPr>
          <w:rFonts w:hint="eastAsia" w:eastAsia="仿宋_GB2312" w:cs="Times New Roman"/>
          <w:bCs/>
          <w:szCs w:val="32"/>
          <w:highlight w:val="none"/>
          <w:lang w:val="en-US" w:eastAsia="zh-CN"/>
        </w:rPr>
        <w:t>按照《一般工业固体废物贮存和填埋污染控制标准》（GB18599）进行贮存处置；</w:t>
      </w:r>
      <w:r>
        <w:rPr>
          <w:rFonts w:hint="eastAsia" w:ascii="Times New Roman" w:hAnsi="Times New Roman" w:eastAsia="仿宋_GB2312" w:cs="Times New Roman"/>
          <w:bCs/>
          <w:szCs w:val="32"/>
          <w:highlight w:val="none"/>
        </w:rPr>
        <w:t>除尘灰</w:t>
      </w:r>
      <w:r>
        <w:rPr>
          <w:rFonts w:hint="eastAsia" w:eastAsia="仿宋_GB2312" w:cs="Times New Roman"/>
          <w:bCs/>
          <w:szCs w:val="32"/>
          <w:highlight w:val="none"/>
          <w:lang w:eastAsia="zh-CN"/>
        </w:rPr>
        <w:t>、</w:t>
      </w:r>
      <w:r>
        <w:rPr>
          <w:rFonts w:hint="eastAsia" w:ascii="Times New Roman" w:hAnsi="Times New Roman" w:eastAsia="仿宋_GB2312" w:cs="Times New Roman"/>
          <w:bCs/>
          <w:szCs w:val="32"/>
          <w:highlight w:val="none"/>
          <w:lang w:val="en-US" w:eastAsia="zh-CN"/>
        </w:rPr>
        <w:t>边角料、不合格品，集中收集后回用于生产</w:t>
      </w:r>
      <w:r>
        <w:rPr>
          <w:rFonts w:hint="eastAsia" w:ascii="Times New Roman" w:hAnsi="Times New Roman" w:eastAsia="仿宋_GB2312" w:cs="Times New Roman"/>
          <w:bCs/>
          <w:szCs w:val="32"/>
          <w:highlight w:val="none"/>
        </w:rPr>
        <w:t>。</w:t>
      </w:r>
      <w:r>
        <w:rPr>
          <w:rFonts w:hint="default" w:ascii="Times New Roman" w:hAnsi="Times New Roman" w:eastAsia="仿宋_GB2312" w:cs="Times New Roman"/>
          <w:bCs/>
          <w:color w:val="auto"/>
          <w:kern w:val="0"/>
          <w:sz w:val="32"/>
          <w:szCs w:val="32"/>
          <w:highlight w:val="none"/>
          <w:lang w:val="en-US" w:eastAsia="zh-CN" w:bidi="ar-SA"/>
        </w:rPr>
        <w:t>危险废物收集、运输</w:t>
      </w:r>
      <w:r>
        <w:rPr>
          <w:rFonts w:hint="default" w:ascii="Times New Roman" w:hAnsi="Times New Roman" w:eastAsia="仿宋_GB2312" w:cs="Times New Roman"/>
          <w:bCs/>
          <w:color w:val="000000" w:themeColor="text1"/>
          <w:szCs w:val="32"/>
          <w14:textFill>
            <w14:solidFill>
              <w14:schemeClr w14:val="tx1"/>
            </w14:solidFill>
          </w14:textFill>
        </w:rPr>
        <w:t>、储存</w:t>
      </w:r>
      <w:r>
        <w:rPr>
          <w:rFonts w:hint="eastAsia" w:eastAsia="仿宋_GB2312" w:cs="Times New Roman"/>
          <w:bCs/>
          <w:color w:val="000000" w:themeColor="text1"/>
          <w:szCs w:val="32"/>
          <w:lang w:val="en-US" w:eastAsia="zh-CN"/>
          <w14:textFill>
            <w14:solidFill>
              <w14:schemeClr w14:val="tx1"/>
            </w14:solidFill>
          </w14:textFill>
        </w:rPr>
        <w:t>须</w:t>
      </w:r>
      <w:r>
        <w:rPr>
          <w:rFonts w:hint="default" w:ascii="Times New Roman" w:hAnsi="Times New Roman" w:eastAsia="仿宋_GB2312" w:cs="Times New Roman"/>
          <w:bCs/>
          <w:color w:val="000000" w:themeColor="text1"/>
          <w:szCs w:val="32"/>
          <w14:textFill>
            <w14:solidFill>
              <w14:schemeClr w14:val="tx1"/>
            </w14:solidFill>
          </w14:textFill>
        </w:rPr>
        <w:t>严格按照《危险废物贮存污染控制标准》（GB18597-20</w:t>
      </w:r>
      <w:r>
        <w:rPr>
          <w:rFonts w:hint="default" w:ascii="Times New Roman" w:hAnsi="Times New Roman" w:eastAsia="仿宋_GB2312" w:cs="Times New Roman"/>
          <w:bCs/>
          <w:color w:val="000000" w:themeColor="text1"/>
          <w:szCs w:val="32"/>
          <w:lang w:val="en-US" w:eastAsia="zh-CN"/>
          <w14:textFill>
            <w14:solidFill>
              <w14:schemeClr w14:val="tx1"/>
            </w14:solidFill>
          </w14:textFill>
        </w:rPr>
        <w:t>23</w:t>
      </w:r>
      <w:r>
        <w:rPr>
          <w:rFonts w:hint="default" w:ascii="Times New Roman" w:hAnsi="Times New Roman" w:eastAsia="仿宋_GB2312" w:cs="Times New Roman"/>
          <w:bCs/>
          <w:color w:val="000000" w:themeColor="text1"/>
          <w:szCs w:val="32"/>
          <w14:textFill>
            <w14:solidFill>
              <w14:schemeClr w14:val="tx1"/>
            </w14:solidFill>
          </w14:textFill>
        </w:rPr>
        <w:t>）、《危险废物收集、贮存、运输技术规范》（HJ2025-2012）和《危险废物转移管理办法》等相关要求。生活垃圾集中收集后定期交由环卫部门统一清运至垃圾填埋场。</w:t>
      </w:r>
    </w:p>
    <w:p w14:paraId="39D14701">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Cs/>
          <w:color w:val="000000"/>
          <w:szCs w:val="32"/>
          <w:lang w:val="en-US" w:eastAsia="zh-CN"/>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五</w:t>
      </w:r>
      <w:r>
        <w:rPr>
          <w:rFonts w:hint="default" w:ascii="Times New Roman" w:hAnsi="Times New Roman" w:eastAsia="仿宋_GB2312" w:cs="Times New Roman"/>
          <w:bCs/>
          <w:color w:val="auto"/>
          <w:szCs w:val="32"/>
          <w:highlight w:val="none"/>
        </w:rPr>
        <w:t>）严格落实</w:t>
      </w:r>
      <w:r>
        <w:rPr>
          <w:rFonts w:hint="default" w:ascii="Times New Roman" w:hAnsi="Times New Roman" w:eastAsia="仿宋_GB2312" w:cs="Times New Roman"/>
          <w:bCs/>
          <w:color w:val="000000"/>
          <w:szCs w:val="32"/>
          <w:lang w:val="en-US" w:eastAsia="zh-CN"/>
        </w:rPr>
        <w:t>地下水及土壤污染防治措施</w:t>
      </w:r>
      <w:r>
        <w:rPr>
          <w:rFonts w:hint="eastAsia" w:ascii="Times New Roman" w:hAnsi="Times New Roman" w:eastAsia="仿宋_GB2312" w:cs="Times New Roman"/>
          <w:bCs/>
          <w:color w:val="000000"/>
          <w:szCs w:val="32"/>
          <w:lang w:val="en-US" w:eastAsia="zh-CN"/>
        </w:rPr>
        <w:t>，按照源头防控、分区防治、污染监控、应急响应的原则进行地下水污染防治。对</w:t>
      </w:r>
      <w:r>
        <w:rPr>
          <w:rFonts w:hint="default" w:ascii="Times New Roman" w:hAnsi="Times New Roman" w:eastAsia="仿宋_GB2312" w:cs="Times New Roman"/>
          <w:bCs/>
          <w:szCs w:val="32"/>
          <w:highlight w:val="none"/>
          <w:lang w:val="en-US" w:eastAsia="zh-CN"/>
        </w:rPr>
        <w:t>危险废物</w:t>
      </w:r>
      <w:r>
        <w:rPr>
          <w:rFonts w:hint="eastAsia" w:eastAsia="仿宋_GB2312" w:cs="Times New Roman"/>
          <w:bCs/>
          <w:szCs w:val="32"/>
          <w:highlight w:val="none"/>
          <w:lang w:val="en-US" w:eastAsia="zh-CN"/>
        </w:rPr>
        <w:t>贮存库</w:t>
      </w:r>
      <w:r>
        <w:rPr>
          <w:rFonts w:hint="eastAsia" w:ascii="Times New Roman" w:hAnsi="Times New Roman" w:eastAsia="仿宋_GB2312" w:cs="Times New Roman"/>
          <w:bCs/>
          <w:color w:val="000000"/>
          <w:szCs w:val="32"/>
          <w:lang w:val="en-US" w:eastAsia="zh-CN"/>
        </w:rPr>
        <w:t>进行重点防渗。对生产车间、一般固体废物暂存间进行一般防渗。加强防渗设施的日常维护，对出现损坏的防渗设施应及时修复和加固，确保防渗设施牢固安全。</w:t>
      </w:r>
    </w:p>
    <w:p w14:paraId="4CDB8E38">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）加强施工期环境保护，防止施工废水、扬尘、噪声污染、水土流失和生态破坏。</w:t>
      </w:r>
    </w:p>
    <w:p w14:paraId="7FCB1D7C">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0472AD8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八</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1CAAFA9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88C3A9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五、环境影响报告表经批准后，该项目的性质、规模、地点、生产工艺和环境保护措施发生重大变动，且可能导致环境影响显著变化的，应当重新报批该项目环境影响评价报告。</w:t>
      </w:r>
    </w:p>
    <w:p w14:paraId="60166C8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申领排污许可证</w:t>
      </w:r>
      <w:r>
        <w:rPr>
          <w:rFonts w:hint="default" w:ascii="Times New Roman" w:hAnsi="Times New Roman" w:eastAsia="仿宋_GB2312" w:cs="Times New Roman"/>
          <w:bCs/>
          <w:color w:val="auto"/>
          <w:sz w:val="32"/>
          <w:szCs w:val="32"/>
          <w:highlight w:val="none"/>
        </w:rPr>
        <w:t>。</w:t>
      </w:r>
    </w:p>
    <w:p w14:paraId="0EE9603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42B7FE3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表送师市生态环境保护综合行政执法支队、生态环境监测站、胡杨河经济技术开发区应急管理和环境保护局，并按规定接受各级生态环境主管部门的监督检查。</w:t>
      </w:r>
    </w:p>
    <w:p w14:paraId="62962E64">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08BF477E">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1D8E3DEA">
      <w:pPr>
        <w:keepNext w:val="0"/>
        <w:keepLines w:val="0"/>
        <w:pageBreakBefore w:val="0"/>
        <w:widowControl w:val="0"/>
        <w:kinsoku/>
        <w:wordWrap/>
        <w:overflowPunct/>
        <w:topLinePunct w:val="0"/>
        <w:autoSpaceDE/>
        <w:autoSpaceDN/>
        <w:bidi w:val="0"/>
        <w:adjustRightInd/>
        <w:snapToGrid/>
        <w:spacing w:line="48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5B12831A">
      <w:pPr>
        <w:keepNext w:val="0"/>
        <w:keepLines w:val="0"/>
        <w:pageBreakBefore w:val="0"/>
        <w:widowControl w:val="0"/>
        <w:kinsoku/>
        <w:wordWrap/>
        <w:overflowPunct/>
        <w:topLinePunct w:val="0"/>
        <w:autoSpaceDE/>
        <w:autoSpaceDN/>
        <w:bidi w:val="0"/>
        <w:adjustRightInd/>
        <w:snapToGrid/>
        <w:spacing w:line="48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5</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9</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9</w:t>
      </w:r>
      <w:r>
        <w:rPr>
          <w:rFonts w:hint="default" w:ascii="Times New Roman" w:hAnsi="Times New Roman" w:eastAsia="仿宋_GB2312" w:cs="Times New Roman"/>
          <w:bCs/>
          <w:color w:val="auto"/>
          <w:szCs w:val="32"/>
          <w:highlight w:val="none"/>
        </w:rPr>
        <w:t>日</w:t>
      </w:r>
    </w:p>
    <w:p w14:paraId="41C41434">
      <w:pPr>
        <w:spacing w:line="400" w:lineRule="exact"/>
        <w:ind w:right="316" w:rightChars="100"/>
        <w:rPr>
          <w:rFonts w:hint="default" w:ascii="Times New Roman" w:hAnsi="Times New Roman" w:eastAsia="仿宋_GB2312" w:cs="Times New Roman"/>
          <w:color w:val="auto"/>
          <w:sz w:val="28"/>
          <w:szCs w:val="28"/>
        </w:rPr>
      </w:pPr>
    </w:p>
    <w:p w14:paraId="6A58D781">
      <w:pPr>
        <w:spacing w:line="400" w:lineRule="exact"/>
        <w:ind w:right="316" w:rightChars="100"/>
        <w:rPr>
          <w:rFonts w:hint="default" w:ascii="Times New Roman" w:hAnsi="Times New Roman" w:eastAsia="仿宋_GB2312" w:cs="Times New Roman"/>
          <w:color w:val="auto"/>
          <w:sz w:val="28"/>
          <w:szCs w:val="28"/>
        </w:rPr>
      </w:pPr>
    </w:p>
    <w:p w14:paraId="1CE9786A">
      <w:pPr>
        <w:spacing w:line="400" w:lineRule="exact"/>
        <w:ind w:right="316" w:rightChars="100"/>
        <w:rPr>
          <w:rFonts w:hint="default" w:ascii="Times New Roman" w:hAnsi="Times New Roman" w:eastAsia="仿宋_GB2312" w:cs="Times New Roman"/>
          <w:color w:val="auto"/>
          <w:sz w:val="28"/>
          <w:szCs w:val="28"/>
        </w:rPr>
      </w:pPr>
    </w:p>
    <w:p w14:paraId="253F576C">
      <w:pPr>
        <w:spacing w:line="400" w:lineRule="exact"/>
        <w:ind w:right="316" w:rightChars="100"/>
        <w:rPr>
          <w:rFonts w:hint="default" w:ascii="Times New Roman" w:hAnsi="Times New Roman" w:eastAsia="仿宋_GB2312" w:cs="Times New Roman"/>
          <w:color w:val="auto"/>
          <w:sz w:val="28"/>
          <w:szCs w:val="28"/>
        </w:rPr>
      </w:pPr>
    </w:p>
    <w:p w14:paraId="68FBB671">
      <w:pPr>
        <w:spacing w:line="400" w:lineRule="exact"/>
        <w:ind w:right="316" w:rightChars="100"/>
        <w:rPr>
          <w:rFonts w:hint="default" w:ascii="Times New Roman" w:hAnsi="Times New Roman" w:eastAsia="仿宋_GB2312" w:cs="Times New Roman"/>
          <w:color w:val="auto"/>
          <w:sz w:val="28"/>
          <w:szCs w:val="28"/>
        </w:rPr>
      </w:pPr>
    </w:p>
    <w:p w14:paraId="76759994">
      <w:pPr>
        <w:spacing w:line="400" w:lineRule="exact"/>
        <w:ind w:right="316" w:rightChars="100"/>
        <w:rPr>
          <w:rFonts w:hint="default" w:ascii="Times New Roman" w:hAnsi="Times New Roman" w:eastAsia="仿宋_GB2312" w:cs="Times New Roman"/>
          <w:color w:val="auto"/>
          <w:sz w:val="28"/>
          <w:szCs w:val="28"/>
        </w:rPr>
      </w:pPr>
    </w:p>
    <w:p w14:paraId="18124E1F">
      <w:pPr>
        <w:spacing w:line="400" w:lineRule="exact"/>
        <w:ind w:right="316" w:rightChars="100"/>
        <w:rPr>
          <w:rFonts w:hint="default" w:ascii="Times New Roman" w:hAnsi="Times New Roman" w:eastAsia="仿宋_GB2312" w:cs="Times New Roman"/>
          <w:color w:val="auto"/>
          <w:sz w:val="28"/>
          <w:szCs w:val="28"/>
        </w:rPr>
      </w:pPr>
    </w:p>
    <w:p w14:paraId="3E1EB614">
      <w:pPr>
        <w:spacing w:line="400" w:lineRule="exact"/>
        <w:ind w:right="316" w:rightChars="100"/>
        <w:rPr>
          <w:rFonts w:hint="default" w:ascii="Times New Roman" w:hAnsi="Times New Roman" w:eastAsia="仿宋_GB2312" w:cs="Times New Roman"/>
          <w:color w:val="auto"/>
          <w:sz w:val="28"/>
          <w:szCs w:val="28"/>
        </w:rPr>
      </w:pPr>
    </w:p>
    <w:p w14:paraId="19FB8632">
      <w:pPr>
        <w:spacing w:line="400" w:lineRule="exact"/>
        <w:ind w:right="316" w:rightChars="100"/>
        <w:rPr>
          <w:rFonts w:hint="default" w:ascii="Times New Roman" w:hAnsi="Times New Roman" w:eastAsia="仿宋_GB2312" w:cs="Times New Roman"/>
          <w:color w:val="auto"/>
          <w:sz w:val="28"/>
          <w:szCs w:val="28"/>
        </w:rPr>
      </w:pPr>
    </w:p>
    <w:p w14:paraId="5A5AC4B9">
      <w:pPr>
        <w:spacing w:line="400" w:lineRule="exact"/>
        <w:ind w:right="316" w:rightChars="100"/>
        <w:rPr>
          <w:rFonts w:hint="default" w:ascii="Times New Roman" w:hAnsi="Times New Roman" w:eastAsia="仿宋_GB2312" w:cs="Times New Roman"/>
          <w:color w:val="auto"/>
          <w:sz w:val="28"/>
          <w:szCs w:val="28"/>
        </w:rPr>
      </w:pPr>
    </w:p>
    <w:p w14:paraId="750FC485">
      <w:pPr>
        <w:spacing w:line="400" w:lineRule="exact"/>
        <w:ind w:right="316" w:rightChars="100"/>
        <w:rPr>
          <w:rFonts w:hint="default" w:ascii="Times New Roman" w:hAnsi="Times New Roman" w:eastAsia="仿宋_GB2312" w:cs="Times New Roman"/>
          <w:color w:val="auto"/>
          <w:sz w:val="28"/>
          <w:szCs w:val="28"/>
        </w:rPr>
      </w:pPr>
    </w:p>
    <w:p w14:paraId="63A85C83">
      <w:pPr>
        <w:spacing w:line="400" w:lineRule="exact"/>
        <w:ind w:right="316" w:rightChars="100"/>
        <w:rPr>
          <w:rFonts w:hint="default" w:ascii="Times New Roman" w:hAnsi="Times New Roman" w:eastAsia="仿宋_GB2312" w:cs="Times New Roman"/>
          <w:color w:val="auto"/>
          <w:sz w:val="28"/>
          <w:szCs w:val="28"/>
        </w:rPr>
      </w:pPr>
    </w:p>
    <w:p w14:paraId="581985FB">
      <w:pPr>
        <w:spacing w:line="400" w:lineRule="exact"/>
        <w:ind w:right="316" w:rightChars="100"/>
        <w:rPr>
          <w:rFonts w:hint="default" w:ascii="Times New Roman" w:hAnsi="Times New Roman" w:eastAsia="仿宋_GB2312" w:cs="Times New Roman"/>
          <w:color w:val="auto"/>
          <w:sz w:val="28"/>
          <w:szCs w:val="28"/>
        </w:rPr>
      </w:pPr>
    </w:p>
    <w:p w14:paraId="4097561E">
      <w:pPr>
        <w:spacing w:line="400" w:lineRule="exact"/>
        <w:ind w:right="316" w:rightChars="100"/>
        <w:rPr>
          <w:rFonts w:hint="default" w:ascii="Times New Roman" w:hAnsi="Times New Roman" w:eastAsia="仿宋_GB2312" w:cs="Times New Roman"/>
          <w:color w:val="auto"/>
          <w:sz w:val="28"/>
          <w:szCs w:val="28"/>
        </w:rPr>
      </w:pPr>
    </w:p>
    <w:p w14:paraId="68582FE0">
      <w:pPr>
        <w:spacing w:line="400" w:lineRule="exact"/>
        <w:ind w:right="316" w:rightChars="100"/>
        <w:rPr>
          <w:rFonts w:hint="default" w:ascii="Times New Roman" w:hAnsi="Times New Roman" w:eastAsia="仿宋_GB2312" w:cs="Times New Roman"/>
          <w:color w:val="auto"/>
          <w:sz w:val="28"/>
          <w:szCs w:val="28"/>
        </w:rPr>
      </w:pPr>
    </w:p>
    <w:p w14:paraId="03D34C1E">
      <w:pPr>
        <w:spacing w:line="400" w:lineRule="exact"/>
        <w:ind w:right="316" w:rightChars="100"/>
        <w:rPr>
          <w:rFonts w:hint="default" w:ascii="Times New Roman" w:hAnsi="Times New Roman" w:eastAsia="仿宋_GB2312" w:cs="Times New Roman"/>
          <w:color w:val="auto"/>
          <w:sz w:val="28"/>
          <w:szCs w:val="28"/>
        </w:rPr>
      </w:pPr>
    </w:p>
    <w:p w14:paraId="1579595F">
      <w:pPr>
        <w:spacing w:line="400" w:lineRule="exact"/>
        <w:ind w:right="316" w:rightChars="100"/>
        <w:rPr>
          <w:rFonts w:hint="default" w:ascii="Times New Roman" w:hAnsi="Times New Roman" w:eastAsia="仿宋_GB2312" w:cs="Times New Roman"/>
          <w:color w:val="auto"/>
          <w:sz w:val="28"/>
          <w:szCs w:val="28"/>
        </w:rPr>
      </w:pPr>
    </w:p>
    <w:p w14:paraId="3F51C95A">
      <w:pPr>
        <w:spacing w:line="400" w:lineRule="exact"/>
        <w:ind w:right="316" w:rightChars="100"/>
        <w:rPr>
          <w:rFonts w:hint="default" w:ascii="Times New Roman" w:hAnsi="Times New Roman" w:eastAsia="仿宋_GB2312" w:cs="Times New Roman"/>
          <w:color w:val="auto"/>
          <w:sz w:val="28"/>
          <w:szCs w:val="28"/>
        </w:rPr>
      </w:pPr>
    </w:p>
    <w:p w14:paraId="0CAC74D4">
      <w:pPr>
        <w:spacing w:line="400" w:lineRule="exact"/>
        <w:ind w:right="316" w:rightChars="100"/>
        <w:rPr>
          <w:rFonts w:hint="default" w:ascii="Times New Roman" w:hAnsi="Times New Roman" w:eastAsia="仿宋_GB2312" w:cs="Times New Roman"/>
          <w:color w:val="auto"/>
          <w:sz w:val="28"/>
          <w:szCs w:val="28"/>
        </w:rPr>
      </w:pPr>
    </w:p>
    <w:p w14:paraId="382F117B">
      <w:pPr>
        <w:spacing w:line="400" w:lineRule="exact"/>
        <w:ind w:right="316" w:rightChars="100"/>
        <w:rPr>
          <w:rFonts w:hint="default" w:ascii="Times New Roman" w:hAnsi="Times New Roman" w:eastAsia="仿宋_GB2312" w:cs="Times New Roman"/>
          <w:color w:val="auto"/>
          <w:sz w:val="28"/>
          <w:szCs w:val="28"/>
        </w:rPr>
      </w:pPr>
    </w:p>
    <w:p w14:paraId="4A0A1A4F">
      <w:pPr>
        <w:spacing w:line="400" w:lineRule="exact"/>
        <w:ind w:right="316" w:rightChars="100"/>
        <w:rPr>
          <w:rFonts w:hint="default" w:ascii="Times New Roman" w:hAnsi="Times New Roman" w:eastAsia="仿宋_GB2312" w:cs="Times New Roman"/>
          <w:color w:val="auto"/>
          <w:sz w:val="28"/>
          <w:szCs w:val="28"/>
        </w:rPr>
      </w:pPr>
    </w:p>
    <w:p w14:paraId="519245A6">
      <w:pPr>
        <w:spacing w:line="400" w:lineRule="exact"/>
        <w:ind w:right="316" w:rightChars="100"/>
        <w:rPr>
          <w:rFonts w:hint="default" w:ascii="Times New Roman" w:hAnsi="Times New Roman" w:eastAsia="仿宋_GB2312" w:cs="Times New Roman"/>
          <w:color w:val="auto"/>
          <w:sz w:val="28"/>
          <w:szCs w:val="28"/>
        </w:rPr>
      </w:pPr>
    </w:p>
    <w:p w14:paraId="27F50E6E">
      <w:pPr>
        <w:spacing w:line="400" w:lineRule="exact"/>
        <w:ind w:right="316" w:rightChars="100"/>
        <w:rPr>
          <w:rFonts w:hint="default" w:ascii="Times New Roman" w:hAnsi="Times New Roman" w:eastAsia="仿宋_GB2312" w:cs="Times New Roman"/>
          <w:color w:val="auto"/>
          <w:sz w:val="28"/>
          <w:szCs w:val="28"/>
        </w:rPr>
      </w:pPr>
    </w:p>
    <w:p w14:paraId="0E783FF7">
      <w:pPr>
        <w:spacing w:line="400" w:lineRule="exact"/>
        <w:ind w:right="316" w:rightChars="100"/>
        <w:rPr>
          <w:rFonts w:hint="default" w:ascii="Times New Roman" w:hAnsi="Times New Roman" w:eastAsia="仿宋_GB2312" w:cs="Times New Roman"/>
          <w:color w:val="auto"/>
          <w:sz w:val="28"/>
          <w:szCs w:val="28"/>
        </w:rPr>
      </w:pPr>
    </w:p>
    <w:p w14:paraId="66BB22D9">
      <w:pPr>
        <w:spacing w:line="400" w:lineRule="exact"/>
        <w:ind w:right="316" w:rightChars="100"/>
        <w:rPr>
          <w:rFonts w:hint="default" w:ascii="Times New Roman" w:hAnsi="Times New Roman" w:eastAsia="仿宋_GB2312" w:cs="Times New Roman"/>
          <w:color w:val="auto"/>
          <w:sz w:val="28"/>
          <w:szCs w:val="28"/>
        </w:rPr>
      </w:pPr>
    </w:p>
    <w:p w14:paraId="0AE99E4C">
      <w:pPr>
        <w:spacing w:line="400" w:lineRule="exact"/>
        <w:ind w:right="316" w:rightChars="100"/>
        <w:rPr>
          <w:rFonts w:hint="default" w:ascii="Times New Roman" w:hAnsi="Times New Roman" w:eastAsia="仿宋_GB2312" w:cs="Times New Roman"/>
          <w:color w:val="auto"/>
          <w:sz w:val="28"/>
          <w:szCs w:val="28"/>
        </w:rPr>
      </w:pPr>
    </w:p>
    <w:p w14:paraId="3F0F1F70">
      <w:pPr>
        <w:spacing w:line="400" w:lineRule="exact"/>
        <w:ind w:right="316" w:rightChars="100"/>
        <w:rPr>
          <w:rFonts w:hint="default" w:ascii="Times New Roman" w:hAnsi="Times New Roman" w:eastAsia="仿宋_GB2312" w:cs="Times New Roman"/>
          <w:color w:val="auto"/>
          <w:sz w:val="28"/>
          <w:szCs w:val="28"/>
        </w:rPr>
      </w:pPr>
    </w:p>
    <w:p w14:paraId="276DDC20">
      <w:pPr>
        <w:spacing w:line="400" w:lineRule="exact"/>
        <w:ind w:right="316" w:rightChars="100"/>
        <w:rPr>
          <w:rFonts w:hint="default" w:ascii="Times New Roman" w:hAnsi="Times New Roman" w:eastAsia="仿宋_GB2312" w:cs="Times New Roman"/>
          <w:color w:val="auto"/>
          <w:sz w:val="28"/>
          <w:szCs w:val="28"/>
        </w:rPr>
      </w:pPr>
    </w:p>
    <w:p w14:paraId="71832A9B">
      <w:pPr>
        <w:spacing w:line="400" w:lineRule="exact"/>
        <w:ind w:right="316" w:rightChars="100"/>
        <w:rPr>
          <w:rFonts w:hint="default" w:ascii="Times New Roman" w:hAnsi="Times New Roman" w:eastAsia="仿宋_GB2312" w:cs="Times New Roman"/>
          <w:color w:val="auto"/>
          <w:sz w:val="28"/>
          <w:szCs w:val="28"/>
        </w:rPr>
      </w:pPr>
    </w:p>
    <w:p w14:paraId="0A6F07A5">
      <w:pPr>
        <w:spacing w:line="400" w:lineRule="exact"/>
        <w:ind w:right="316" w:rightChars="100"/>
        <w:rPr>
          <w:rFonts w:hint="default" w:ascii="Times New Roman" w:hAnsi="Times New Roman" w:eastAsia="仿宋_GB2312" w:cs="Times New Roman"/>
          <w:color w:val="auto"/>
          <w:sz w:val="28"/>
          <w:szCs w:val="28"/>
        </w:rPr>
      </w:pPr>
    </w:p>
    <w:p w14:paraId="7E0C4D31">
      <w:pPr>
        <w:spacing w:line="400" w:lineRule="exact"/>
        <w:ind w:right="316" w:rightChars="100"/>
        <w:rPr>
          <w:rFonts w:hint="default" w:ascii="Times New Roman" w:hAnsi="Times New Roman" w:eastAsia="仿宋_GB2312" w:cs="Times New Roman"/>
          <w:color w:val="auto"/>
          <w:sz w:val="28"/>
          <w:szCs w:val="28"/>
        </w:rPr>
      </w:pPr>
    </w:p>
    <w:p w14:paraId="49A07A9C">
      <w:pPr>
        <w:spacing w:line="400" w:lineRule="exact"/>
        <w:ind w:right="316" w:rightChars="100"/>
        <w:rPr>
          <w:rFonts w:hint="default" w:ascii="Times New Roman" w:hAnsi="Times New Roman" w:eastAsia="仿宋_GB2312" w:cs="Times New Roman"/>
          <w:color w:val="auto"/>
          <w:sz w:val="28"/>
          <w:szCs w:val="28"/>
        </w:rPr>
      </w:pPr>
    </w:p>
    <w:p w14:paraId="68406FFD">
      <w:pPr>
        <w:spacing w:line="400" w:lineRule="exact"/>
        <w:ind w:right="316" w:rightChars="100"/>
        <w:rPr>
          <w:rFonts w:hint="default" w:ascii="Times New Roman" w:hAnsi="Times New Roman" w:eastAsia="仿宋_GB2312" w:cs="Times New Roman"/>
          <w:color w:val="auto"/>
          <w:sz w:val="28"/>
          <w:szCs w:val="28"/>
        </w:rPr>
      </w:pPr>
    </w:p>
    <w:p w14:paraId="746DC25B">
      <w:pPr>
        <w:spacing w:line="400" w:lineRule="exact"/>
        <w:ind w:right="316" w:rightChars="100"/>
        <w:rPr>
          <w:rFonts w:hint="default" w:ascii="Times New Roman" w:hAnsi="Times New Roman" w:eastAsia="仿宋_GB2312" w:cs="Times New Roman"/>
          <w:color w:val="auto"/>
          <w:sz w:val="28"/>
          <w:szCs w:val="28"/>
        </w:rPr>
      </w:pPr>
    </w:p>
    <w:p w14:paraId="331E7E76">
      <w:pPr>
        <w:spacing w:line="400" w:lineRule="exact"/>
        <w:ind w:right="316" w:rightChars="100"/>
        <w:rPr>
          <w:rFonts w:hint="default" w:ascii="Times New Roman" w:hAnsi="Times New Roman" w:eastAsia="仿宋_GB2312" w:cs="Times New Roman"/>
          <w:color w:val="auto"/>
          <w:sz w:val="28"/>
          <w:szCs w:val="28"/>
        </w:rPr>
      </w:pPr>
    </w:p>
    <w:p w14:paraId="3CEECA2F">
      <w:pPr>
        <w:spacing w:line="400" w:lineRule="exact"/>
        <w:ind w:right="316" w:rightChars="100"/>
        <w:rPr>
          <w:rFonts w:hint="eastAsia"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582285"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82285" cy="381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3pt;height:0.3pt;width:439.55pt;z-index:251660288;mso-width-relative:page;mso-height-relative:page;" filled="f" stroked="t" coordsize="21600,21600" o:gfxdata="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aFo8dIAAAADAQAADwAAAAAAAAABACAAAAAiAAAAZHJzL2Rvd25y&#10;ZXYueG1sUEsBAhQAFAAAAAgAh07iQA2t0ycEAgAAAAQAAA4AAAAAAAAAAQAgAAAAIQ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抄送：师市生态环境保护综合行政执法支队、生态环境监测站、</w:t>
      </w:r>
      <w:bookmarkStart w:id="0" w:name="_GoBack"/>
      <w:r>
        <w:rPr>
          <w:rFonts w:hint="default" w:ascii="Times New Roman" w:hAnsi="Times New Roman" w:eastAsia="仿宋_GB2312" w:cs="Times New Roman"/>
          <w:color w:val="auto"/>
          <w:sz w:val="28"/>
          <w:szCs w:val="28"/>
        </w:rPr>
        <w:t>胡杨河经济技术开发区应急管理和环境保护局</w:t>
      </w:r>
      <w:bookmarkEnd w:id="0"/>
      <w:r>
        <w:rPr>
          <w:rFonts w:hint="eastAsia" w:ascii="仿宋_GB2312" w:hAnsi="仿宋_GB2312" w:eastAsia="仿宋_GB2312" w:cs="仿宋_GB2312"/>
          <w:color w:val="auto"/>
          <w:sz w:val="28"/>
          <w:szCs w:val="28"/>
        </w:rPr>
        <w:t>。</w:t>
      </w:r>
    </w:p>
    <w:p w14:paraId="23418F4F">
      <w:pPr>
        <w:spacing w:line="600" w:lineRule="exact"/>
        <w:ind w:right="316" w:rightChars="100" w:firstLine="254" w:firstLineChars="100"/>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w:t>新疆生产建设兵团第七师胡杨河市生态环境局</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780A">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FE13E">
                          <w:pPr>
                            <w:pStyle w:val="11"/>
                            <w:ind w:left="320" w:leftChars="100" w:right="320" w:rightChars="100"/>
                            <w:rPr>
                              <w:rStyle w:val="17"/>
                              <w:rFonts w:hint="eastAsia" w:ascii="仿宋_GB2312" w:eastAsia="仿宋_GB2312"/>
                              <w:b/>
                              <w:bCs/>
                              <w:sz w:val="28"/>
                              <w:szCs w:val="28"/>
                            </w:rPr>
                          </w:pPr>
                          <w:r>
                            <w:rPr>
                              <w:rStyle w:val="17"/>
                              <w:rFonts w:hint="eastAsia" w:ascii="仿宋_GB2312" w:eastAsia="仿宋_GB2312"/>
                              <w:sz w:val="28"/>
                              <w:szCs w:val="28"/>
                            </w:rPr>
                            <w:t xml:space="preserve">— </w:t>
                          </w:r>
                          <w:r>
                            <w:rPr>
                              <w:rFonts w:hint="eastAsia" w:ascii="仿宋_GB2312" w:eastAsia="仿宋_GB2312"/>
                              <w:sz w:val="28"/>
                              <w:szCs w:val="28"/>
                            </w:rPr>
                            <w:fldChar w:fldCharType="begin"/>
                          </w:r>
                          <w:r>
                            <w:rPr>
                              <w:rStyle w:val="1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7"/>
                              <w:rFonts w:ascii="仿宋_GB2312" w:eastAsia="仿宋_GB2312"/>
                              <w:sz w:val="28"/>
                              <w:szCs w:val="28"/>
                            </w:rPr>
                            <w:t>1</w:t>
                          </w:r>
                          <w:r>
                            <w:rPr>
                              <w:rFonts w:hint="eastAsia" w:ascii="仿宋_GB2312" w:eastAsia="仿宋_GB2312"/>
                              <w:sz w:val="28"/>
                              <w:szCs w:val="28"/>
                            </w:rPr>
                            <w:fldChar w:fldCharType="end"/>
                          </w:r>
                          <w:r>
                            <w:rPr>
                              <w:rStyle w:val="17"/>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1CFE13E">
                    <w:pPr>
                      <w:pStyle w:val="11"/>
                      <w:ind w:left="320" w:leftChars="100" w:right="320" w:rightChars="100"/>
                      <w:rPr>
                        <w:rStyle w:val="17"/>
                        <w:rFonts w:hint="eastAsia" w:ascii="仿宋_GB2312" w:eastAsia="仿宋_GB2312"/>
                        <w:b/>
                        <w:bCs/>
                        <w:sz w:val="28"/>
                        <w:szCs w:val="28"/>
                      </w:rPr>
                    </w:pPr>
                    <w:r>
                      <w:rPr>
                        <w:rStyle w:val="17"/>
                        <w:rFonts w:hint="eastAsia" w:ascii="仿宋_GB2312" w:eastAsia="仿宋_GB2312"/>
                        <w:sz w:val="28"/>
                        <w:szCs w:val="28"/>
                      </w:rPr>
                      <w:t xml:space="preserve">— </w:t>
                    </w:r>
                    <w:r>
                      <w:rPr>
                        <w:rFonts w:hint="eastAsia" w:ascii="仿宋_GB2312" w:eastAsia="仿宋_GB2312"/>
                        <w:sz w:val="28"/>
                        <w:szCs w:val="28"/>
                      </w:rPr>
                      <w:fldChar w:fldCharType="begin"/>
                    </w:r>
                    <w:r>
                      <w:rPr>
                        <w:rStyle w:val="1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7"/>
                        <w:rFonts w:ascii="仿宋_GB2312" w:eastAsia="仿宋_GB2312"/>
                        <w:sz w:val="28"/>
                        <w:szCs w:val="28"/>
                      </w:rPr>
                      <w:t>1</w:t>
                    </w:r>
                    <w:r>
                      <w:rPr>
                        <w:rFonts w:hint="eastAsia" w:ascii="仿宋_GB2312" w:eastAsia="仿宋_GB2312"/>
                        <w:sz w:val="28"/>
                        <w:szCs w:val="28"/>
                      </w:rPr>
                      <w:fldChar w:fldCharType="end"/>
                    </w:r>
                    <w:r>
                      <w:rPr>
                        <w:rStyle w:val="17"/>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1005">
    <w:pPr>
      <w:pStyle w:val="11"/>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06A1A65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F5A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9A7AC"/>
    <w:multiLevelType w:val="singleLevel"/>
    <w:tmpl w:val="4EB9A7AC"/>
    <w:lvl w:ilvl="0" w:tentative="0">
      <w:start w:val="1"/>
      <w:numFmt w:val="chineseCounting"/>
      <w:suff w:val="nothing"/>
      <w:lvlText w:val="%1、"/>
      <w:lvlJc w:val="left"/>
      <w:rPr>
        <w:rFonts w:hint="eastAsia"/>
      </w:rPr>
    </w:lvl>
  </w:abstractNum>
  <w:abstractNum w:abstractNumId="1">
    <w:nsid w:val="7F401AFB"/>
    <w:multiLevelType w:val="multilevel"/>
    <w:tmpl w:val="7F401AFB"/>
    <w:lvl w:ilvl="0" w:tentative="0">
      <w:start w:val="1"/>
      <w:numFmt w:val="decimal"/>
      <w:pStyle w:val="4"/>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007E248D"/>
    <w:rsid w:val="0011760F"/>
    <w:rsid w:val="003C56A9"/>
    <w:rsid w:val="004964B4"/>
    <w:rsid w:val="004E2243"/>
    <w:rsid w:val="00551627"/>
    <w:rsid w:val="00621C19"/>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853E11"/>
    <w:rsid w:val="01913DF5"/>
    <w:rsid w:val="02B04EBD"/>
    <w:rsid w:val="02E3014B"/>
    <w:rsid w:val="03F16EDB"/>
    <w:rsid w:val="04B77D73"/>
    <w:rsid w:val="05737345"/>
    <w:rsid w:val="06C71389"/>
    <w:rsid w:val="06CC7B06"/>
    <w:rsid w:val="07061550"/>
    <w:rsid w:val="07BE1E2B"/>
    <w:rsid w:val="07E14CFA"/>
    <w:rsid w:val="08EC6D80"/>
    <w:rsid w:val="0994708F"/>
    <w:rsid w:val="09E77F18"/>
    <w:rsid w:val="0BBC2B25"/>
    <w:rsid w:val="0BD75BB1"/>
    <w:rsid w:val="0C571904"/>
    <w:rsid w:val="0CE57E5A"/>
    <w:rsid w:val="0E130163"/>
    <w:rsid w:val="0E61204F"/>
    <w:rsid w:val="100827DD"/>
    <w:rsid w:val="10254A4E"/>
    <w:rsid w:val="10EC054B"/>
    <w:rsid w:val="116003F7"/>
    <w:rsid w:val="128F6BA3"/>
    <w:rsid w:val="12FE7EC7"/>
    <w:rsid w:val="165D3847"/>
    <w:rsid w:val="16793142"/>
    <w:rsid w:val="16B800EE"/>
    <w:rsid w:val="177121A0"/>
    <w:rsid w:val="19622F5E"/>
    <w:rsid w:val="1E460B4D"/>
    <w:rsid w:val="1E7948A6"/>
    <w:rsid w:val="1F3E3D69"/>
    <w:rsid w:val="1FFE4B85"/>
    <w:rsid w:val="201A79C2"/>
    <w:rsid w:val="20783D41"/>
    <w:rsid w:val="21162F81"/>
    <w:rsid w:val="21DD6837"/>
    <w:rsid w:val="22D92D68"/>
    <w:rsid w:val="232E3EB1"/>
    <w:rsid w:val="24057B5F"/>
    <w:rsid w:val="24696853"/>
    <w:rsid w:val="247C78BD"/>
    <w:rsid w:val="250B5DC7"/>
    <w:rsid w:val="256C6F12"/>
    <w:rsid w:val="25B11864"/>
    <w:rsid w:val="260C6FC7"/>
    <w:rsid w:val="266546C4"/>
    <w:rsid w:val="28687E65"/>
    <w:rsid w:val="289E3886"/>
    <w:rsid w:val="291034DE"/>
    <w:rsid w:val="29555B13"/>
    <w:rsid w:val="2A617E2F"/>
    <w:rsid w:val="2B066B68"/>
    <w:rsid w:val="2B665A9B"/>
    <w:rsid w:val="2BA03F96"/>
    <w:rsid w:val="2F130EE6"/>
    <w:rsid w:val="2F234AE5"/>
    <w:rsid w:val="2F2B3664"/>
    <w:rsid w:val="2FEE4162"/>
    <w:rsid w:val="32C5491C"/>
    <w:rsid w:val="33647522"/>
    <w:rsid w:val="338167A7"/>
    <w:rsid w:val="358F67ED"/>
    <w:rsid w:val="35DF4CCC"/>
    <w:rsid w:val="371F1D45"/>
    <w:rsid w:val="38207142"/>
    <w:rsid w:val="38453BBB"/>
    <w:rsid w:val="38C81160"/>
    <w:rsid w:val="3A6A03E3"/>
    <w:rsid w:val="3BA93730"/>
    <w:rsid w:val="3BAC6099"/>
    <w:rsid w:val="3C25479F"/>
    <w:rsid w:val="3CBF7A79"/>
    <w:rsid w:val="3D7076AF"/>
    <w:rsid w:val="3EC1562C"/>
    <w:rsid w:val="3F0E35AF"/>
    <w:rsid w:val="3F4E158E"/>
    <w:rsid w:val="42C21203"/>
    <w:rsid w:val="43236703"/>
    <w:rsid w:val="4419237E"/>
    <w:rsid w:val="4493196E"/>
    <w:rsid w:val="45D948F4"/>
    <w:rsid w:val="47587B93"/>
    <w:rsid w:val="48C45370"/>
    <w:rsid w:val="4AB55994"/>
    <w:rsid w:val="4B9F5BD0"/>
    <w:rsid w:val="4C3478F0"/>
    <w:rsid w:val="4CBF17F2"/>
    <w:rsid w:val="4CCA458A"/>
    <w:rsid w:val="4E352B5E"/>
    <w:rsid w:val="50CC6933"/>
    <w:rsid w:val="50CD705E"/>
    <w:rsid w:val="515262F4"/>
    <w:rsid w:val="525474C5"/>
    <w:rsid w:val="52E568E7"/>
    <w:rsid w:val="54210D94"/>
    <w:rsid w:val="54231BA0"/>
    <w:rsid w:val="552A59D6"/>
    <w:rsid w:val="554A4018"/>
    <w:rsid w:val="55940FE6"/>
    <w:rsid w:val="562D5084"/>
    <w:rsid w:val="58726012"/>
    <w:rsid w:val="58E30CBE"/>
    <w:rsid w:val="596F60AE"/>
    <w:rsid w:val="59840FAA"/>
    <w:rsid w:val="5A605F4A"/>
    <w:rsid w:val="5DD57DB7"/>
    <w:rsid w:val="60597AB8"/>
    <w:rsid w:val="609006D2"/>
    <w:rsid w:val="64C86FBA"/>
    <w:rsid w:val="654C1999"/>
    <w:rsid w:val="66BE66CF"/>
    <w:rsid w:val="677F3533"/>
    <w:rsid w:val="68991CEA"/>
    <w:rsid w:val="68A94E70"/>
    <w:rsid w:val="6ADC4BA2"/>
    <w:rsid w:val="6B762AC2"/>
    <w:rsid w:val="6C054650"/>
    <w:rsid w:val="6C711CE5"/>
    <w:rsid w:val="6D272415"/>
    <w:rsid w:val="6DEF55B7"/>
    <w:rsid w:val="6F065AB6"/>
    <w:rsid w:val="6FAB6244"/>
    <w:rsid w:val="70082960"/>
    <w:rsid w:val="70205EFC"/>
    <w:rsid w:val="70787AE6"/>
    <w:rsid w:val="721320EC"/>
    <w:rsid w:val="73323C81"/>
    <w:rsid w:val="7388211F"/>
    <w:rsid w:val="739015EB"/>
    <w:rsid w:val="745A0337"/>
    <w:rsid w:val="74FD75B7"/>
    <w:rsid w:val="754578FB"/>
    <w:rsid w:val="758F4ED9"/>
    <w:rsid w:val="75976C60"/>
    <w:rsid w:val="76DD68F5"/>
    <w:rsid w:val="76FA7D0E"/>
    <w:rsid w:val="77B21B30"/>
    <w:rsid w:val="77B70517"/>
    <w:rsid w:val="780A371A"/>
    <w:rsid w:val="78990D1D"/>
    <w:rsid w:val="79621333"/>
    <w:rsid w:val="798C319D"/>
    <w:rsid w:val="79F35C8E"/>
    <w:rsid w:val="7A85778D"/>
    <w:rsid w:val="7A8C2B0C"/>
    <w:rsid w:val="7D1666BD"/>
    <w:rsid w:val="7D7B4DE1"/>
    <w:rsid w:val="7EB2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qFormat/>
    <w:uiPriority w:val="0"/>
    <w:pPr>
      <w:keepNext/>
      <w:keepLines/>
      <w:numPr>
        <w:ilvl w:val="0"/>
        <w:numId w:val="1"/>
      </w:numPr>
      <w:outlineLvl w:val="0"/>
    </w:pPr>
    <w:rPr>
      <w:b/>
      <w:kern w:val="0"/>
      <w:sz w:val="28"/>
      <w:szCs w:val="28"/>
    </w:rPr>
  </w:style>
  <w:style w:type="paragraph" w:styleId="5">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6">
    <w:name w:val="heading 3"/>
    <w:basedOn w:val="1"/>
    <w:next w:val="1"/>
    <w:qFormat/>
    <w:uiPriority w:val="0"/>
    <w:pPr>
      <w:keepNext/>
      <w:keepLines/>
      <w:spacing w:line="360" w:lineRule="auto"/>
      <w:ind w:firstLine="200" w:firstLineChars="200"/>
      <w:outlineLvl w:val="2"/>
    </w:pPr>
    <w:rPr>
      <w:bCs/>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unhideWhenUsed/>
    <w:qFormat/>
    <w:uiPriority w:val="0"/>
    <w:pPr>
      <w:tabs>
        <w:tab w:val="left" w:pos="2760"/>
      </w:tabs>
      <w:autoSpaceDE w:val="0"/>
      <w:autoSpaceDN w:val="0"/>
    </w:pPr>
    <w:rPr>
      <w:rFonts w:hAnsi="宋体" w:eastAsia="宋体"/>
      <w:color w:val="000000"/>
      <w:sz w:val="24"/>
    </w:rPr>
  </w:style>
  <w:style w:type="paragraph" w:customStyle="1" w:styleId="3">
    <w:name w:val="纯文本1"/>
    <w:basedOn w:val="1"/>
    <w:qFormat/>
    <w:uiPriority w:val="0"/>
    <w:pPr>
      <w:tabs>
        <w:tab w:val="left" w:pos="2760"/>
      </w:tabs>
      <w:adjustRightInd w:val="0"/>
    </w:pPr>
    <w:rPr>
      <w:rFonts w:ascii="宋体" w:hAnsi="Courier New"/>
    </w:rPr>
  </w:style>
  <w:style w:type="paragraph" w:styleId="7">
    <w:name w:val="Normal Indent"/>
    <w:basedOn w:val="1"/>
    <w:qFormat/>
    <w:uiPriority w:val="0"/>
    <w:pPr>
      <w:ind w:firstLine="420" w:firstLineChars="200"/>
    </w:pPr>
    <w:rPr>
      <w:rFonts w:ascii="宋体" w:hAnsi="宋体"/>
    </w:rPr>
  </w:style>
  <w:style w:type="paragraph" w:styleId="8">
    <w:name w:val="index 5"/>
    <w:basedOn w:val="1"/>
    <w:next w:val="1"/>
    <w:qFormat/>
    <w:uiPriority w:val="0"/>
    <w:pPr>
      <w:ind w:left="800" w:leftChars="800"/>
    </w:pPr>
  </w:style>
  <w:style w:type="paragraph" w:styleId="9">
    <w:name w:val="Body Text"/>
    <w:basedOn w:val="1"/>
    <w:qFormat/>
    <w:uiPriority w:val="0"/>
    <w:rPr>
      <w:rFonts w:eastAsia="华文中宋"/>
      <w:b/>
      <w:bCs/>
      <w:w w:val="90"/>
      <w:sz w:val="44"/>
    </w:rPr>
  </w:style>
  <w:style w:type="paragraph" w:styleId="10">
    <w:name w:val="Block Text"/>
    <w:basedOn w:val="1"/>
    <w:qFormat/>
    <w:uiPriority w:val="99"/>
    <w:pPr>
      <w:spacing w:line="480" w:lineRule="exact"/>
      <w:ind w:left="-125" w:right="-56" w:firstLine="570"/>
    </w:pPr>
    <w:rPr>
      <w:sz w:val="28"/>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footnote text"/>
    <w:basedOn w:val="1"/>
    <w:unhideWhenUsed/>
    <w:qFormat/>
    <w:uiPriority w:val="99"/>
    <w:pPr>
      <w:snapToGrid w:val="0"/>
      <w:jc w:val="left"/>
    </w:pPr>
    <w:rPr>
      <w:rFonts w:ascii="Calibri" w:hAnsi="Calibri" w:eastAsia="仿宋" w:cs="Times New Roman"/>
      <w:sz w:val="18"/>
      <w:szCs w:val="18"/>
    </w:rPr>
  </w:style>
  <w:style w:type="paragraph" w:styleId="14">
    <w:name w:val="Body Text 2"/>
    <w:basedOn w:val="1"/>
    <w:unhideWhenUsed/>
    <w:qFormat/>
    <w:uiPriority w:val="99"/>
    <w:pPr>
      <w:spacing w:after="120" w:line="480" w:lineRule="auto"/>
    </w:pPr>
  </w:style>
  <w:style w:type="character" w:styleId="17">
    <w:name w:val="page number"/>
    <w:basedOn w:val="16"/>
    <w:qFormat/>
    <w:uiPriority w:val="0"/>
  </w:style>
  <w:style w:type="paragraph" w:customStyle="1" w:styleId="18">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9">
    <w:name w:val="Char"/>
    <w:basedOn w:val="1"/>
    <w:qFormat/>
    <w:uiPriority w:val="0"/>
    <w:rPr>
      <w:rFonts w:cs="宋体"/>
      <w:sz w:val="28"/>
    </w:rPr>
  </w:style>
  <w:style w:type="paragraph" w:customStyle="1" w:styleId="20">
    <w:name w:val="YJ正文*"/>
    <w:basedOn w:val="1"/>
    <w:qFormat/>
    <w:uiPriority w:val="0"/>
    <w:pPr>
      <w:spacing w:line="500" w:lineRule="exact"/>
      <w:ind w:firstLine="200" w:firstLineChars="200"/>
      <w:jc w:val="both"/>
    </w:pPr>
    <w:rPr>
      <w:rFonts w:ascii="等线" w:hAnsi="等线" w:eastAsia="宋体"/>
      <w:sz w:val="24"/>
    </w:rPr>
  </w:style>
  <w:style w:type="paragraph" w:customStyle="1" w:styleId="21">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2363</Words>
  <Characters>2521</Characters>
  <Lines>11</Lines>
  <Paragraphs>3</Paragraphs>
  <TotalTime>13</TotalTime>
  <ScaleCrop>false</ScaleCrop>
  <LinksUpToDate>false</LinksUpToDate>
  <CharactersWithSpaces>2558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风的自由</cp:lastModifiedBy>
  <cp:lastPrinted>2025-09-09T09:37:27Z</cp:lastPrinted>
  <dcterms:modified xsi:type="dcterms:W3CDTF">2025-09-09T10:24:15Z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12D08704421541FC81D9B5A9AC38A68F_13</vt:lpwstr>
  </property>
  <property fmtid="{D5CDD505-2E9C-101B-9397-08002B2CF9AE}" pid="4" name="KSOTemplateDocerSaveRecord">
    <vt:lpwstr>eyJoZGlkIjoiODBjNzYxYmIzOWJkMDlmNzJmZjdjMmNkNDkzMGYxZDkiLCJ1c2VySWQiOiI1NTE5NjI2NTYifQ==</vt:lpwstr>
  </property>
</Properties>
</file>