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《工伤预防费使用管理暂行办法》</w:t>
      </w: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人社部规〔2017〕13号</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各省、自治区、直辖市及新疆生产建设兵团人力资源社会保障厅（局）、财政（财务）厅（局）、卫生计生委、安全监管局：</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坚持以人为本，保障职工的生命安全和健康，根据《工伤保险条例》规定，人力资源社会保障部会同财政部、卫生计生委、安全监管总局制定了《工伤预防费使用管理暂行办法》（以下简称《办法》），现印发给你们，请结合实际认真贯彻落实。</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人力资源社会保障、财政、卫生计生、安全监管等部门要根据《办法》要求，高度重视、认真组织、密切配合，结合本地区工作实际，围绕工伤预防工作目标，细化落实政策措施，制定具体实施方案，建立工作机制，做好政策宣传解读，加强预防费使用监管，积极稳妥推进工伤预防工作。</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国家卫生计生委</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国家安全监管总局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2017年8月17日</w:t>
      </w:r>
      <w:bookmarkStart w:id="0" w:name="办法全文"/>
      <w:bookmarkEnd w:id="0"/>
      <w:bookmarkStart w:id="1" w:name="sub22742805_2"/>
      <w:bookmarkEnd w:id="1"/>
      <w:bookmarkStart w:id="2" w:name="2"/>
      <w:bookmarkEnd w:id="2"/>
    </w:p>
    <w:p>
      <w:pPr>
        <w:jc w:val="both"/>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工伤预防费使用管理暂行办法</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为更好地保障职工的生命安全和健康，促进用人单位做好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"https://baike.baidu.com/item/%E5%B7%A5%E4%BC%A4"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工伤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预防工作，降低工伤事故伤害和职业病的发生率，规范工伤预防费的使用和管理，根据社会保险法、《工伤保险条例》及相关规定，制定本办法。</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本办法所称工伤预防费是指统筹地区工伤保险基金中依法用于开展工伤预防工作的费用。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工伤预防费使用管理工作由统筹地区人力资源社会保障行政部门会同财政、卫生计生、安全监管行政部门按照各自职责做好相关工作。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工伤预防费用于下列项目的支出：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（一）工伤事故和职业病预防宣传；</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（二）工伤事故和职业病预防培训。</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在保证工伤保险待遇支付能力和储备金留存的前提下，工伤预防费的使用原则上不得超过统筹地区上年度工伤保险基金征缴收入的3%。因工伤预防工作需要，经省级人力资源社会保障部门和财政部门同意，可以适当提高工伤预防费的使用比例。</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第六条 工伤预防费使用实行预算管理。统筹地区社会保险经办机构按照上年度预算执行情况，根据工伤预防工作需要，将工伤预防费列入下一年度工伤保险基金支出预算。</w:t>
      </w:r>
      <w:r>
        <w:rPr>
          <w:rFonts w:hint="eastAsia" w:ascii="仿宋_GB2312" w:hAnsi="仿宋_GB2312" w:eastAsia="仿宋_GB2312" w:cs="仿宋_GB2312"/>
          <w:color w:val="auto"/>
          <w:sz w:val="32"/>
          <w:szCs w:val="32"/>
        </w:rPr>
        <w:t>具体预算编制按照预算法和社会保险基金预算有关规定执行。</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统筹地区人力资源社会保障部门应会同财政、卫生计生、安全监管部门以及本辖区内负有安全生产监督管理职责的部门，根据工伤事故伤害、职业病高发的行业、企业、工种、岗位等情况，</w:t>
      </w:r>
      <w:r>
        <w:rPr>
          <w:rFonts w:hint="eastAsia" w:ascii="仿宋_GB2312" w:hAnsi="仿宋_GB2312" w:eastAsia="仿宋_GB2312" w:cs="仿宋_GB2312"/>
          <w:b/>
          <w:bCs/>
          <w:color w:val="auto"/>
          <w:sz w:val="32"/>
          <w:szCs w:val="32"/>
        </w:rPr>
        <w:t>统筹确定工伤预防的重点领域，</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b/>
          <w:bCs/>
          <w:color w:val="auto"/>
          <w:sz w:val="32"/>
          <w:szCs w:val="32"/>
        </w:rPr>
        <w:t>通过适当方式告知社会</w:t>
      </w:r>
      <w:r>
        <w:rPr>
          <w:rFonts w:hint="eastAsia" w:ascii="仿宋_GB2312" w:hAnsi="仿宋_GB2312" w:eastAsia="仿宋_GB2312" w:cs="仿宋_GB2312"/>
          <w:color w:val="auto"/>
          <w:sz w:val="32"/>
          <w:szCs w:val="32"/>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统筹地区行业协会和大中型企业等社会组织根据本地区确定的工伤预防重点领域，于每年工伤保险基金预算编制前提出下一年拟开展的工伤预防项目,编制项目实施方案和绩效目标，向统筹地区的人力资源社会保障行政部门申报。</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统筹地区人力资源社会保障部门会同财政、卫生计生、安全监管等部门，根据项目申报情况，结合本地区工伤预防重点领域和工伤保险等工作重点，以及下一年工伤预防费预算编制情况，统筹考虑工伤预防项目的轻重缓急，于</w:t>
      </w:r>
      <w:r>
        <w:rPr>
          <w:rFonts w:hint="eastAsia" w:ascii="仿宋_GB2312" w:hAnsi="仿宋_GB2312" w:eastAsia="仿宋_GB2312" w:cs="仿宋_GB2312"/>
          <w:b/>
          <w:bCs/>
          <w:color w:val="auto"/>
          <w:sz w:val="32"/>
          <w:szCs w:val="32"/>
        </w:rPr>
        <w:t>每年10月底前确定纳入下一年度的工伤预防项目并向社会公开。</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列入计划的工伤预防项目实施周期最长不超过2年。</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纳入年度计划的工伤预防实施项目，原则上由提出项目的行业协会和大中型企业等社会组织负责组织实施。</w:t>
      </w:r>
    </w:p>
    <w:p>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行业协会和大中型企业等社会组织根据项目实际情况，可直接实施或</w:t>
      </w:r>
      <w:r>
        <w:rPr>
          <w:rFonts w:hint="eastAsia" w:ascii="仿宋_GB2312" w:hAnsi="仿宋_GB2312" w:eastAsia="仿宋_GB2312" w:cs="仿宋_GB2312"/>
          <w:b w:val="0"/>
          <w:bCs w:val="0"/>
          <w:color w:val="auto"/>
          <w:sz w:val="32"/>
          <w:szCs w:val="32"/>
        </w:rPr>
        <w:t>委托第三方机构实施。直接实施的，应当与社会保险经办机构签订服务协议。委托第三方机构实施的，应当参照政府采购法和招投标法规定的程序，选择具备相应条件的社会、经济组织以及医疗卫生机构提供工伤预防服务，并与其签订服务合同，明确双方的权利义务。服务协议、服务合同应报统筹地区人力资源社会保障部门备案。</w:t>
      </w:r>
    </w:p>
    <w:p>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面向社会和中小微企业的工伤预</w:t>
      </w:r>
      <w:bookmarkStart w:id="7" w:name="_GoBack"/>
      <w:bookmarkEnd w:id="7"/>
      <w:r>
        <w:rPr>
          <w:rFonts w:hint="eastAsia" w:ascii="仿宋_GB2312" w:hAnsi="仿宋_GB2312" w:eastAsia="仿宋_GB2312" w:cs="仿宋_GB2312"/>
          <w:b w:val="0"/>
          <w:bCs w:val="0"/>
          <w:color w:val="auto"/>
          <w:sz w:val="32"/>
          <w:szCs w:val="32"/>
        </w:rPr>
        <w:t>防项目，可由人力资源社会保障、卫生计生、安全监管部门参照政府采购法等相关规定，从具备相应条件的社会、经济组织以及医疗卫生机构中选择提供工伤预防服务的机构，推动组织项目实施。</w:t>
      </w:r>
    </w:p>
    <w:p>
      <w:pPr>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参照政府采购法实施的工伤预防项目，其费用低于采购限额标准的，可协议确定服务机构。具体办法由人力资源社会保障部门会同有关部门确定。</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提供工伤预防服务的机构应遵守社会保险法、《工伤保险条例》以及相关法律法规的规定，并具备以下基本条件：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（一）具备相应条件，且从事相关宣传、</w:t>
      </w:r>
      <w:r>
        <w:rPr>
          <w:rFonts w:hint="eastAsia" w:ascii="仿宋_GB2312" w:hAnsi="仿宋_GB2312" w:eastAsia="仿宋_GB2312" w:cs="仿宋_GB2312"/>
          <w:sz w:val="32"/>
          <w:szCs w:val="32"/>
        </w:rPr>
        <w:t>培训业务二年以上并具有良好市场信誉；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（二）具备相应的实施工伤预防项目的专业人员；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（三）有相应的硬件设施和技术手段；</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（四）依法应具备的其他条件。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对确定实施的工伤预防项目，统筹地区社会保险经办机构可以根据服务协议或者服务合同的约定，向具体实施工伤预防项目的组织支付30%—70%预付款。</w:t>
      </w:r>
    </w:p>
    <w:p>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项目实施过程中，提出项目的单位应及时跟踪项目实施进展情况，保证项目有效进行</w:t>
      </w:r>
      <w:r>
        <w:rPr>
          <w:rFonts w:hint="eastAsia" w:ascii="仿宋_GB2312" w:hAnsi="仿宋_GB2312" w:eastAsia="仿宋_GB2312" w:cs="仿宋_GB2312"/>
          <w:b w:val="0"/>
          <w:bCs w:val="0"/>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对于行业协会和大中型企业等社会组织直接实施的项目，由人力资源社会保障部门组织第三方中介机构或聘请相关专家对项目实施情况和绩效目标实现情况进行评估验收，形成评估验收报告；对于委托第三方机构实施的，由提出项目的单位或部门通过适当方式组织评估验收，评</w:t>
      </w:r>
      <w:r>
        <w:rPr>
          <w:rFonts w:hint="eastAsia" w:ascii="仿宋_GB2312" w:hAnsi="仿宋_GB2312" w:eastAsia="仿宋_GB2312" w:cs="仿宋_GB2312"/>
          <w:sz w:val="32"/>
          <w:szCs w:val="32"/>
        </w:rPr>
        <w:t>估验收报告报人力资源社会保障部门备案。评估验收报告作为开展下一年度项目重要依据。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评估验收合格后，由社会保险经办机构支付余款。具体程序按社会保险基金财务制度、工伤保险业务经办管理等规定执行。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社会保险经办机构要定期向社会公布工伤预防项目实施情况和工伤预防费用使用情况，接受参保单位和社会各界的监督。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工伤预防费按本办法规定使用，违反本办法规定使用的，对相关责任人参照社会保险法、《工伤保险条例》等法律法规的规定处理。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工伤预防服务机构提供的服务不符合法律和合同规定、服务质量不高的，三年内不得从事工伤预防项目。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工伤预防服务机构存在欺诈、骗取工伤保险基金行为的，按照有关法律法规等规定进行处理。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统筹地区人力资源社会保障、卫生计生、安全监管等部门应分别对工作场所工伤发生情况、职业病报告情况和安全事故情况进行分析，定期相互通报基本情况。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各省、自治区、直辖市人力资源社会保障行政部门可以结合本地区实际，会同财政、卫生计生和安全监管等行政部门制定具体实施办法。</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企业规模的划分标准按照工业和信息化部、国家统计局、国家发展改革委、财政部《关于印发中小企业划型标准规定的通知》（工信部联企业〔2011〕300号）执行。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本办法自2017年9月1日起施行。 </w:t>
      </w:r>
      <w:bookmarkStart w:id="3" w:name="ref_[1]_22742805"/>
      <w:bookmarkEnd w:id="3"/>
    </w:p>
    <w:p>
      <w:pPr>
        <w:jc w:val="left"/>
        <w:rPr>
          <w:rFonts w:hint="eastAsia" w:ascii="仿宋_GB2312" w:hAnsi="仿宋_GB2312" w:eastAsia="仿宋_GB2312" w:cs="仿宋_GB2312"/>
          <w:sz w:val="32"/>
          <w:szCs w:val="32"/>
        </w:rPr>
      </w:pPr>
      <w:bookmarkStart w:id="4" w:name="内容解读"/>
      <w:bookmarkEnd w:id="4"/>
      <w:bookmarkStart w:id="5" w:name="3"/>
      <w:bookmarkEnd w:id="5"/>
      <w:bookmarkStart w:id="6" w:name="sub22742805_3"/>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5NDg1ZTMyMTBhYjc2MDI2OGRhMzQ1MzVmYjUzYWMifQ=="/>
  </w:docVars>
  <w:rsids>
    <w:rsidRoot w:val="004A15D2"/>
    <w:rsid w:val="004A15D2"/>
    <w:rsid w:val="00704B61"/>
    <w:rsid w:val="11802233"/>
    <w:rsid w:val="1C2522E5"/>
    <w:rsid w:val="210745AC"/>
    <w:rsid w:val="330809CF"/>
    <w:rsid w:val="4982344F"/>
    <w:rsid w:val="7D8A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2493</Words>
  <Characters>2515</Characters>
  <Lines>24</Lines>
  <Paragraphs>6</Paragraphs>
  <TotalTime>159</TotalTime>
  <ScaleCrop>false</ScaleCrop>
  <LinksUpToDate>false</LinksUpToDate>
  <CharactersWithSpaces>2535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2019-12-23T03:56:00Z</dcterms:created>
  <dc:creator>微软用户</dc:creator>
  <cp:lastModifiedBy>张良</cp:lastModifiedBy>
  <cp:lastPrinted>2021-08-02T03:05:00Z</cp:lastPrinted>
  <dcterms:modified xsi:type="dcterms:W3CDTF">2022-09-05T10:33:31Z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E7C0A819E13C4163BD562A9DA7B7C43D</vt:lpwstr>
  </property>
</Properties>
</file>