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widowControl w:val="true"/>
        <w:pBdr/>
        <w:shd w:val="clear" w:color="auto" w:fill="ffffff"/>
        <w:spacing w:line="594" w:lineRule="atLeast"/>
        <w:ind/>
        <w:jc w:val="center"/>
        <w:outlineLvl w:val="0"/>
        <w:rPr>
          <w:rFonts w:ascii="Arial" w:hAnsi="Arial" w:eastAsia="宋体" w:cs="Arial"/>
          <w:b/>
          <w:bCs/>
          <w:color w:val="333333"/>
          <w:sz w:val="36"/>
          <w:szCs w:val="36"/>
        </w:rPr>
      </w:pPr>
      <w:r>
        <w:rPr>
          <w:rFonts w:hint="eastAsia" w:ascii="方正小标宋简体" w:hAnsi="方正小标宋简体" w:eastAsia="方正小标宋简体" w:cs="Arial"/>
          <w:b/>
          <w:bCs/>
          <w:color w:val="333333"/>
          <w:sz w:val="44"/>
          <w:szCs w:val="44"/>
        </w:rPr>
        <w:t xml:space="preserve">计量违法行为处罚细则</w:t>
      </w:r>
      <w:r>
        <w:rPr>
          <w:rFonts w:ascii="Arial" w:hAnsi="Arial" w:eastAsia="宋体" w:cs="Arial"/>
          <w:b/>
          <w:bCs/>
          <w:color w:val="333333"/>
          <w:sz w:val="36"/>
          <w:szCs w:val="36"/>
        </w:rPr>
      </w:r>
    </w:p>
    <w:p>
      <w:pPr>
        <w:widowControl w:val="true"/>
        <w:pBdr/>
        <w:shd w:val="clear" w:color="auto" w:fill="ffffff"/>
        <w:spacing w:line="594" w:lineRule="atLeast"/>
        <w:ind w:firstLine="420"/>
        <w:jc w:val="left"/>
        <w:rPr>
          <w:rFonts w:ascii="微软雅黑" w:hAnsi="微软雅黑" w:eastAsia="微软雅黑" w:cs="宋体"/>
          <w:color w:val="333333"/>
          <w:szCs w:val="21"/>
        </w:rPr>
      </w:pPr>
      <w:r>
        <w:rPr>
          <w:rFonts w:hint="eastAsia" w:ascii="楷体_GB2312" w:hAnsi="微软雅黑" w:eastAsia="楷体_GB2312" w:cs="宋体"/>
          <w:color w:val="333333"/>
          <w:sz w:val="32"/>
          <w:szCs w:val="32"/>
        </w:rPr>
        <w:t xml:space="preserve">（1990年8月25日国家技术监督局令第14号公布</w:t>
      </w:r>
      <w:r>
        <w:rPr>
          <w:rFonts w:hint="eastAsia" w:ascii="楷体_GB2312" w:hAnsi="微软雅黑" w:eastAsia="楷体_GB2312" w:cs="宋体"/>
          <w:color w:val="333333"/>
          <w:sz w:val="32"/>
          <w:szCs w:val="32"/>
        </w:rPr>
        <w:t xml:space="preserve"> </w:t>
      </w:r>
      <w:r>
        <w:rPr>
          <w:rFonts w:hint="eastAsia" w:ascii="楷体_GB2312" w:hAnsi="微软雅黑" w:eastAsia="楷体_GB2312" w:cs="宋体"/>
          <w:color w:val="333333"/>
          <w:sz w:val="32"/>
          <w:szCs w:val="32"/>
        </w:rPr>
        <w:t xml:space="preserve">根据2015年8月25日</w:t>
      </w:r>
      <w:r>
        <w:rPr>
          <w:rFonts w:hint="eastAsia" w:ascii="楷体_GB2312" w:hAnsi="微软雅黑" w:eastAsia="楷体_GB2312" w:cs="宋体"/>
          <w:color w:val="333333"/>
          <w:sz w:val="32"/>
          <w:szCs w:val="32"/>
        </w:rPr>
        <w:t xml:space="preserve">国家质量技术监督检验检疫总局</w:t>
      </w:r>
      <w:r/>
      <w:r>
        <w:rPr>
          <w:rFonts w:hint="eastAsia" w:ascii="楷体_GB2312" w:hAnsi="微软雅黑" w:eastAsia="楷体_GB2312" w:cs="宋体"/>
          <w:color w:val="333333"/>
          <w:sz w:val="32"/>
          <w:szCs w:val="32"/>
        </w:rPr>
        <w:t xml:space="preserve">令第166号第一次修订</w:t>
      </w:r>
      <w:r>
        <w:rPr>
          <w:rFonts w:hint="eastAsia" w:ascii="楷体_GB2312" w:hAnsi="微软雅黑" w:eastAsia="楷体_GB2312" w:cs="宋体"/>
          <w:color w:val="333333"/>
          <w:sz w:val="32"/>
          <w:szCs w:val="32"/>
        </w:rPr>
        <w:t xml:space="preserve"> </w:t>
      </w:r>
      <w:r>
        <w:rPr>
          <w:rFonts w:hint="eastAsia" w:ascii="楷体_GB2312" w:hAnsi="微软雅黑" w:eastAsia="楷体_GB2312" w:cs="宋体"/>
          <w:color w:val="333333"/>
          <w:sz w:val="32"/>
          <w:szCs w:val="32"/>
        </w:rPr>
        <w:t xml:space="preserve">根据2022年9月29日国家市场监督管理总局令第61号第二次修订）</w:t>
      </w:r>
      <w:bookmarkStart w:id="0" w:name="_GoBack"/>
      <w:r/>
      <w:bookmarkEnd w:id="0"/>
      <w:r/>
      <w:r>
        <w:rPr>
          <w:rFonts w:ascii="微软雅黑" w:hAnsi="微软雅黑" w:eastAsia="微软雅黑" w:cs="宋体"/>
          <w:color w:val="333333"/>
          <w:szCs w:val="21"/>
        </w:rPr>
      </w:r>
    </w:p>
    <w:p>
      <w:pPr>
        <w:widowControl w:val="true"/>
        <w:pBdr/>
        <w:shd w:val="clear" w:color="auto" w:fill="ffffff"/>
        <w:spacing w:line="594" w:lineRule="atLeast"/>
        <w:ind/>
        <w:jc w:val="center"/>
        <w:rPr>
          <w:rFonts w:hint="eastAsia" w:ascii="微软雅黑" w:hAnsi="微软雅黑" w:eastAsia="微软雅黑" w:cs="宋体"/>
          <w:color w:val="333333"/>
          <w:szCs w:val="21"/>
        </w:rPr>
      </w:pPr>
      <w:r>
        <w:rPr>
          <w:rFonts w:hint="eastAsia" w:ascii="Times New Roman" w:hAnsi="Times New Roman" w:eastAsia="微软雅黑" w:cs="Times New Roman"/>
          <w:color w:val="333333"/>
          <w:sz w:val="32"/>
          <w:szCs w:val="32"/>
        </w:rPr>
        <w:t xml:space="preserve"> </w:t>
      </w:r>
      <w:r>
        <w:rPr>
          <w:rFonts w:hint="eastAsia" w:ascii="微软雅黑" w:hAnsi="微软雅黑" w:eastAsia="微软雅黑" w:cs="宋体"/>
          <w:color w:val="333333"/>
          <w:szCs w:val="21"/>
        </w:rPr>
      </w:r>
    </w:p>
    <w:p>
      <w:pPr>
        <w:widowControl w:val="true"/>
        <w:pBdr/>
        <w:shd w:val="clear" w:color="auto" w:fill="ffffff"/>
        <w:spacing w:line="594" w:lineRule="atLeast"/>
        <w:ind/>
        <w:jc w:val="center"/>
        <w:rPr>
          <w:rFonts w:hint="eastAsia" w:ascii="微软雅黑" w:hAnsi="微软雅黑" w:eastAsia="微软雅黑" w:cs="宋体"/>
          <w:color w:val="333333"/>
          <w:szCs w:val="21"/>
        </w:rPr>
      </w:pPr>
      <w:r>
        <w:rPr>
          <w:rFonts w:hint="eastAsia" w:ascii="黑体" w:hAnsi="黑体" w:eastAsia="黑体" w:cs="宋体"/>
          <w:color w:val="333333"/>
          <w:sz w:val="32"/>
          <w:szCs w:val="32"/>
        </w:rPr>
        <w:t xml:space="preserve">第一章　总</w:t>
      </w:r>
      <w:r>
        <w:rPr>
          <w:rFonts w:hint="eastAsia" w:ascii="宋体" w:hAnsi="宋体" w:eastAsia="宋体" w:cs="宋体"/>
          <w:color w:val="333333"/>
          <w:sz w:val="32"/>
          <w:szCs w:val="32"/>
        </w:rPr>
        <w:t xml:space="preserve"> </w:t>
      </w:r>
      <w:r>
        <w:rPr>
          <w:rFonts w:hint="eastAsia" w:ascii="黑体" w:hAnsi="黑体" w:eastAsia="黑体" w:cs="宋体"/>
          <w:color w:val="333333"/>
          <w:sz w:val="32"/>
          <w:szCs w:val="32"/>
        </w:rPr>
        <w:t xml:space="preserve">则</w:t>
      </w:r>
      <w:r>
        <w:rPr>
          <w:rFonts w:hint="eastAsia" w:ascii="微软雅黑" w:hAnsi="微软雅黑" w:eastAsia="微软雅黑" w:cs="宋体"/>
          <w:color w:val="333333"/>
          <w:szCs w:val="21"/>
        </w:rPr>
      </w:r>
    </w:p>
    <w:p>
      <w:pPr>
        <w:widowControl w:val="true"/>
        <w:pBdr/>
        <w:shd w:val="clear" w:color="auto" w:fill="ffffff"/>
        <w:spacing w:line="594" w:lineRule="atLeast"/>
        <w:ind/>
        <w:jc w:val="center"/>
        <w:rPr>
          <w:rFonts w:hint="eastAsia" w:ascii="微软雅黑" w:hAnsi="微软雅黑" w:eastAsia="微软雅黑" w:cs="宋体"/>
          <w:color w:val="333333"/>
          <w:szCs w:val="21"/>
        </w:rPr>
      </w:pPr>
      <w:r>
        <w:rPr>
          <w:rFonts w:hint="eastAsia" w:ascii="Times New Roman" w:hAnsi="Times New Roman" w:eastAsia="微软雅黑" w:cs="Times New Roman"/>
          <w:color w:val="333333"/>
          <w:sz w:val="32"/>
          <w:szCs w:val="32"/>
        </w:rPr>
        <w:t xml:space="preserve"> </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第一条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根据《中华人民共和国计量法》《中华人民共和国计量法实施细则》及有关法律、法规的规定，制定本细则。</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第二条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在中华人民共和国境内，对违反计量法律、法规行为的处罚，适用本细则。</w:t>
      </w:r>
      <w:r>
        <w:rPr>
          <w:rFonts w:hint="eastAsia" w:ascii="微软雅黑" w:hAnsi="微软雅黑" w:eastAsia="微软雅黑" w:cs="宋体"/>
          <w:color w:val="333333"/>
          <w:szCs w:val="21"/>
        </w:rPr>
      </w:r>
    </w:p>
    <w:p>
      <w:pPr>
        <w:widowControl w:val="true"/>
        <w:pBdr/>
        <w:shd w:val="clear" w:color="auto" w:fill="ffffff"/>
        <w:spacing w:line="594" w:lineRule="atLeast"/>
        <w:ind w:firstLine="658"/>
        <w:rPr>
          <w:rFonts w:hint="eastAsia" w:ascii="微软雅黑" w:hAnsi="微软雅黑" w:eastAsia="微软雅黑" w:cs="宋体"/>
          <w:color w:val="333333"/>
          <w:szCs w:val="21"/>
        </w:rPr>
      </w:pPr>
      <w:r>
        <w:rPr>
          <w:rFonts w:hint="eastAsia" w:ascii="黑体" w:hAnsi="黑体" w:eastAsia="黑体" w:cs="宋体"/>
          <w:color w:val="333333"/>
          <w:sz w:val="32"/>
          <w:szCs w:val="32"/>
        </w:rPr>
        <w:t xml:space="preserve">第三条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县级以上地方人民政府计量行政部门负责对违反计量法律、法规的行为执行行政处罚。</w:t>
      </w:r>
      <w:r>
        <w:rPr>
          <w:rFonts w:hint="eastAsia" w:ascii="微软雅黑" w:hAnsi="微软雅黑" w:eastAsia="微软雅黑" w:cs="宋体"/>
          <w:color w:val="333333"/>
          <w:szCs w:val="21"/>
        </w:rPr>
      </w:r>
    </w:p>
    <w:p>
      <w:pPr>
        <w:widowControl w:val="true"/>
        <w:pBdr/>
        <w:shd w:val="clear" w:color="auto" w:fill="ffffff"/>
        <w:spacing w:line="594" w:lineRule="atLeast"/>
        <w:ind w:firstLine="658"/>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法律、法规另有规定的，按法律、法规规定的执行。</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第四条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处理违反计量法律、法规的行为，必须坚持以事实为依据，以法律为准绳，做到事实清楚，证据确凿，适用法律、法规正确，符合规定程序。</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Times New Roman" w:hAnsi="Times New Roman" w:eastAsia="微软雅黑" w:cs="Times New Roman"/>
          <w:color w:val="333333"/>
          <w:sz w:val="32"/>
          <w:szCs w:val="32"/>
        </w:rPr>
        <w:t xml:space="preserve"> </w:t>
      </w:r>
      <w:r>
        <w:rPr>
          <w:rFonts w:hint="eastAsia" w:ascii="微软雅黑" w:hAnsi="微软雅黑" w:eastAsia="微软雅黑" w:cs="宋体"/>
          <w:color w:val="333333"/>
          <w:szCs w:val="21"/>
        </w:rPr>
      </w:r>
    </w:p>
    <w:p>
      <w:pPr>
        <w:widowControl w:val="true"/>
        <w:pBdr/>
        <w:shd w:val="clear" w:color="auto" w:fill="ffffff"/>
        <w:spacing w:line="594" w:lineRule="atLeast"/>
        <w:ind/>
        <w:jc w:val="center"/>
        <w:rPr>
          <w:rFonts w:hint="eastAsia" w:ascii="微软雅黑" w:hAnsi="微软雅黑" w:eastAsia="微软雅黑" w:cs="宋体"/>
          <w:color w:val="333333"/>
          <w:szCs w:val="21"/>
        </w:rPr>
      </w:pPr>
      <w:r>
        <w:rPr>
          <w:rFonts w:hint="eastAsia" w:ascii="黑体" w:hAnsi="黑体" w:eastAsia="黑体" w:cs="宋体"/>
          <w:color w:val="333333"/>
          <w:sz w:val="32"/>
          <w:szCs w:val="32"/>
        </w:rPr>
        <w:t xml:space="preserve">第二章　违反计量法律、法规的行为及处理</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Times New Roman" w:hAnsi="Times New Roman" w:eastAsia="微软雅黑" w:cs="Times New Roman"/>
          <w:color w:val="333333"/>
          <w:sz w:val="32"/>
          <w:szCs w:val="32"/>
        </w:rPr>
        <w:t xml:space="preserve"> </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第五条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违反计量法律、法规使用非法定计量单位的，按以下规定处罚：</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（一）非出版物使用非法定计量单位的，责令其改正。</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（二）出版物使用非法定计量单位的，责令其停止销售，可并处一千元以下罚款。</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第六条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损坏计量基准，或未经国务院计量行政部门批准，随意拆卸、改装计量基准，或自行中断、擅自终止检定工作的，对直接责任人员进行批评教育，给予行政处分；构成犯罪的，依法追究刑事责任。</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第七条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社会公用计量标准，经检查达不到原考核条件的，责令其停止使用，限期整改。</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第八条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部门和企业、事业单位使用的各项最高计量标准，违反计量法律、法规的，按以下规定处罚：</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（一）未取得有关人民政府计量行政部门颁发的计量标准考核证书而开展检定的，责令其停止使用，可并处一千元以下罚款。</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（二）计量标准考核证书有效期满，未经原发证机关复查合格而继续开展检定的，责令其停止使用，限期申请复查。</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（三）考核合格投入使用的计量标准，经检查达不到原考核条件的，责令其停止使用，限期整改。</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第九条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被授权单位违反计量法律、法规的，按以下规定处罚：</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（一）被授权项目经检查达不到原考核条件的，责令其停止检定、测试，限期整改。</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（二）超过授权项目擅自对外进行检定、测试的，责令其改正，停止开展超出授权范围的相关检定、测试活动。</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（三）未经授权机关批准，擅自终止所承担的授权工作，给有关单位造成损失的，责令其赔偿损失。</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第十条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未经有关人民政府计量行政部门授权，擅自对外进行检定、测试的，没收全部违法所得。给有关单位造成损失的，责令其赔偿损失。</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第十一条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使用计量器具违反计量法律、法规的，按以下规定处罚：</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一）社会公用计量标准和部门、企业、事业单位各项最高计量标准，未按照规定申请检定的或超过检定周期而继续使用的，责令其停止使用，可并处五百元以下罚款；经检定不合格而继续使用的，责令其停止使用，可并处一千元以下罚款。</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（二）属于强制检定的工作计量器具，未按照规定申请检定或超过检定周期而继续使用的，责令其停止使用，可并处五百元以下罚款；经检定不合格而继续使用的，责令其停止使用，可并处一千元以下罚款。</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三）属于非强制检定的计量器具，未按照规定自行定期检定或者送其他有权对社会开展检定工作的计量检定机构定期检定的，责令其停止使用，可并处二百元以下罚款；经检定不合格而继续使用的，责令其停止使用，可并处五百元以下罚款。</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（四）在经销活动中，使用非法定计量单位计量器具的，没收该计量器具。</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（五）使用不合格的计量器具给国家或消费者造成损失的，责令赔偿损失，没收计量器具和全部违法所得，可并处二千元以下罚款。</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六）使用以欺骗消费者为目的的计量器具或者破坏计量器具准确度、伪造数据，给国家或消费者造成损失的，责令赔偿损失，没收计量器具和全部违法所得，可并处二千元以下罚款；构成犯罪的，依法追究刑事责任。</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第十二条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进口计量器具，以及外商（含外国制造商、经销商）或其代理人在中国销售计量器具，违反计量法律、法规的，按以下规定处罚：</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一）未经省、自治区、直辖市人民政府计量行政部门批准，进口、销售国务院规定废除的非法定计量单位的计量器具或国务院禁止使用的其他计量器具的，责令其停止进口、销售，没收计量器具和全部违法所得，可并处相当其违法所得百分之十至百分之五十的罚款。</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二）进口、销售列入《中华人民共和国进口计量器具型式审查目录》内的计量器具，未经国务院计量行政部门型式批准的，封存计量器具，责令其补办型式批准手续，没收全部违法所得，可并处相当其进口额或销售额百分之三十以下的罚款。</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第十三条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制造、修理计量器具，违反计量法律、法规的，按以下规定处罚：</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一）未经批准制造国务院规定废除的非法定计量单位的计量器具和国务院禁止使用的其他计量器具的，责令其停止制造、销售，没收计量器具和全部违法所得，可并处相当其违法所得百分之十至百分之五十的罚款。</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（二）制造、销售未经型式批准或样机试验合格的计量器具新产品的，责令其停止制造、销售，封存该种新产品，没收全部违法所得，可并处三千元以下罚款。</w:t>
      </w:r>
      <w:r>
        <w:rPr>
          <w:rFonts w:hint="eastAsia" w:ascii="微软雅黑" w:hAnsi="微软雅黑" w:eastAsia="微软雅黑" w:cs="宋体"/>
          <w:color w:val="333333"/>
          <w:szCs w:val="21"/>
        </w:rPr>
      </w:r>
    </w:p>
    <w:p>
      <w:pPr>
        <w:widowControl w:val="true"/>
        <w:pBdr/>
        <w:shd w:val="clear" w:color="auto" w:fill="ffffff"/>
        <w:spacing w:line="594" w:lineRule="atLeast"/>
        <w:ind w:firstLine="640"/>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三）企业、事业单位制造、修理的计量器具未经出厂检定或经检定不合格而出厂的，责令其停止出厂，没收全部违法所得；情节严重的，可并处三千元以下罚款。个体工商户制造、修理计量器具未经检定或经检定不合格而销售或交付用户使用的，责令其停止制造、修理或者重修、重检，没收全部违法所得；情节严重的，可并处五百元以下的罚款。</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第十四条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制造、修理、销售以欺骗消费者为目的的计量器具的，没收计量器具和全部违法所得，可并处二千元以下罚款；构成犯罪的，对个人或单位直接责任人员，依法追究刑事责任。</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第十五条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销售超过有效期的标准物质的，责令改正；逾期不改正的，处三万元以下罚款。</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第十六条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经营销售残次计量器具零配件的，使用残次计量器具零配件组装、修理计量器具的，责令其停止经营销售，没收残次计量器具零配件及组装的计量器具和全部违法所得，可并处二千元以下的罚款；情节严重的，吊销其营业执照。</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第十七条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伪造、盗用、倒卖检定印、证的，没收其非法检定印、证和全部违法所得，可并处二千元以下罚款；构成犯罪的，依法追究刑事责任。</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第十八条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计量监督管理人员违法失职，情节轻微的，给予行政处分，或者由有关人民政府计量行政部门撤销其计量监督员职务；利用职权收受贿赂、徇私舞弊，构成犯罪的，依法追究刑事责任。</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第十九条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负责计量器具新产品定型鉴定、样机试验的单位，泄漏申请单位提供的样机和技术文件、资料秘密的，按国家有关规定，赔偿申请单位的损失，并给予直接责任人员行政处分；构成犯罪的，依法追究刑事责任。</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第二十条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计量检定人员有下列行为之一的，给予行政处分；构成犯罪的，依法追究刑事责任：</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（一）违反检定规程进行计量检定的；</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（二）使用未经考核合格的计量标准开展检定的；</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（三）未取得计量检定证件进行计量检定的；</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（四）伪造检定数据的。</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第二十一条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计量检定人员出具错误数据，给送检一方造成损失的，由其所在的技术机构赔偿损失；情节轻微的，给予计量检定人员行政处分；构成犯罪的，依法追究其刑事责任。</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第二十二条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执行强制检定的工作计量器具任务的机构无故拖延检定期限的，送检单位可免交检定费；给送检单位造成损失的，应赔偿损失；情节严重的，给予直接责任人员行政处分。</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第二十三条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围攻、报复计量执法人员、检定人员，或以暴力威胁手段阻碍计量执法人员、检定人员执行公务的，提请公安机关或司法部门追究法律责任。</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Times New Roman" w:hAnsi="Times New Roman" w:eastAsia="微软雅黑" w:cs="Times New Roman"/>
          <w:color w:val="333333"/>
          <w:sz w:val="32"/>
          <w:szCs w:val="32"/>
        </w:rPr>
        <w:t xml:space="preserve"> </w:t>
      </w:r>
      <w:r>
        <w:rPr>
          <w:rFonts w:hint="eastAsia" w:ascii="微软雅黑" w:hAnsi="微软雅黑" w:eastAsia="微软雅黑" w:cs="宋体"/>
          <w:color w:val="333333"/>
          <w:szCs w:val="21"/>
        </w:rPr>
      </w:r>
    </w:p>
    <w:p>
      <w:pPr>
        <w:widowControl w:val="true"/>
        <w:pBdr/>
        <w:shd w:val="clear" w:color="auto" w:fill="ffffff"/>
        <w:spacing w:line="594" w:lineRule="atLeast"/>
        <w:ind/>
        <w:jc w:val="center"/>
        <w:rPr>
          <w:rFonts w:hint="eastAsia" w:ascii="微软雅黑" w:hAnsi="微软雅黑" w:eastAsia="微软雅黑" w:cs="宋体"/>
          <w:color w:val="333333"/>
          <w:szCs w:val="21"/>
        </w:rPr>
      </w:pPr>
      <w:r>
        <w:rPr>
          <w:rFonts w:hint="eastAsia" w:ascii="黑体" w:hAnsi="黑体" w:eastAsia="黑体" w:cs="宋体"/>
          <w:color w:val="333333"/>
          <w:sz w:val="32"/>
          <w:szCs w:val="32"/>
        </w:rPr>
        <w:t xml:space="preserve">第三章　附</w:t>
      </w:r>
      <w:r>
        <w:rPr>
          <w:rFonts w:hint="eastAsia" w:ascii="宋体" w:hAnsi="宋体" w:eastAsia="宋体" w:cs="宋体"/>
          <w:color w:val="333333"/>
          <w:sz w:val="32"/>
          <w:szCs w:val="32"/>
        </w:rPr>
        <w:t xml:space="preserve"> </w:t>
      </w:r>
      <w:r>
        <w:rPr>
          <w:rFonts w:hint="eastAsia" w:ascii="黑体" w:hAnsi="黑体" w:eastAsia="黑体" w:cs="宋体"/>
          <w:color w:val="333333"/>
          <w:sz w:val="32"/>
          <w:szCs w:val="32"/>
        </w:rPr>
        <w:t xml:space="preserve">则</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Times New Roman" w:hAnsi="Times New Roman" w:eastAsia="微软雅黑" w:cs="Times New Roman"/>
          <w:color w:val="333333"/>
          <w:sz w:val="32"/>
          <w:szCs w:val="32"/>
        </w:rPr>
        <w:t xml:space="preserve"> </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第二十四条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本细则下列用语的含义是：</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（一）伪造数据是指单位或个人使用合格的计量器具，进行不诚实的测量，出具虚假数据或者定量包装商品实际量与标注量不符的违法行为。</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（二）出版物是指公开或内部发行的，除古籍和文学书籍以外的图书、报纸、期刊，以及除文艺作品外的音像制品。</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（三）非出版物是指公文、统计报表、商品包装物、产品铭牌、说明书、标签标价、票据收据等。</w:t>
      </w:r>
      <w:r>
        <w:rPr>
          <w:rFonts w:hint="eastAsia" w:ascii="微软雅黑" w:hAnsi="微软雅黑" w:eastAsia="微软雅黑" w:cs="宋体"/>
          <w:color w:val="333333"/>
          <w:szCs w:val="21"/>
        </w:rPr>
      </w:r>
    </w:p>
    <w:p>
      <w:pPr>
        <w:widowControl w:val="true"/>
        <w:pBdr/>
        <w:shd w:val="clear" w:color="auto" w:fill="ffffff"/>
        <w:spacing w:line="594" w:lineRule="atLeast"/>
        <w:ind/>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第二十五条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本细则由国家市场监督管理总局负责解释。</w:t>
      </w:r>
      <w:r>
        <w:rPr>
          <w:rFonts w:hint="eastAsia" w:ascii="微软雅黑" w:hAnsi="微软雅黑" w:eastAsia="微软雅黑" w:cs="宋体"/>
          <w:color w:val="333333"/>
          <w:szCs w:val="21"/>
        </w:rPr>
      </w:r>
    </w:p>
    <w:p>
      <w:pPr>
        <w:widowControl w:val="true"/>
        <w:pBdr/>
        <w:shd w:val="clear" w:color="auto" w:fill="ffffff"/>
        <w:spacing/>
        <w:ind/>
        <w:jc w:val="left"/>
        <w:rPr>
          <w:rFonts w:hint="eastAsia" w:ascii="微软雅黑" w:hAnsi="微软雅黑" w:eastAsia="微软雅黑" w:cs="宋体"/>
          <w:color w:val="333333"/>
          <w:szCs w:val="21"/>
        </w:rPr>
      </w:pPr>
      <w:r>
        <w:rPr>
          <w:rFonts w:hint="eastAsia" w:ascii="仿宋_GB2312" w:hAnsi="微软雅黑" w:eastAsia="仿宋_GB2312" w:cs="宋体"/>
          <w:color w:val="333333"/>
          <w:sz w:val="32"/>
          <w:szCs w:val="32"/>
        </w:rPr>
        <w:t xml:space="preserve">　　</w:t>
      </w:r>
      <w:r>
        <w:rPr>
          <w:rFonts w:hint="eastAsia" w:ascii="黑体" w:hAnsi="黑体" w:eastAsia="黑体" w:cs="宋体"/>
          <w:color w:val="333333"/>
          <w:sz w:val="32"/>
          <w:szCs w:val="32"/>
        </w:rPr>
        <w:t xml:space="preserve">第二十六条</w:t>
      </w:r>
      <w:r>
        <w:rPr>
          <w:rFonts w:hint="eastAsia" w:ascii="Times New Roman" w:hAnsi="Times New Roman" w:eastAsia="微软雅黑" w:cs="Times New Roman"/>
          <w:color w:val="333333"/>
          <w:sz w:val="32"/>
          <w:szCs w:val="32"/>
        </w:rPr>
        <w:t xml:space="preserve"> </w:t>
      </w:r>
      <w:r>
        <w:rPr>
          <w:rFonts w:hint="eastAsia" w:ascii="仿宋_GB2312" w:hAnsi="微软雅黑" w:eastAsia="仿宋_GB2312" w:cs="宋体"/>
          <w:color w:val="333333"/>
          <w:sz w:val="32"/>
          <w:szCs w:val="32"/>
        </w:rPr>
        <w:t xml:space="preserve">本细则自发布之日起施行。</w:t>
      </w:r>
      <w:r>
        <w:rPr>
          <w:rFonts w:hint="eastAsia" w:ascii="微软雅黑" w:hAnsi="微软雅黑" w:eastAsia="微软雅黑" w:cs="宋体"/>
          <w:color w:val="333333"/>
          <w:szCs w:val="21"/>
        </w:rPr>
      </w:r>
    </w:p>
    <w:p>
      <w:pPr>
        <w:pBdr/>
        <w:spacing/>
        <w:ind/>
        <w:rPr/>
      </w:pPr>
      <w:r/>
      <w:r/>
    </w:p>
    <w:sectPr>
      <w:headerReference w:type="default" r:id="rId8"/>
      <w:footerReference w:type="default" r:id="rId9"/>
      <w:footnotePr/>
      <w:endnotePr/>
      <w:type w:val="nextPage"/>
      <w:pgSz w:h="16838" w:orient="landscape" w:w="11906"/>
      <w:pgMar w:top="1962" w:right="1474" w:bottom="1848" w:left="1587" w:header="851" w:footer="992" w:gutter="0"/>
      <w:cols w:num="1" w:sep="0" w:space="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panose1 w:val="02010609060101010101"/>
  </w:font>
  <w:font w:name="仿宋_GB2312">
    <w:panose1 w:val="02010609030101010101"/>
  </w:font>
  <w:font w:name="方正小标宋简体">
    <w:panose1 w:val="02010601030101010101"/>
  </w:font>
  <w:font w:name="楷体_GB2312">
    <w:panose1 w:val="02010609030101010101"/>
  </w:font>
  <w:font w:name="仿宋">
    <w:panose1 w:val="02010609060101010101"/>
  </w:font>
  <w:font w:name="微软雅黑">
    <w:panose1 w:val="020B0503020204020204"/>
  </w:font>
  <w:font w:name="Arial">
    <w:panose1 w:val="020B0604020202020204"/>
  </w:font>
  <w:font w:name="等线">
    <w:panose1 w:val="02010600030101010101"/>
  </w:font>
  <w:font w:name="宋体">
    <w:panose1 w:val="02010600030101010101"/>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4"/>
      <w:pBdr>
        <w:left w:val="none" w:color="000000" w:sz="0" w:space="0"/>
      </w:pBdr>
      <w:tabs>
        <w:tab w:val="left" w:leader="none" w:pos="6522"/>
      </w:tabs>
      <w:spacing/>
      <w:ind w:firstLine="6400" w:left="1558"/>
      <w:rPr>
        <w:rFonts w:eastAsia="仿宋"/>
        <w:sz w:val="32"/>
        <w:szCs w:val="48"/>
      </w:rPr>
    </w:pPr>
    <w:r>
      <w:rPr>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63"/>
                            <w:pBdr/>
                            <w:spacing/>
                            <w:ind/>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xml:space="preserve">- 1 -</w:t>
                          </w:r>
                          <w:r>
                            <w:rPr>
                              <w:rFonts w:hint="eastAsia" w:ascii="宋体" w:hAnsi="宋体" w:eastAsia="宋体" w:cs="宋体"/>
                              <w:sz w:val="28"/>
                              <w:szCs w:val="28"/>
                            </w:rPr>
                            <w:fldChar w:fldCharType="end"/>
                          </w:r>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shape 2" o:spid="_x0000_s2" o:spt="202" type="#_x0000_t202" style="position:absolute;z-index:251661312;o:allowoverlap:true;o:allowincell:true;mso-position-horizontal-relative:margin;mso-position-horizontal:outside;mso-position-vertical-relative:text;margin-top:0.00pt;mso-position-vertical:absolute;width:144.00pt;height:144.00pt;mso-wrap-distance-left:9.00pt;mso-wrap-distance-top:0.00pt;mso-wrap-distance-right:9.00pt;mso-wrap-distance-bottom:0.00pt;v-text-anchor:top;visibility:visible;" filled="f" stroked="f" strokeweight="0.50pt">
              <v:textbox inset="0,0,0,0">
                <w:txbxContent>
                  <w:p>
                    <w:pPr>
                      <w:pStyle w:val="763"/>
                      <w:pBdr/>
                      <w:spacing/>
                      <w:ind/>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xml:space="preserve">- 1 -</w:t>
                    </w:r>
                    <w:r>
                      <w:rPr>
                        <w:rFonts w:hint="eastAsia" w:ascii="宋体" w:hAnsi="宋体" w:eastAsia="宋体" w:cs="宋体"/>
                        <w:sz w:val="28"/>
                        <w:szCs w:val="28"/>
                      </w:rPr>
                      <w:fldChar w:fldCharType="end"/>
                    </w:r>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t xml:space="preserve">  </w:t>
    </w:r>
    <w:r>
      <w:rPr>
        <w:rFonts w:eastAsia="仿宋"/>
        <w:sz w:val="32"/>
        <w:szCs w:val="48"/>
      </w:rPr>
    </w:r>
  </w:p>
  <w:p>
    <w:pPr>
      <w:pStyle w:val="764"/>
      <w:pBdr>
        <w:left w:val="none" w:color="000000" w:sz="0" w:space="0"/>
      </w:pBdr>
      <w:spacing/>
      <w:ind w:right="55" w:firstLine="2" w:left="1558"/>
      <w:jc w:val="right"/>
      <w:rPr>
        <w:rFonts w:eastAsia="仿宋"/>
        <w:color w:val="fafafa"/>
        <w:sz w:val="32"/>
        <w:szCs w:val="48"/>
      </w:rPr>
    </w:pPr>
    <w:r>
      <w:rPr>
        <w:color w:val="fafafa"/>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4" name="直接连接符 5"/>
              <wp:cNvGraphicFramePr/>
              <a:graphic xmlns:a="http://schemas.openxmlformats.org/drawingml/2006/main">
                <a:graphicData uri="http://schemas.microsoft.com/office/word/2010/wordprocessingShape">
                  <wps:wsp>
                    <wps:cNvPr id="0" name=""/>
                    <wps:cNvSpPr/>
                    <wps:spPr bwMode="auto">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line id="shape 3" o:spid="_x0000_s3" style="position:absolute;left:0;text-align:left;z-index:251660288;mso-wrap-distance-left:9.00pt;mso-wrap-distance-top:0.00pt;mso-wrap-distance-right:9.00pt;mso-wrap-distance-bottom:0.00pt;visibility:visible;" from="0.0pt,5.8pt" to="442.2pt,6.0pt" filled="f" strokecolor="#005192" strokeweight="1.75pt">
              <v:stroke dashstyle="solid"/>
            </v:line>
          </w:pict>
        </mc:Fallback>
      </mc:AlternateContent>
    </w:r>
    <w:r>
      <w:rPr>
        <w:rFonts w:hint="eastAsia" w:eastAsia="仿宋"/>
        <w:color w:val="fafafa"/>
        <w:sz w:val="32"/>
        <w:szCs w:val="48"/>
      </w:rPr>
      <w:t xml:space="preserve">X</w:t>
    </w:r>
    <w:r>
      <w:rPr>
        <w:rFonts w:eastAsia="仿宋"/>
        <w:color w:val="fafafa"/>
        <w:sz w:val="32"/>
        <w:szCs w:val="48"/>
      </w:rPr>
    </w:r>
  </w:p>
  <w:p>
    <w:pPr>
      <w:pStyle w:val="764"/>
      <w:pBdr>
        <w:left w:val="none" w:color="000000" w:sz="0" w:space="0"/>
      </w:pBdr>
      <w:tabs>
        <w:tab w:val="right" w:leader="none" w:pos="1560"/>
        <w:tab w:val="clear" w:leader="none" w:pos="8306"/>
      </w:tabs>
      <w:spacing/>
      <w:ind w:right="481" w:firstLine="2" w:left="1558"/>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国家市场监督管理</w:t>
    </w:r>
    <w:r>
      <w:rPr>
        <w:rFonts w:hint="eastAsia" w:ascii="宋体" w:hAnsi="宋体" w:eastAsia="宋体" w:cs="宋体"/>
        <w:b/>
        <w:bCs/>
        <w:color w:val="005192"/>
        <w:sz w:val="28"/>
        <w:szCs w:val="44"/>
      </w:rPr>
      <w:t xml:space="preserve">总局发布</w:t>
    </w:r>
    <w:r>
      <w:rPr>
        <w:rFonts w:ascii="宋体" w:hAnsi="宋体" w:eastAsia="宋体" w:cs="宋体"/>
        <w:b/>
        <w:bCs/>
        <w:color w:val="005192"/>
        <w:sz w:val="28"/>
        <w:szCs w:val="44"/>
      </w:rPr>
    </w:r>
  </w:p>
  <w:p>
    <w:pPr>
      <w:pStyle w:val="764"/>
      <w:pBdr>
        <w:left w:val="none" w:color="000000" w:sz="0" w:space="0"/>
      </w:pBdr>
      <w:spacing/>
      <w:ind w:firstLine="5622" w:left="4788"/>
      <w:jc w:val="right"/>
      <w:rPr>
        <w:rFonts w:ascii="宋体" w:hAnsi="宋体" w:eastAsia="宋体" w:cs="宋体"/>
        <w:b/>
        <w:bCs/>
        <w:color w:val="005192"/>
        <w:sz w:val="28"/>
        <w:szCs w:val="44"/>
      </w:rPr>
    </w:pPr>
    <w:r>
      <w:rPr>
        <w:rFonts w:ascii="宋体" w:hAnsi="宋体" w:eastAsia="宋体" w:cs="宋体"/>
        <w:b/>
        <w:bCs/>
        <w:color w:val="005192"/>
        <w:sz w:val="28"/>
        <w:szCs w:val="44"/>
      </w:rPr>
    </w:r>
    <w:r>
      <w:rPr>
        <w:rFonts w:ascii="宋体" w:hAnsi="宋体" w:eastAsia="宋体" w:cs="宋体"/>
        <w:b/>
        <w:bCs/>
        <w:color w:val="005192"/>
        <w:sz w:val="28"/>
        <w:szCs w:val="44"/>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4"/>
      <w:pBdr/>
      <w:spacing/>
      <w:ind/>
      <w:rPr>
        <w:rFonts w:ascii="宋体" w:hAnsi="宋体" w:eastAsia="宋体" w:cs="宋体"/>
        <w:b/>
        <w:bCs/>
        <w:color w:val="005192"/>
        <w:sz w:val="32"/>
      </w:rPr>
    </w:pPr>
    <w:r>
      <w:rPr>
        <w:rFonts w:hint="eastAsia" w:ascii="宋体" w:hAnsi="宋体" w:eastAsia="宋体" w:cs="宋体"/>
        <w:b/>
        <w:bCs/>
        <w:color w:val="005192"/>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1" name="直接连接符 4"/>
              <wp:cNvGraphicFramePr/>
              <a:graphic xmlns:a="http://schemas.openxmlformats.org/drawingml/2006/main">
                <a:graphicData uri="http://schemas.microsoft.com/office/word/2010/wordprocessingShape">
                  <wps:wsp>
                    <wps:cNvPr id="0" name=""/>
                    <wps:cNvSpPr/>
                    <wps:spPr bwMode="auto">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line id="shape 0" o:spid="_x0000_s0" style="position:absolute;left:0;text-align:left;z-index:251659264;mso-wrap-distance-left:9.00pt;mso-wrap-distance-top:0.00pt;mso-wrap-distance-right:9.00pt;mso-wrap-distance-bottom:0.00pt;visibility:visible;" from="-0.3pt,54.3pt" to="442.2pt,54.3pt" filled="f" strokecolor="#005192" strokeweight="1.75pt">
              <v:stroke dashstyle="solid"/>
            </v:line>
          </w:pict>
        </mc:Fallback>
      </mc:AlternateContent>
    </w:r>
    <w:r>
      <w:rPr>
        <w:rFonts w:ascii="宋体" w:hAnsi="宋体" w:eastAsia="宋体" w:cs="宋体"/>
        <w:b/>
        <w:bCs/>
        <w:color w:val="005192"/>
        <w:sz w:val="32"/>
      </w:rPr>
    </w:r>
  </w:p>
  <w:p>
    <w:pPr>
      <w:pStyle w:val="764"/>
      <w:pBdr/>
      <w:spacing/>
      <w:ind/>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g">
          <w:drawing>
            <wp:inline xmlns:wp="http://schemas.openxmlformats.org/drawingml/2006/wordprocessingDrawing" distT="0" distB="0" distL="0" distR="0">
              <wp:extent cx="308610" cy="308610"/>
              <wp:effectExtent l="0" t="0" r="11430" b="11430"/>
              <wp:docPr id="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r/>
                    </pic:nvPicPr>
                    <pic:blipFill>
                      <a:blip r:embed="rId1"/>
                      <a:stretch/>
                    </pic:blipFill>
                    <pic:spPr bwMode="auto">
                      <a:xfrm>
                        <a:off x="0" y="0"/>
                        <a:ext cx="308610" cy="30861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4.30pt;height:24.30pt;mso-wrap-distance-left:0.00pt;mso-wrap-distance-top:0.00pt;mso-wrap-distance-right:0.00pt;mso-wrap-distance-bottom:0.00pt;z-index:1;" stroked="false">
              <v:imagedata r:id="rId1" o:title=""/>
              <o:lock v:ext="edit" rotation="t"/>
            </v:shape>
          </w:pict>
        </mc:Fallback>
      </mc:AlternateContent>
    </w:r>
    <w:r>
      <w:rPr>
        <w:rFonts w:hint="eastAsia" w:ascii="宋体" w:hAnsi="宋体" w:eastAsia="宋体" w:cs="宋体"/>
        <w:b/>
        <w:bCs/>
        <w:color w:val="005192"/>
        <w:sz w:val="32"/>
      </w:rPr>
      <w:t xml:space="preserve">国家市场监督管理总局</w:t>
    </w:r>
    <w:r>
      <w:rPr>
        <w:rFonts w:hint="eastAsia" w:ascii="宋体" w:hAnsi="宋体" w:eastAsia="宋体" w:cs="宋体"/>
        <w:b/>
        <w:bCs/>
        <w:color w:val="005192"/>
        <w:sz w:val="32"/>
        <w:szCs w:val="32"/>
      </w:rPr>
      <w:t xml:space="preserve">规章</w:t>
    </w:r>
    <w:r>
      <w:rPr>
        <w:rFonts w:ascii="宋体" w:hAnsi="宋体" w:eastAsia="宋体" w:cs="宋体"/>
        <w:b/>
        <w:bCs/>
        <w:color w:val="005192"/>
        <w:sz w:val="32"/>
        <w:szCs w:val="3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58"/>
    <w:link w:val="757"/>
    <w:uiPriority w:val="9"/>
    <w:pPr>
      <w:pBdr/>
      <w:spacing/>
      <w:ind/>
    </w:pPr>
    <w:rPr>
      <w:rFonts w:ascii="等线" w:hAnsi="等线" w:eastAsia="等线" w:cs="等线"/>
      <w:sz w:val="40"/>
      <w:szCs w:val="40"/>
    </w:rPr>
  </w:style>
  <w:style w:type="paragraph" w:styleId="15">
    <w:name w:val="Heading 2"/>
    <w:basedOn w:val="756"/>
    <w:next w:val="75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758"/>
    <w:link w:val="15"/>
    <w:uiPriority w:val="9"/>
    <w:pPr>
      <w:pBdr/>
      <w:spacing/>
      <w:ind/>
    </w:pPr>
    <w:rPr>
      <w:rFonts w:ascii="等线" w:hAnsi="等线" w:eastAsia="等线" w:cs="等线"/>
      <w:sz w:val="34"/>
    </w:rPr>
  </w:style>
  <w:style w:type="paragraph" w:styleId="17">
    <w:name w:val="Heading 3"/>
    <w:basedOn w:val="756"/>
    <w:next w:val="75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758"/>
    <w:link w:val="17"/>
    <w:uiPriority w:val="9"/>
    <w:pPr>
      <w:pBdr/>
      <w:spacing/>
      <w:ind/>
    </w:pPr>
    <w:rPr>
      <w:rFonts w:ascii="等线" w:hAnsi="等线" w:eastAsia="等线" w:cs="等线"/>
      <w:sz w:val="30"/>
      <w:szCs w:val="30"/>
    </w:rPr>
  </w:style>
  <w:style w:type="paragraph" w:styleId="19">
    <w:name w:val="Heading 4"/>
    <w:basedOn w:val="756"/>
    <w:next w:val="75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758"/>
    <w:link w:val="19"/>
    <w:uiPriority w:val="9"/>
    <w:pPr>
      <w:pBdr/>
      <w:spacing/>
      <w:ind/>
    </w:pPr>
    <w:rPr>
      <w:rFonts w:ascii="等线" w:hAnsi="等线" w:eastAsia="等线" w:cs="等线"/>
      <w:b/>
      <w:bCs/>
      <w:sz w:val="26"/>
      <w:szCs w:val="26"/>
    </w:rPr>
  </w:style>
  <w:style w:type="paragraph" w:styleId="21">
    <w:name w:val="Heading 5"/>
    <w:basedOn w:val="756"/>
    <w:next w:val="75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758"/>
    <w:link w:val="21"/>
    <w:uiPriority w:val="9"/>
    <w:pPr>
      <w:pBdr/>
      <w:spacing/>
      <w:ind/>
    </w:pPr>
    <w:rPr>
      <w:rFonts w:ascii="等线" w:hAnsi="等线" w:eastAsia="等线" w:cs="等线"/>
      <w:b/>
      <w:bCs/>
      <w:sz w:val="24"/>
      <w:szCs w:val="24"/>
    </w:rPr>
  </w:style>
  <w:style w:type="paragraph" w:styleId="23">
    <w:name w:val="Heading 6"/>
    <w:basedOn w:val="756"/>
    <w:next w:val="75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758"/>
    <w:link w:val="23"/>
    <w:uiPriority w:val="9"/>
    <w:pPr>
      <w:pBdr/>
      <w:spacing/>
      <w:ind/>
    </w:pPr>
    <w:rPr>
      <w:rFonts w:ascii="等线" w:hAnsi="等线" w:eastAsia="等线" w:cs="等线"/>
      <w:b/>
      <w:bCs/>
      <w:sz w:val="22"/>
      <w:szCs w:val="22"/>
    </w:rPr>
  </w:style>
  <w:style w:type="paragraph" w:styleId="25">
    <w:name w:val="Heading 7"/>
    <w:basedOn w:val="756"/>
    <w:next w:val="75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758"/>
    <w:link w:val="25"/>
    <w:uiPriority w:val="9"/>
    <w:pPr>
      <w:pBdr/>
      <w:spacing/>
      <w:ind/>
    </w:pPr>
    <w:rPr>
      <w:rFonts w:ascii="等线" w:hAnsi="等线" w:eastAsia="等线" w:cs="等线"/>
      <w:b/>
      <w:bCs/>
      <w:i/>
      <w:iCs/>
      <w:sz w:val="22"/>
      <w:szCs w:val="22"/>
    </w:rPr>
  </w:style>
  <w:style w:type="paragraph" w:styleId="27">
    <w:name w:val="Heading 8"/>
    <w:basedOn w:val="756"/>
    <w:next w:val="75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758"/>
    <w:link w:val="27"/>
    <w:uiPriority w:val="9"/>
    <w:pPr>
      <w:pBdr/>
      <w:spacing/>
      <w:ind/>
    </w:pPr>
    <w:rPr>
      <w:rFonts w:ascii="等线" w:hAnsi="等线" w:eastAsia="等线" w:cs="等线"/>
      <w:i/>
      <w:iCs/>
      <w:sz w:val="22"/>
      <w:szCs w:val="22"/>
    </w:rPr>
  </w:style>
  <w:style w:type="paragraph" w:styleId="29">
    <w:name w:val="Heading 9"/>
    <w:basedOn w:val="756"/>
    <w:next w:val="75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758"/>
    <w:link w:val="29"/>
    <w:uiPriority w:val="9"/>
    <w:pPr>
      <w:pBdr/>
      <w:spacing/>
      <w:ind/>
    </w:pPr>
    <w:rPr>
      <w:rFonts w:ascii="等线" w:hAnsi="等线" w:eastAsia="等线" w:cs="等线"/>
      <w:i/>
      <w:iCs/>
      <w:sz w:val="21"/>
      <w:szCs w:val="21"/>
    </w:rPr>
  </w:style>
  <w:style w:type="paragraph" w:styleId="33">
    <w:name w:val="No Spacing"/>
    <w:uiPriority w:val="1"/>
    <w:qFormat/>
    <w:pPr>
      <w:pBdr/>
      <w:spacing w:after="0" w:before="0" w:line="240" w:lineRule="auto"/>
      <w:ind/>
    </w:pPr>
  </w:style>
  <w:style w:type="paragraph" w:styleId="34">
    <w:name w:val="Title"/>
    <w:basedOn w:val="756"/>
    <w:next w:val="756"/>
    <w:link w:val="35"/>
    <w:uiPriority w:val="10"/>
    <w:qFormat/>
    <w:pPr>
      <w:pBdr/>
      <w:spacing w:after="200" w:before="300"/>
      <w:ind/>
      <w:contextualSpacing w:val="true"/>
    </w:pPr>
    <w:rPr>
      <w:sz w:val="48"/>
      <w:szCs w:val="48"/>
    </w:rPr>
  </w:style>
  <w:style w:type="character" w:styleId="35">
    <w:name w:val="Title Char"/>
    <w:basedOn w:val="758"/>
    <w:link w:val="34"/>
    <w:uiPriority w:val="10"/>
    <w:pPr>
      <w:pBdr/>
      <w:spacing/>
      <w:ind/>
    </w:pPr>
    <w:rPr>
      <w:sz w:val="48"/>
      <w:szCs w:val="48"/>
    </w:rPr>
  </w:style>
  <w:style w:type="paragraph" w:styleId="36">
    <w:name w:val="Subtitle"/>
    <w:basedOn w:val="756"/>
    <w:next w:val="756"/>
    <w:link w:val="37"/>
    <w:uiPriority w:val="11"/>
    <w:qFormat/>
    <w:pPr>
      <w:pBdr/>
      <w:spacing w:after="200" w:before="200"/>
      <w:ind/>
    </w:pPr>
    <w:rPr>
      <w:sz w:val="24"/>
      <w:szCs w:val="24"/>
    </w:rPr>
  </w:style>
  <w:style w:type="character" w:styleId="37">
    <w:name w:val="Subtitle Char"/>
    <w:basedOn w:val="758"/>
    <w:link w:val="36"/>
    <w:uiPriority w:val="11"/>
    <w:pPr>
      <w:pBdr/>
      <w:spacing/>
      <w:ind/>
    </w:pPr>
    <w:rPr>
      <w:sz w:val="24"/>
      <w:szCs w:val="24"/>
    </w:rPr>
  </w:style>
  <w:style w:type="paragraph" w:styleId="38">
    <w:name w:val="Quote"/>
    <w:basedOn w:val="756"/>
    <w:next w:val="75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56"/>
    <w:next w:val="75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758"/>
    <w:link w:val="764"/>
    <w:uiPriority w:val="99"/>
    <w:pPr>
      <w:pBdr/>
      <w:spacing/>
      <w:ind/>
    </w:pPr>
  </w:style>
  <w:style w:type="character" w:styleId="45">
    <w:name w:val="Footer Char"/>
    <w:basedOn w:val="758"/>
    <w:link w:val="763"/>
    <w:uiPriority w:val="99"/>
    <w:pPr>
      <w:pBdr/>
      <w:spacing/>
      <w:ind/>
    </w:pPr>
  </w:style>
  <w:style w:type="paragraph" w:styleId="46">
    <w:name w:val="Caption"/>
    <w:basedOn w:val="756"/>
    <w:next w:val="756"/>
    <w:uiPriority w:val="35"/>
    <w:semiHidden/>
    <w:unhideWhenUsed/>
    <w:qFormat/>
    <w:pPr>
      <w:pBdr/>
      <w:spacing w:line="276" w:lineRule="auto"/>
      <w:ind/>
    </w:pPr>
    <w:rPr>
      <w:b/>
      <w:bCs/>
      <w:color w:val="4f81bd" w:themeColor="accent1"/>
      <w:sz w:val="18"/>
      <w:szCs w:val="18"/>
    </w:rPr>
  </w:style>
  <w:style w:type="character" w:styleId="47">
    <w:name w:val="Caption Char"/>
    <w:basedOn w:val="46"/>
    <w:link w:val="763"/>
    <w:uiPriority w:val="99"/>
    <w:pPr>
      <w:pBdr/>
      <w:spacing/>
      <w:ind/>
    </w:pPr>
  </w:style>
  <w:style w:type="table" w:styleId="48">
    <w:name w:val="Table Grid"/>
    <w:basedOn w:val="759"/>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75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75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759"/>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75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75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75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759"/>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75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75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75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75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75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75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75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75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75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75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75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75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75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75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75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75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75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75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75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75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759"/>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75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75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75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75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75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75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75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75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75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75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75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75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75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759"/>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75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75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75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75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75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75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759"/>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75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75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75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75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75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75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75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75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75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75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75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75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75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759"/>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75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75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75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75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75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75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75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75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75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75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75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75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75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75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75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75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75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75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75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75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759"/>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75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75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75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75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75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75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759"/>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75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75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75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75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75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75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759"/>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75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148">
    <w:name w:val="List Table 7 Colorful - Accent 2"/>
    <w:basedOn w:val="75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75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75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75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152">
    <w:name w:val="List Table 7 Colorful - Accent 6"/>
    <w:basedOn w:val="75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75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75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75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75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75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75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75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759"/>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759"/>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759"/>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759"/>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759"/>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759"/>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759"/>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759"/>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75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75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75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75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75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75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75">
    <w:name w:val="footnote text"/>
    <w:basedOn w:val="75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758"/>
    <w:uiPriority w:val="99"/>
    <w:unhideWhenUsed/>
    <w:pPr>
      <w:pBdr/>
      <w:spacing/>
      <w:ind/>
    </w:pPr>
    <w:rPr>
      <w:vertAlign w:val="superscript"/>
    </w:rPr>
  </w:style>
  <w:style w:type="paragraph" w:styleId="178">
    <w:name w:val="endnote text"/>
    <w:basedOn w:val="75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758"/>
    <w:uiPriority w:val="99"/>
    <w:semiHidden/>
    <w:unhideWhenUsed/>
    <w:pPr>
      <w:pBdr/>
      <w:spacing/>
      <w:ind/>
    </w:pPr>
    <w:rPr>
      <w:vertAlign w:val="superscript"/>
    </w:rPr>
  </w:style>
  <w:style w:type="paragraph" w:styleId="181">
    <w:name w:val="toc 1"/>
    <w:basedOn w:val="756"/>
    <w:next w:val="756"/>
    <w:uiPriority w:val="39"/>
    <w:unhideWhenUsed/>
    <w:pPr>
      <w:pBdr/>
      <w:spacing w:after="57"/>
      <w:ind w:right="0" w:firstLine="0" w:left="0"/>
    </w:pPr>
  </w:style>
  <w:style w:type="paragraph" w:styleId="182">
    <w:name w:val="toc 2"/>
    <w:basedOn w:val="756"/>
    <w:next w:val="756"/>
    <w:uiPriority w:val="39"/>
    <w:unhideWhenUsed/>
    <w:pPr>
      <w:pBdr/>
      <w:spacing w:after="57"/>
      <w:ind w:right="0" w:firstLine="0" w:left="283"/>
    </w:pPr>
  </w:style>
  <w:style w:type="paragraph" w:styleId="183">
    <w:name w:val="toc 3"/>
    <w:basedOn w:val="756"/>
    <w:next w:val="756"/>
    <w:uiPriority w:val="39"/>
    <w:unhideWhenUsed/>
    <w:pPr>
      <w:pBdr/>
      <w:spacing w:after="57"/>
      <w:ind w:right="0" w:firstLine="0" w:left="567"/>
    </w:pPr>
  </w:style>
  <w:style w:type="paragraph" w:styleId="184">
    <w:name w:val="toc 4"/>
    <w:basedOn w:val="756"/>
    <w:next w:val="756"/>
    <w:uiPriority w:val="39"/>
    <w:unhideWhenUsed/>
    <w:pPr>
      <w:pBdr/>
      <w:spacing w:after="57"/>
      <w:ind w:right="0" w:firstLine="0" w:left="850"/>
    </w:pPr>
  </w:style>
  <w:style w:type="paragraph" w:styleId="185">
    <w:name w:val="toc 5"/>
    <w:basedOn w:val="756"/>
    <w:next w:val="756"/>
    <w:uiPriority w:val="39"/>
    <w:unhideWhenUsed/>
    <w:pPr>
      <w:pBdr/>
      <w:spacing w:after="57"/>
      <w:ind w:right="0" w:firstLine="0" w:left="1134"/>
    </w:pPr>
  </w:style>
  <w:style w:type="paragraph" w:styleId="186">
    <w:name w:val="toc 6"/>
    <w:basedOn w:val="756"/>
    <w:next w:val="756"/>
    <w:uiPriority w:val="39"/>
    <w:unhideWhenUsed/>
    <w:pPr>
      <w:pBdr/>
      <w:spacing w:after="57"/>
      <w:ind w:right="0" w:firstLine="0" w:left="1417"/>
    </w:pPr>
  </w:style>
  <w:style w:type="paragraph" w:styleId="187">
    <w:name w:val="toc 7"/>
    <w:basedOn w:val="756"/>
    <w:next w:val="756"/>
    <w:uiPriority w:val="39"/>
    <w:unhideWhenUsed/>
    <w:pPr>
      <w:pBdr/>
      <w:spacing w:after="57"/>
      <w:ind w:right="0" w:firstLine="0" w:left="1701"/>
    </w:pPr>
  </w:style>
  <w:style w:type="paragraph" w:styleId="188">
    <w:name w:val="toc 8"/>
    <w:basedOn w:val="756"/>
    <w:next w:val="756"/>
    <w:uiPriority w:val="39"/>
    <w:unhideWhenUsed/>
    <w:pPr>
      <w:pBdr/>
      <w:spacing w:after="57"/>
      <w:ind w:right="0" w:firstLine="0" w:left="1984"/>
    </w:pPr>
  </w:style>
  <w:style w:type="paragraph" w:styleId="189">
    <w:name w:val="toc 9"/>
    <w:basedOn w:val="756"/>
    <w:next w:val="75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56"/>
    <w:next w:val="756"/>
    <w:uiPriority w:val="99"/>
    <w:unhideWhenUsed/>
    <w:pPr>
      <w:pBdr/>
      <w:spacing w:after="0" w:afterAutospacing="0"/>
      <w:ind/>
    </w:pPr>
  </w:style>
  <w:style w:type="paragraph" w:styleId="756" w:default="1">
    <w:name w:val="Normal"/>
    <w:qFormat/>
    <w:pPr>
      <w:widowControl w:val="false"/>
      <w:pBdr/>
      <w:spacing/>
      <w:ind/>
      <w:jc w:val="both"/>
    </w:pPr>
    <w:rPr>
      <w:rFonts w:asciiTheme="minorHAnsi" w:hAnsiTheme="minorHAnsi" w:eastAsiaTheme="minorEastAsia" w:cstheme="minorBidi"/>
      <w:sz w:val="21"/>
      <w:szCs w:val="24"/>
    </w:rPr>
  </w:style>
  <w:style w:type="paragraph" w:styleId="757">
    <w:name w:val="Heading 1"/>
    <w:basedOn w:val="756"/>
    <w:link w:val="784"/>
    <w:uiPriority w:val="9"/>
    <w:qFormat/>
    <w:pPr>
      <w:widowControl w:val="true"/>
      <w:pBdr/>
      <w:spacing w:after="100" w:afterAutospacing="1" w:before="100" w:beforeAutospacing="1"/>
      <w:ind/>
      <w:jc w:val="left"/>
      <w:outlineLvl w:val="0"/>
    </w:pPr>
    <w:rPr>
      <w:rFonts w:ascii="宋体" w:hAnsi="宋体" w:eastAsia="宋体" w:cs="宋体"/>
      <w:b/>
      <w:bCs/>
      <w:sz w:val="48"/>
      <w:szCs w:val="48"/>
    </w:rPr>
  </w:style>
  <w:style w:type="character" w:styleId="758" w:default="1">
    <w:name w:val="Default Paragraph Font"/>
    <w:uiPriority w:val="1"/>
    <w:semiHidden/>
    <w:unhideWhenUsed/>
    <w:pPr>
      <w:pBdr/>
      <w:spacing/>
      <w:ind/>
    </w:pPr>
  </w:style>
  <w:style w:type="table" w:styleId="759"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60" w:default="1">
    <w:name w:val="No List"/>
    <w:uiPriority w:val="99"/>
    <w:semiHidden/>
    <w:unhideWhenUsed/>
    <w:pPr>
      <w:pBdr/>
      <w:spacing/>
      <w:ind/>
    </w:pPr>
  </w:style>
  <w:style w:type="paragraph" w:styleId="761">
    <w:name w:val="annotation text"/>
    <w:basedOn w:val="756"/>
    <w:qFormat/>
    <w:pPr>
      <w:pBdr/>
      <w:spacing/>
      <w:ind/>
      <w:jc w:val="left"/>
    </w:pPr>
  </w:style>
  <w:style w:type="paragraph" w:styleId="762">
    <w:name w:val="Balloon Text"/>
    <w:basedOn w:val="756"/>
    <w:link w:val="767"/>
    <w:pPr>
      <w:pBdr/>
      <w:spacing/>
      <w:ind/>
    </w:pPr>
    <w:rPr>
      <w:sz w:val="18"/>
      <w:szCs w:val="18"/>
    </w:rPr>
  </w:style>
  <w:style w:type="paragraph" w:styleId="763">
    <w:name w:val="Footer"/>
    <w:basedOn w:val="756"/>
    <w:qFormat/>
    <w:pPr>
      <w:pBdr/>
      <w:tabs>
        <w:tab w:val="center" w:leader="none" w:pos="4153"/>
        <w:tab w:val="right" w:leader="none" w:pos="8306"/>
      </w:tabs>
      <w:spacing/>
      <w:ind/>
      <w:jc w:val="left"/>
    </w:pPr>
    <w:rPr>
      <w:sz w:val="18"/>
    </w:rPr>
  </w:style>
  <w:style w:type="paragraph" w:styleId="764">
    <w:name w:val="Header"/>
    <w:basedOn w:val="756"/>
    <w:qFormat/>
    <w:pPr>
      <w:pBdr>
        <w:top w:val="none" w:color="000000" w:sz="0" w:space="1"/>
        <w:left w:val="none" w:color="000000" w:sz="0" w:space="4"/>
        <w:bottom w:val="none" w:color="000000" w:sz="0" w:space="1"/>
        <w:right w:val="none" w:color="000000" w:sz="0" w:space="4"/>
      </w:pBdr>
      <w:tabs>
        <w:tab w:val="center" w:leader="none" w:pos="4153"/>
        <w:tab w:val="right" w:leader="none" w:pos="8306"/>
      </w:tabs>
      <w:spacing/>
      <w:ind/>
    </w:pPr>
    <w:rPr>
      <w:sz w:val="18"/>
    </w:rPr>
  </w:style>
  <w:style w:type="character" w:styleId="765">
    <w:name w:val="FollowedHyperlink"/>
    <w:basedOn w:val="758"/>
    <w:pPr>
      <w:pBdr/>
      <w:spacing/>
      <w:ind/>
    </w:pPr>
    <w:rPr>
      <w:color w:val="2b84b5"/>
    </w:rPr>
  </w:style>
  <w:style w:type="character" w:styleId="766">
    <w:name w:val="Hyperlink"/>
    <w:basedOn w:val="758"/>
    <w:pPr>
      <w:pBdr/>
      <w:spacing/>
      <w:ind/>
    </w:pPr>
    <w:rPr>
      <w:rFonts w:hint="eastAsia" w:ascii="微软雅黑" w:hAnsi="微软雅黑" w:eastAsia="微软雅黑" w:cs="微软雅黑"/>
      <w:color w:val="0000ff"/>
      <w:u w:val="none"/>
    </w:rPr>
  </w:style>
  <w:style w:type="character" w:styleId="767" w:customStyle="1">
    <w:name w:val="批注框文本 Char"/>
    <w:basedOn w:val="758"/>
    <w:link w:val="762"/>
    <w:qFormat/>
    <w:pPr>
      <w:pBdr/>
      <w:spacing/>
      <w:ind/>
    </w:pPr>
    <w:rPr>
      <w:rFonts w:asciiTheme="minorHAnsi" w:hAnsiTheme="minorHAnsi" w:eastAsiaTheme="minorEastAsia" w:cstheme="minorBidi"/>
      <w:sz w:val="18"/>
      <w:szCs w:val="18"/>
    </w:rPr>
  </w:style>
  <w:style w:type="paragraph" w:styleId="768">
    <w:name w:val="List Paragraph"/>
    <w:basedOn w:val="756"/>
    <w:uiPriority w:val="99"/>
    <w:unhideWhenUsed/>
    <w:pPr>
      <w:pBdr/>
      <w:spacing/>
      <w:ind w:firstLine="420"/>
    </w:pPr>
  </w:style>
  <w:style w:type="character" w:styleId="769" w:customStyle="1">
    <w:name w:val="noline"/>
    <w:basedOn w:val="758"/>
    <w:pPr>
      <w:pBdr/>
      <w:spacing/>
      <w:ind/>
    </w:pPr>
  </w:style>
  <w:style w:type="character" w:styleId="770" w:customStyle="1">
    <w:name w:val="hover54"/>
    <w:basedOn w:val="758"/>
    <w:pPr>
      <w:pBdr/>
      <w:spacing/>
      <w:ind/>
    </w:pPr>
    <w:rPr>
      <w:color w:val="025291"/>
    </w:rPr>
  </w:style>
  <w:style w:type="character" w:styleId="771" w:customStyle="1">
    <w:name w:val="hover55"/>
    <w:basedOn w:val="758"/>
    <w:pPr>
      <w:pBdr/>
      <w:spacing/>
      <w:ind/>
    </w:pPr>
    <w:rPr>
      <w:color w:val="2b84b5"/>
    </w:rPr>
  </w:style>
  <w:style w:type="character" w:styleId="772" w:customStyle="1">
    <w:name w:val="hover56"/>
    <w:basedOn w:val="758"/>
    <w:pPr>
      <w:pBdr/>
      <w:spacing/>
      <w:ind/>
    </w:pPr>
    <w:rPr>
      <w:color w:val="d52222"/>
    </w:rPr>
  </w:style>
  <w:style w:type="character" w:styleId="773" w:customStyle="1">
    <w:name w:val="place"/>
    <w:basedOn w:val="758"/>
    <w:pPr>
      <w:pBdr/>
      <w:spacing/>
      <w:ind/>
    </w:pPr>
  </w:style>
  <w:style w:type="character" w:styleId="774" w:customStyle="1">
    <w:name w:val="place1"/>
    <w:basedOn w:val="758"/>
    <w:pPr>
      <w:pBdr/>
      <w:spacing/>
      <w:ind/>
    </w:pPr>
    <w:rPr>
      <w:rFonts w:ascii="微软雅黑" w:hAnsi="微软雅黑" w:eastAsia="微软雅黑" w:cs="微软雅黑"/>
      <w:color w:val="888888"/>
      <w:sz w:val="25"/>
      <w:szCs w:val="25"/>
    </w:rPr>
  </w:style>
  <w:style w:type="character" w:styleId="775" w:customStyle="1">
    <w:name w:val="place2"/>
    <w:basedOn w:val="758"/>
    <w:pPr>
      <w:pBdr/>
      <w:spacing/>
      <w:ind/>
    </w:pPr>
  </w:style>
  <w:style w:type="character" w:styleId="776" w:customStyle="1">
    <w:name w:val="place3"/>
    <w:basedOn w:val="758"/>
    <w:pPr>
      <w:pBdr/>
      <w:spacing/>
      <w:ind/>
    </w:pPr>
  </w:style>
  <w:style w:type="character" w:styleId="777" w:customStyle="1">
    <w:name w:val="file"/>
    <w:basedOn w:val="758"/>
    <w:pPr>
      <w:pBdr/>
      <w:spacing/>
      <w:ind/>
    </w:pPr>
    <w:rPr>
      <w:color w:val="4d4d4d"/>
      <w:sz w:val="21"/>
      <w:szCs w:val="21"/>
    </w:rPr>
  </w:style>
  <w:style w:type="character" w:styleId="778" w:customStyle="1">
    <w:name w:val="folder"/>
    <w:basedOn w:val="758"/>
    <w:pPr>
      <w:pBdr/>
      <w:spacing/>
      <w:ind/>
    </w:pPr>
  </w:style>
  <w:style w:type="character" w:styleId="779" w:customStyle="1">
    <w:name w:val="folder1"/>
    <w:basedOn w:val="758"/>
    <w:pPr>
      <w:pBdr/>
      <w:spacing/>
      <w:ind/>
    </w:pPr>
    <w:rPr>
      <w:color w:val="4d4d4d"/>
      <w:sz w:val="21"/>
      <w:szCs w:val="21"/>
    </w:rPr>
  </w:style>
  <w:style w:type="paragraph" w:styleId="780">
    <w:name w:val="Normal (Web)"/>
    <w:basedOn w:val="756"/>
    <w:uiPriority w:val="99"/>
    <w:unhideWhenUsed/>
    <w:pPr>
      <w:widowControl w:val="true"/>
      <w:pBdr/>
      <w:spacing w:after="100" w:afterAutospacing="1" w:before="100" w:beforeAutospacing="1"/>
      <w:ind/>
      <w:jc w:val="left"/>
    </w:pPr>
    <w:rPr>
      <w:rFonts w:ascii="宋体" w:hAnsi="宋体" w:eastAsia="宋体" w:cs="宋体"/>
      <w:sz w:val="24"/>
    </w:rPr>
  </w:style>
  <w:style w:type="character" w:styleId="781">
    <w:name w:val="Strong"/>
    <w:basedOn w:val="758"/>
    <w:uiPriority w:val="22"/>
    <w:qFormat/>
    <w:pPr>
      <w:pBdr/>
      <w:spacing/>
      <w:ind/>
    </w:pPr>
    <w:rPr>
      <w:b/>
      <w:bCs/>
    </w:rPr>
  </w:style>
  <w:style w:type="paragraph" w:styleId="782">
    <w:name w:val="Plain Text"/>
    <w:basedOn w:val="756"/>
    <w:link w:val="783"/>
    <w:uiPriority w:val="99"/>
    <w:unhideWhenUsed/>
    <w:pPr>
      <w:widowControl w:val="true"/>
      <w:pBdr/>
      <w:spacing w:after="100" w:afterAutospacing="1" w:before="100" w:beforeAutospacing="1"/>
      <w:ind/>
      <w:jc w:val="left"/>
    </w:pPr>
    <w:rPr>
      <w:rFonts w:ascii="宋体" w:hAnsi="宋体" w:eastAsia="宋体" w:cs="宋体"/>
      <w:sz w:val="24"/>
    </w:rPr>
  </w:style>
  <w:style w:type="character" w:styleId="783" w:customStyle="1">
    <w:name w:val="纯文本 Char"/>
    <w:basedOn w:val="758"/>
    <w:link w:val="782"/>
    <w:uiPriority w:val="99"/>
    <w:pPr>
      <w:pBdr/>
      <w:spacing/>
      <w:ind/>
    </w:pPr>
    <w:rPr>
      <w:rFonts w:ascii="宋体" w:hAnsi="宋体" w:cs="宋体"/>
      <w:sz w:val="24"/>
      <w:szCs w:val="24"/>
    </w:rPr>
  </w:style>
  <w:style w:type="character" w:styleId="784" w:customStyle="1">
    <w:name w:val="标题 1 Char"/>
    <w:basedOn w:val="758"/>
    <w:link w:val="757"/>
    <w:uiPriority w:val="9"/>
    <w:pPr>
      <w:pBdr/>
      <w:spacing/>
      <w:ind/>
    </w:pPr>
    <w:rPr>
      <w:rFonts w:ascii="宋体" w:hAnsi="宋体" w:cs="宋体"/>
      <w:b/>
      <w:bCs/>
      <w:sz w:val="48"/>
      <w:szCs w:val="48"/>
    </w:rPr>
  </w:style>
  <w:style w:type="paragraph" w:styleId="785" w:customStyle="1">
    <w:name w:val="p"/>
    <w:basedOn w:val="756"/>
    <w:pPr>
      <w:widowControl w:val="true"/>
      <w:pBdr/>
      <w:spacing w:after="100" w:afterAutospacing="1" w:before="100" w:beforeAutospacing="1"/>
      <w:ind/>
      <w:jc w:val="left"/>
    </w:pPr>
    <w:rPr>
      <w:rFonts w:ascii="宋体" w:hAnsi="宋体" w:eastAsia="宋体" w:cs="宋体"/>
      <w:sz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Company>Home</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匿名</cp:lastModifiedBy>
  <cp:revision>29</cp:revision>
  <dcterms:created xsi:type="dcterms:W3CDTF">2021-09-09T02:41:00Z</dcterms:created>
  <dcterms:modified xsi:type="dcterms:W3CDTF">2025-06-25T05:24:08Z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