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bookmarkStart w:id="0" w:name="_GoBack"/>
      <w:r>
        <w:rPr>
          <w:rFonts w:hint="eastAsia" w:ascii="宋体" w:hAnsi="宋体" w:eastAsia="宋体" w:cs="宋体"/>
          <w:b/>
          <w:bCs/>
          <w:i w:val="0"/>
          <w:iCs w:val="0"/>
          <w:caps w:val="0"/>
          <w:color w:val="333333"/>
          <w:spacing w:val="0"/>
          <w:sz w:val="36"/>
          <w:szCs w:val="36"/>
          <w:bdr w:val="none" w:color="auto" w:sz="0" w:space="0"/>
          <w:shd w:val="clear" w:fill="FFFFFF"/>
        </w:rPr>
        <w:t>城 市 供 水 条 例</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left"/>
        <w:rPr>
          <w:rFonts w:hint="eastAsia" w:ascii="宋体" w:hAnsi="宋体" w:eastAsia="宋体" w:cs="宋体"/>
          <w:i w:val="0"/>
          <w:iCs w:val="0"/>
          <w:caps w:val="0"/>
          <w:color w:val="333333"/>
          <w:spacing w:val="0"/>
          <w:sz w:val="24"/>
          <w:szCs w:val="24"/>
        </w:rPr>
      </w:pPr>
      <w:r>
        <w:rPr>
          <w:rFonts w:ascii="楷体" w:hAnsi="楷体" w:eastAsia="楷体" w:cs="楷体"/>
          <w:i w:val="0"/>
          <w:iCs w:val="0"/>
          <w:caps w:val="0"/>
          <w:color w:val="333333"/>
          <w:spacing w:val="0"/>
          <w:sz w:val="24"/>
          <w:szCs w:val="24"/>
          <w:bdr w:val="none" w:color="auto" w:sz="0" w:space="0"/>
          <w:shd w:val="clear" w:fill="FFFFFF"/>
        </w:rPr>
        <w:t>（1994年7月19日中华人民共和国国务院令第158号发布　根据2018年3月19日《国务院关于修改和废止部分行政法规的决定》修订）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为了加强城市供水管理，发展城市供水事业，保障城市生活、生产用水和其他各项建设用水，制定本条例。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本条例所称城市供水，是指城市公共供水和自建设施供水。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本条例所称城市公共供水，是指城市自来水供水企业以公共供水管道及其附属设施向单位和居民的生活、生产和其他各项建设提供用水。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本条例所称自建设施供水，是指城市的用水单位以其自行建设的供水管道及其附属设施主要向本单位的生活、生产和其他各项建设提供用水。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从事城市供水工作和使用城市供水，必须遵守本条例。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城市供水工作实行开发水源和计划用水、节约用水相结合的原则。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县级以上人民政府应当将发展城市供水事业纳入国民经济和社会发展计划。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国家实行有利于城市供水事业发展的政策，鼓励城市供水科学技术研究，推广先进技术，提高城市供水的现代化水平。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国务院城市建设行政主管部门主管全国城市供水工作。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省、自治区人民政府城市建设行政主管部门主管本行政区域内的城市供水工作。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县级以上城市人民政府确定的城市供水行政主管部门（以下简称城市供水行政主管部门）主管本行政区域内的城市供水工作。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对在城市供水工作中作出显著成绩的单位和个人，给予奖励。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城市供水水源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县级以上城市人民政府应当组织城市规划行政主管部门、水行政主管部门、城市供水行政主管部门和地质矿产行政主管部门等共同编制城市供水水源开发利用规划，作为城市供水发展规划的组成部分，纳入城市总体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编制城市供水水源开发利用规划，应当从城市发展的需要出发，并与水资源统筹规划和水长期供求计划相协调。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编制城市供水水源开发利用规划，应当根据当地情况，合理安排利用地表水和地下水。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编制城市供水水源开发利用规划，应当优先保证城市生活用水，统筹兼顾工业用水和其他各项建设用水。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县级以上地方人民政府环境保护部门应当会同城市供水行政主管部门、水行政主管部门和卫生行政主管部门等共同划定饮用水水源保护区，经本级人民政府批准后公布；划定跨省、市、县的饮用水水源保护区，应当由有关人民政府共同商定并经其共同的上级人民政府批准后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在饮用水水源保护区内，禁止一切污染水质的活动。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城市供水工程建设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城市供水工程的建设，应当按照城市供水发展规划及其年度建设计划进行。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城市供水工程的设计、施工，应当委托持有相应资质证书的设计、施工单位承担，并遵守国家有关技术标准和规范。禁止无证或者超越资质证书规定的经营范围承担城市供水工程的设计、施工任务。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城市供水工程竣工后，应当按照国家规定组织验收；未经验收或者验收不合格的，不得投入使用。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城市新建、扩建、改建工程项目需要增加用水的，其工程项目总概算应当包括供水工程建设投资；需要增加城市公共供水量的，应当将其供水工程建设投资交付城市供水行政主管部门，由其统一组织城市公共供水工程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城市供水经营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城市自来水供水企业和自建设施对外供水的企业，经工商行政管理机关登记注册后，方可从事经营活动。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城市自来水供水企业和自建设施对外供水的企业，应当建立、健全水质检测制度，确保城市供水的水质符合国家规定的饮用水卫生标准。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城市自来水供水企业和自建设施对外供水的企业，应当按照国家有关规定设置管网测压点，做好水压监测工作，确保供水管网的压力符合国家规定的标准。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禁止在城市公共供水管道上直接装泵抽水。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和自建设施对外供水的企业应当保持不间断供水。由于工程施工、设备维修等原因确需停止供水的，应当经城市供水行政主管部门批准并提前24小时通知用水单位和个人；因发生灾害或者紧急事故，不能提前通知的，应当在抢修的同时通知用水单位和个人，尽快恢复正常供水，并报告城市供水行政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城市自来水供水企业和自建设施对外供水的企业应当实行职工持证上岗制度。具体办法由国务院城市建设行政主管部门会同人事部门等制定。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用水单位和个人应当按照规定的计量标准和水价标准按时缴纳水费。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禁止盗用或者转供城市公共供水。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城市供水价格应当按照生活用水保本微利、生产和经营用水合理计价的原则制定。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城市供水价格制定办法，由省、自治区、直辖市人民政府规定。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城市供水设施维护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和自建设施供水的企业对其管理的城市供水的专用水库、引水渠道、取水口、泵站、井群、输（配）水管网、进户总水表、净（配）水厂、公用水站等设施，应当定期检查维修，确保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用水单位自行建设的与城市公共供水管道连接的户外管道及其附属设施，必须经城市自来水供水企业验收合格并交其统一管理后，方可使用。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在规定的城市公共供水管道及其附属设施的地面和地下的安全保护范围内，禁止挖坑取土或者修建建筑物、构筑物等危害供水设施安全的活动。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因工程建设确需改装、拆除或者迁移城市公共供水设施的，建设单位应当报经县级以上人民政府城市规划行政主管部门和城市供水行政主管部门批准，并采取相应的补救措施。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涉及城市公共供水设施的建设工程开工前，建设单位或者施工单位应当向城市自来水供水企业查明地下供水管网情况。施工影响城市公共供水设施安全的，建设单位或者施工单位应当与城市自来水供水企业商定相应的保护措施，由施工单位负责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禁止擅自将自建设施供水管网系统与城市公共供水管网系统连接；因特殊情况确需连接的，必须经城市自来水供水企业同意，并在管道连接处采取必要的防护措施。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禁止产生或者使用有毒有害物质的单位将其生产用水管网系统与城市公共供水管网系统直接连接。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第六章　罚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城市自来水供水企业或者自建设施对外供水的企业有下列行为之一的，由城市供水行政主管部门责令改正，可以处以罚款；情节严重的，报经县级以上人民政府批准，可以责令停业整顿；对负有直接责任的主管人员和其他直接责任人员，其所在单位或者上级机关可以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（一）供水水质、水压不符合国家规定标准的；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（二）擅自停止供水或者未履行停水通知义务的；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（三）未按照规定检修供水设施或者在供水设施发生故障后未及时抢修的。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违反本条例规定，有下列行为之一的，由城市供水行政主管部门责令停止违法行为，可以处以罚款；对负有直接责任的主管人员和其他直接责任人员，其所在单位或者上级机关可以给予行政处分：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（一）无证或者超越资质证书规定的经营范围进行城市供水工程的设计或者施工的；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（二）未按国家规定的技术标准和规范进行城市供水工程的设计或者施工的；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（三）违反城市供水发展规划及其年度建设计划兴建城市供水工程的。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违反本条例规定，有下列行为之一的，由城市供水行政主管部门或者其授权的单位责令限期改正，可以处以罚款：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（一）未按规定缴纳水费的；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（二）盗用或者转供城市公共供水的；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（三）在规定的城市公共供水管道及其附属设施的安全保护范围内进行危害供水设施安全活动的；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（四）擅自将自建设施供水管网系统与城市公共供水管网系统连接的；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（五）产生或者使用有毒有害物质的单位将其生产用水管网系统与城市公共供水管网系统直接连接的；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（六）在城市公共供水管道上直接装泵抽水的；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（七）擅自拆除、改装或者迁移城市公共供水设施的。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有前款第（一）项、第（二）项、第（四）项、第（五）项、第（六）项、第（七）项所列行为之一，情节严重的，经县级以上人民政府批准，还可以在一定时间内停止供水。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建设工程施工危害城市公共供水设施的，由城市供水行政主管部门责令停止危害活动；造成损失的，由责任方依法赔偿损失；对负有直接责任的主管人员和其他直接责任人员，其所在单位或者上级机关可以给予行政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城市供水行政主管部门的工作人员玩忽职守、滥用职权、徇私舞弊的，由其所在单位或者上级机关给予行政处分；构成犯罪的，依法追究刑事责任。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第七章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本条例第三十三条、第三十四条、第三十五条规定的罚款数额由省、自治区、直辖市人民政府规定。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本条例自1994年10月1日起施行。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13ED56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2023-11-08T03:03:48Z</dcterms:created>
  <dc:creator>Administrator.DESKTOP-6K0HROQ</dc:creator>
  <cp:lastModifiedBy>Administrator</cp:lastModifiedBy>
  <dcterms:modified xsi:type="dcterms:W3CDTF">2023-11-08T03:03:58Z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43F4666F6FF5460B9AC75779C4861C5F_12</vt:lpwstr>
  </property>
</Properties>
</file>