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539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Cs/>
          <w:sz w:val="44"/>
          <w:szCs w:val="44"/>
        </w:rPr>
      </w:pPr>
      <w:bookmarkStart w:id="0" w:name="Title"/>
      <w:r>
        <w:rPr>
          <w:rFonts w:hint="eastAsia" w:ascii="方正小标宋简体" w:hAnsi="方正小标宋简体" w:eastAsia="方正小标宋简体" w:cs="方正小标宋简体"/>
          <w:bCs/>
          <w:sz w:val="44"/>
          <w:szCs w:val="44"/>
        </w:rPr>
        <w:t>中华人民共和国固体废物污染环境防治法</w:t>
      </w:r>
      <w:bookmarkEnd w:id="0"/>
    </w:p>
    <w:p w14:paraId="101B45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宋体" w:hAnsi="宋体" w:eastAsia="宋体" w:cs="Arial"/>
          <w:szCs w:val="32"/>
        </w:rPr>
      </w:pPr>
    </w:p>
    <w:p w14:paraId="411554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_GB2312" w:eastAsia="楷体_GB2312"/>
          <w:szCs w:val="32"/>
        </w:rPr>
      </w:pPr>
      <w:r>
        <w:rPr>
          <w:rFonts w:hint="eastAsia" w:ascii="楷体_GB2312" w:hAnsi="Arial" w:eastAsia="楷体_GB2312" w:cs="Arial"/>
          <w:color w:val="auto"/>
          <w:szCs w:val="32"/>
        </w:rPr>
        <w:t>（</w:t>
      </w:r>
      <w:r>
        <w:rPr>
          <w:rFonts w:hint="default" w:ascii="Times New Roman" w:hAnsi="Times New Roman" w:eastAsia="楷体" w:cs="Times New Roman"/>
          <w:color w:val="auto"/>
          <w:sz w:val="32"/>
          <w:szCs w:val="32"/>
          <w:shd w:val="clear" w:fill="FFFFFF"/>
        </w:rPr>
        <w:t>1995</w:t>
      </w:r>
      <w:r>
        <w:rPr>
          <w:rFonts w:hint="eastAsia" w:ascii="楷体" w:hAnsi="楷体" w:eastAsia="楷体" w:cs="楷体"/>
          <w:color w:val="auto"/>
          <w:sz w:val="32"/>
          <w:szCs w:val="32"/>
          <w:shd w:val="clear" w:fill="FFFFFF"/>
        </w:rPr>
        <w:t>年</w:t>
      </w:r>
      <w:r>
        <w:rPr>
          <w:rFonts w:hint="default" w:ascii="Times New Roman" w:hAnsi="Times New Roman" w:eastAsia="楷体" w:cs="Times New Roman"/>
          <w:color w:val="auto"/>
          <w:sz w:val="32"/>
          <w:szCs w:val="32"/>
          <w:shd w:val="clear" w:fill="FFFFFF"/>
        </w:rPr>
        <w:t>10</w:t>
      </w:r>
      <w:r>
        <w:rPr>
          <w:rFonts w:hint="eastAsia" w:ascii="楷体" w:hAnsi="楷体" w:eastAsia="楷体" w:cs="楷体"/>
          <w:color w:val="auto"/>
          <w:sz w:val="32"/>
          <w:szCs w:val="32"/>
          <w:shd w:val="clear" w:fill="FFFFFF"/>
        </w:rPr>
        <w:t>月</w:t>
      </w:r>
      <w:r>
        <w:rPr>
          <w:rFonts w:hint="default" w:ascii="Times New Roman" w:hAnsi="Times New Roman" w:eastAsia="楷体" w:cs="Times New Roman"/>
          <w:color w:val="auto"/>
          <w:sz w:val="32"/>
          <w:szCs w:val="32"/>
          <w:shd w:val="clear" w:fill="FFFFFF"/>
        </w:rPr>
        <w:t>30</w:t>
      </w:r>
      <w:r>
        <w:rPr>
          <w:rFonts w:hint="eastAsia" w:ascii="楷体" w:hAnsi="楷体" w:eastAsia="楷体" w:cs="楷体"/>
          <w:color w:val="auto"/>
          <w:sz w:val="32"/>
          <w:szCs w:val="32"/>
          <w:shd w:val="clear" w:fill="FFFFFF"/>
        </w:rPr>
        <w:t>日第八届全国人民代表大会常务委员会第十六次会议通过　</w:t>
      </w:r>
      <w:r>
        <w:rPr>
          <w:rFonts w:hint="default" w:ascii="Times New Roman" w:hAnsi="Times New Roman" w:eastAsia="楷体" w:cs="Times New Roman"/>
          <w:color w:val="auto"/>
          <w:sz w:val="32"/>
          <w:szCs w:val="32"/>
          <w:shd w:val="clear" w:fill="FFFFFF"/>
        </w:rPr>
        <w:t>2004</w:t>
      </w:r>
      <w:r>
        <w:rPr>
          <w:rFonts w:hint="eastAsia" w:ascii="楷体" w:hAnsi="楷体" w:eastAsia="楷体" w:cs="楷体"/>
          <w:color w:val="auto"/>
          <w:sz w:val="32"/>
          <w:szCs w:val="32"/>
          <w:shd w:val="clear" w:fill="FFFFFF"/>
        </w:rPr>
        <w:t>年</w:t>
      </w:r>
      <w:r>
        <w:rPr>
          <w:rFonts w:hint="default" w:ascii="Times New Roman" w:hAnsi="Times New Roman" w:eastAsia="楷体" w:cs="Times New Roman"/>
          <w:color w:val="auto"/>
          <w:sz w:val="32"/>
          <w:szCs w:val="32"/>
          <w:shd w:val="clear" w:fill="FFFFFF"/>
        </w:rPr>
        <w:t>12</w:t>
      </w:r>
      <w:r>
        <w:rPr>
          <w:rFonts w:hint="eastAsia" w:ascii="楷体" w:hAnsi="楷体" w:eastAsia="楷体" w:cs="楷体"/>
          <w:color w:val="auto"/>
          <w:sz w:val="32"/>
          <w:szCs w:val="32"/>
          <w:shd w:val="clear" w:fill="FFFFFF"/>
        </w:rPr>
        <w:t>月</w:t>
      </w:r>
      <w:r>
        <w:rPr>
          <w:rFonts w:hint="default" w:ascii="Times New Roman" w:hAnsi="Times New Roman" w:eastAsia="楷体" w:cs="Times New Roman"/>
          <w:color w:val="auto"/>
          <w:sz w:val="32"/>
          <w:szCs w:val="32"/>
          <w:shd w:val="clear" w:fill="FFFFFF"/>
        </w:rPr>
        <w:t>29</w:t>
      </w:r>
      <w:r>
        <w:rPr>
          <w:rFonts w:hint="eastAsia" w:ascii="楷体" w:hAnsi="楷体" w:eastAsia="楷体" w:cs="楷体"/>
          <w:color w:val="auto"/>
          <w:sz w:val="32"/>
          <w:szCs w:val="32"/>
          <w:shd w:val="clear" w:fill="FFFFFF"/>
        </w:rPr>
        <w:t>日第十届全国人民代表大会常务委员会第十三次会议第一次修订　根据</w:t>
      </w:r>
      <w:r>
        <w:rPr>
          <w:rFonts w:hint="default" w:ascii="Times New Roman" w:hAnsi="Times New Roman" w:eastAsia="楷体" w:cs="Times New Roman"/>
          <w:color w:val="auto"/>
          <w:sz w:val="32"/>
          <w:szCs w:val="32"/>
          <w:shd w:val="clear" w:fill="FFFFFF"/>
        </w:rPr>
        <w:t>2013</w:t>
      </w:r>
      <w:r>
        <w:rPr>
          <w:rFonts w:hint="eastAsia" w:ascii="楷体" w:hAnsi="楷体" w:eastAsia="楷体" w:cs="楷体"/>
          <w:color w:val="auto"/>
          <w:sz w:val="32"/>
          <w:szCs w:val="32"/>
          <w:shd w:val="clear" w:fill="FFFFFF"/>
        </w:rPr>
        <w:t>年</w:t>
      </w:r>
      <w:r>
        <w:rPr>
          <w:rFonts w:hint="default" w:ascii="Times New Roman" w:hAnsi="Times New Roman" w:eastAsia="楷体" w:cs="Times New Roman"/>
          <w:color w:val="auto"/>
          <w:sz w:val="32"/>
          <w:szCs w:val="32"/>
          <w:shd w:val="clear" w:fill="FFFFFF"/>
        </w:rPr>
        <w:t>6</w:t>
      </w:r>
      <w:r>
        <w:rPr>
          <w:rFonts w:hint="eastAsia" w:ascii="楷体" w:hAnsi="楷体" w:eastAsia="楷体" w:cs="楷体"/>
          <w:color w:val="auto"/>
          <w:sz w:val="32"/>
          <w:szCs w:val="32"/>
          <w:shd w:val="clear" w:fill="FFFFFF"/>
        </w:rPr>
        <w:t>月</w:t>
      </w:r>
      <w:r>
        <w:rPr>
          <w:rFonts w:hint="default" w:ascii="Times New Roman" w:hAnsi="Times New Roman" w:eastAsia="楷体" w:cs="Times New Roman"/>
          <w:color w:val="auto"/>
          <w:sz w:val="32"/>
          <w:szCs w:val="32"/>
          <w:shd w:val="clear" w:fill="FFFFFF"/>
        </w:rPr>
        <w:t>29</w:t>
      </w:r>
      <w:r>
        <w:rPr>
          <w:rFonts w:hint="eastAsia" w:ascii="楷体" w:hAnsi="楷体" w:eastAsia="楷体" w:cs="楷体"/>
          <w:color w:val="auto"/>
          <w:sz w:val="32"/>
          <w:szCs w:val="32"/>
          <w:shd w:val="clear" w:fill="FFFFFF"/>
        </w:rPr>
        <w:t>日第十二届全国人民代表大会常务委员会第三次会议《</w:t>
      </w:r>
      <w:r>
        <w:rPr>
          <w:rStyle w:val="10"/>
          <w:rFonts w:hint="eastAsia" w:ascii="楷体" w:hAnsi="楷体" w:eastAsia="楷体" w:cs="楷体"/>
          <w:color w:val="auto"/>
          <w:sz w:val="32"/>
          <w:szCs w:val="32"/>
          <w:shd w:val="clear" w:fill="FFFFFF"/>
        </w:rPr>
        <w:fldChar w:fldCharType="begin"/>
      </w:r>
      <w:r>
        <w:rPr>
          <w:rStyle w:val="10"/>
          <w:rFonts w:hint="eastAsia" w:ascii="楷体" w:hAnsi="楷体" w:eastAsia="楷体" w:cs="楷体"/>
          <w:color w:val="auto"/>
          <w:sz w:val="32"/>
          <w:szCs w:val="32"/>
          <w:shd w:val="clear" w:fill="FFFFFF"/>
        </w:rPr>
        <w:instrText xml:space="preserve"> HYPERLINK "http://fagui.pkulaw.cn:18080/javascript:SLC(205890,0)" </w:instrText>
      </w:r>
      <w:r>
        <w:rPr>
          <w:rStyle w:val="10"/>
          <w:rFonts w:hint="eastAsia" w:ascii="楷体" w:hAnsi="楷体" w:eastAsia="楷体" w:cs="楷体"/>
          <w:color w:val="auto"/>
          <w:sz w:val="32"/>
          <w:szCs w:val="32"/>
          <w:shd w:val="clear" w:fill="FFFFFF"/>
        </w:rPr>
        <w:fldChar w:fldCharType="separate"/>
      </w:r>
      <w:r>
        <w:rPr>
          <w:rStyle w:val="7"/>
          <w:rFonts w:hint="eastAsia" w:ascii="楷体" w:hAnsi="楷体" w:eastAsia="楷体" w:cs="楷体"/>
          <w:color w:val="auto"/>
          <w:sz w:val="32"/>
          <w:szCs w:val="32"/>
          <w:shd w:val="clear" w:fill="FFFFFF"/>
        </w:rPr>
        <w:t>关于修改〈中华人民共和国文物保护法〉等十二部法律的决定</w:t>
      </w:r>
      <w:r>
        <w:rPr>
          <w:rStyle w:val="10"/>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》第一次修正　根据</w:t>
      </w:r>
      <w:r>
        <w:rPr>
          <w:rFonts w:hint="default" w:ascii="Times New Roman" w:hAnsi="Times New Roman" w:eastAsia="楷体" w:cs="Times New Roman"/>
          <w:color w:val="auto"/>
          <w:sz w:val="32"/>
          <w:szCs w:val="32"/>
          <w:shd w:val="clear" w:fill="FFFFFF"/>
        </w:rPr>
        <w:t>2015</w:t>
      </w:r>
      <w:r>
        <w:rPr>
          <w:rFonts w:hint="eastAsia" w:ascii="楷体" w:hAnsi="楷体" w:eastAsia="楷体" w:cs="楷体"/>
          <w:color w:val="auto"/>
          <w:sz w:val="32"/>
          <w:szCs w:val="32"/>
          <w:shd w:val="clear" w:fill="FFFFFF"/>
        </w:rPr>
        <w:t>年</w:t>
      </w:r>
      <w:r>
        <w:rPr>
          <w:rFonts w:hint="default" w:ascii="Times New Roman" w:hAnsi="Times New Roman" w:eastAsia="楷体" w:cs="Times New Roman"/>
          <w:color w:val="auto"/>
          <w:sz w:val="32"/>
          <w:szCs w:val="32"/>
          <w:shd w:val="clear" w:fill="FFFFFF"/>
        </w:rPr>
        <w:t>4</w:t>
      </w:r>
      <w:r>
        <w:rPr>
          <w:rFonts w:hint="eastAsia" w:ascii="楷体" w:hAnsi="楷体" w:eastAsia="楷体" w:cs="楷体"/>
          <w:color w:val="auto"/>
          <w:sz w:val="32"/>
          <w:szCs w:val="32"/>
          <w:shd w:val="clear" w:fill="FFFFFF"/>
        </w:rPr>
        <w:t>月</w:t>
      </w:r>
      <w:r>
        <w:rPr>
          <w:rFonts w:hint="default" w:ascii="Times New Roman" w:hAnsi="Times New Roman" w:eastAsia="楷体" w:cs="Times New Roman"/>
          <w:color w:val="auto"/>
          <w:sz w:val="32"/>
          <w:szCs w:val="32"/>
          <w:shd w:val="clear" w:fill="FFFFFF"/>
        </w:rPr>
        <w:t>24</w:t>
      </w:r>
      <w:r>
        <w:rPr>
          <w:rFonts w:hint="eastAsia" w:ascii="楷体" w:hAnsi="楷体" w:eastAsia="楷体" w:cs="楷体"/>
          <w:color w:val="auto"/>
          <w:sz w:val="32"/>
          <w:szCs w:val="32"/>
          <w:shd w:val="clear" w:fill="FFFFFF"/>
        </w:rPr>
        <w:t>日第十二届全国人民代表大会常务委员会第十四次会议《</w:t>
      </w:r>
      <w:r>
        <w:rPr>
          <w:rStyle w:val="10"/>
          <w:rFonts w:hint="eastAsia" w:ascii="楷体" w:hAnsi="楷体" w:eastAsia="楷体" w:cs="楷体"/>
          <w:color w:val="auto"/>
          <w:sz w:val="32"/>
          <w:szCs w:val="32"/>
          <w:shd w:val="clear" w:fill="FFFFFF"/>
        </w:rPr>
        <w:fldChar w:fldCharType="begin"/>
      </w:r>
      <w:r>
        <w:rPr>
          <w:rStyle w:val="10"/>
          <w:rFonts w:hint="eastAsia" w:ascii="楷体" w:hAnsi="楷体" w:eastAsia="楷体" w:cs="楷体"/>
          <w:color w:val="auto"/>
          <w:sz w:val="32"/>
          <w:szCs w:val="32"/>
          <w:shd w:val="clear" w:fill="FFFFFF"/>
        </w:rPr>
        <w:instrText xml:space="preserve"> HYPERLINK "http://fagui.pkulaw.cn:18080/javascript:SLC(247406,0)" </w:instrText>
      </w:r>
      <w:r>
        <w:rPr>
          <w:rStyle w:val="10"/>
          <w:rFonts w:hint="eastAsia" w:ascii="楷体" w:hAnsi="楷体" w:eastAsia="楷体" w:cs="楷体"/>
          <w:color w:val="auto"/>
          <w:sz w:val="32"/>
          <w:szCs w:val="32"/>
          <w:shd w:val="clear" w:fill="FFFFFF"/>
        </w:rPr>
        <w:fldChar w:fldCharType="separate"/>
      </w:r>
      <w:r>
        <w:rPr>
          <w:rStyle w:val="7"/>
          <w:rFonts w:hint="eastAsia" w:ascii="楷体" w:hAnsi="楷体" w:eastAsia="楷体" w:cs="楷体"/>
          <w:color w:val="auto"/>
          <w:sz w:val="32"/>
          <w:szCs w:val="32"/>
          <w:shd w:val="clear" w:fill="FFFFFF"/>
        </w:rPr>
        <w:t>关于修改〈中华人民共和国港口法〉等七部法律的决定</w:t>
      </w:r>
      <w:r>
        <w:rPr>
          <w:rStyle w:val="10"/>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》第二次修正　根据</w:t>
      </w:r>
      <w:r>
        <w:rPr>
          <w:rFonts w:hint="default" w:ascii="Times New Roman" w:hAnsi="Times New Roman" w:eastAsia="楷体" w:cs="Times New Roman"/>
          <w:color w:val="auto"/>
          <w:sz w:val="32"/>
          <w:szCs w:val="32"/>
          <w:shd w:val="clear" w:fill="FFFFFF"/>
        </w:rPr>
        <w:t>2016</w:t>
      </w:r>
      <w:r>
        <w:rPr>
          <w:rFonts w:hint="eastAsia" w:ascii="楷体" w:hAnsi="楷体" w:eastAsia="楷体" w:cs="楷体"/>
          <w:color w:val="auto"/>
          <w:sz w:val="32"/>
          <w:szCs w:val="32"/>
          <w:shd w:val="clear" w:fill="FFFFFF"/>
        </w:rPr>
        <w:t>年</w:t>
      </w:r>
      <w:r>
        <w:rPr>
          <w:rFonts w:hint="default" w:ascii="Times New Roman" w:hAnsi="Times New Roman" w:eastAsia="楷体" w:cs="Times New Roman"/>
          <w:color w:val="auto"/>
          <w:sz w:val="32"/>
          <w:szCs w:val="32"/>
          <w:shd w:val="clear" w:fill="FFFFFF"/>
        </w:rPr>
        <w:t>11</w:t>
      </w:r>
      <w:r>
        <w:rPr>
          <w:rFonts w:hint="eastAsia" w:ascii="楷体" w:hAnsi="楷体" w:eastAsia="楷体" w:cs="楷体"/>
          <w:color w:val="auto"/>
          <w:sz w:val="32"/>
          <w:szCs w:val="32"/>
          <w:shd w:val="clear" w:fill="FFFFFF"/>
        </w:rPr>
        <w:t>月</w:t>
      </w:r>
      <w:r>
        <w:rPr>
          <w:rFonts w:hint="default" w:ascii="Times New Roman" w:hAnsi="Times New Roman" w:eastAsia="楷体" w:cs="Times New Roman"/>
          <w:color w:val="auto"/>
          <w:sz w:val="32"/>
          <w:szCs w:val="32"/>
          <w:shd w:val="clear" w:fill="FFFFFF"/>
        </w:rPr>
        <w:t>7</w:t>
      </w:r>
      <w:r>
        <w:rPr>
          <w:rFonts w:hint="eastAsia" w:ascii="楷体" w:hAnsi="楷体" w:eastAsia="楷体" w:cs="楷体"/>
          <w:color w:val="auto"/>
          <w:sz w:val="32"/>
          <w:szCs w:val="32"/>
          <w:shd w:val="clear" w:fill="FFFFFF"/>
        </w:rPr>
        <w:t>日第十二届全国人民代表大会常务委员会第二十四次会议《</w:t>
      </w:r>
      <w:r>
        <w:rPr>
          <w:rStyle w:val="10"/>
          <w:rFonts w:hint="eastAsia" w:ascii="楷体" w:hAnsi="楷体" w:eastAsia="楷体" w:cs="楷体"/>
          <w:color w:val="auto"/>
          <w:sz w:val="32"/>
          <w:szCs w:val="32"/>
          <w:shd w:val="clear" w:fill="FFFFFF"/>
        </w:rPr>
        <w:fldChar w:fldCharType="begin"/>
      </w:r>
      <w:r>
        <w:rPr>
          <w:rStyle w:val="10"/>
          <w:rFonts w:hint="eastAsia" w:ascii="楷体" w:hAnsi="楷体" w:eastAsia="楷体" w:cs="楷体"/>
          <w:color w:val="auto"/>
          <w:sz w:val="32"/>
          <w:szCs w:val="32"/>
          <w:shd w:val="clear" w:fill="FFFFFF"/>
        </w:rPr>
        <w:instrText xml:space="preserve"> HYPERLINK "http://fagui.pkulaw.cn:18080/javascript:SLC(283837,0)" </w:instrText>
      </w:r>
      <w:r>
        <w:rPr>
          <w:rStyle w:val="10"/>
          <w:rFonts w:hint="eastAsia" w:ascii="楷体" w:hAnsi="楷体" w:eastAsia="楷体" w:cs="楷体"/>
          <w:color w:val="auto"/>
          <w:sz w:val="32"/>
          <w:szCs w:val="32"/>
          <w:shd w:val="clear" w:fill="FFFFFF"/>
        </w:rPr>
        <w:fldChar w:fldCharType="separate"/>
      </w:r>
      <w:r>
        <w:rPr>
          <w:rStyle w:val="7"/>
          <w:rFonts w:hint="eastAsia" w:ascii="楷体" w:hAnsi="楷体" w:eastAsia="楷体" w:cs="楷体"/>
          <w:color w:val="auto"/>
          <w:sz w:val="32"/>
          <w:szCs w:val="32"/>
          <w:shd w:val="clear" w:fill="FFFFFF"/>
        </w:rPr>
        <w:t>关于修改〈中华人民共和国对外贸易法〉等十二部法律的决定</w:t>
      </w:r>
      <w:r>
        <w:rPr>
          <w:rStyle w:val="10"/>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》第三次修正　</w:t>
      </w:r>
      <w:r>
        <w:rPr>
          <w:rFonts w:hint="default" w:ascii="Times New Roman" w:hAnsi="Times New Roman" w:eastAsia="楷体" w:cs="Times New Roman"/>
          <w:color w:val="auto"/>
          <w:sz w:val="32"/>
          <w:szCs w:val="32"/>
          <w:shd w:val="clear" w:fill="FFFFFF"/>
        </w:rPr>
        <w:t>2020</w:t>
      </w:r>
      <w:r>
        <w:rPr>
          <w:rFonts w:hint="eastAsia" w:ascii="楷体" w:hAnsi="楷体" w:eastAsia="楷体" w:cs="楷体"/>
          <w:color w:val="auto"/>
          <w:sz w:val="32"/>
          <w:szCs w:val="32"/>
          <w:shd w:val="clear" w:fill="FFFFFF"/>
        </w:rPr>
        <w:t>年</w:t>
      </w:r>
      <w:r>
        <w:rPr>
          <w:rFonts w:hint="default" w:ascii="Times New Roman" w:hAnsi="Times New Roman" w:eastAsia="楷体" w:cs="Times New Roman"/>
          <w:color w:val="auto"/>
          <w:sz w:val="32"/>
          <w:szCs w:val="32"/>
          <w:shd w:val="clear" w:fill="FFFFFF"/>
        </w:rPr>
        <w:t>4</w:t>
      </w:r>
      <w:r>
        <w:rPr>
          <w:rFonts w:hint="eastAsia" w:ascii="楷体" w:hAnsi="楷体" w:eastAsia="楷体" w:cs="楷体"/>
          <w:color w:val="auto"/>
          <w:sz w:val="32"/>
          <w:szCs w:val="32"/>
          <w:shd w:val="clear" w:fill="FFFFFF"/>
        </w:rPr>
        <w:t>月</w:t>
      </w:r>
      <w:r>
        <w:rPr>
          <w:rFonts w:hint="default" w:ascii="Times New Roman" w:hAnsi="Times New Roman" w:eastAsia="楷体" w:cs="Times New Roman"/>
          <w:color w:val="auto"/>
          <w:sz w:val="32"/>
          <w:szCs w:val="32"/>
          <w:shd w:val="clear" w:fill="FFFFFF"/>
        </w:rPr>
        <w:t>29</w:t>
      </w:r>
      <w:r>
        <w:rPr>
          <w:rFonts w:hint="eastAsia" w:ascii="楷体" w:hAnsi="楷体" w:eastAsia="楷体" w:cs="楷体"/>
          <w:color w:val="auto"/>
          <w:sz w:val="32"/>
          <w:szCs w:val="32"/>
          <w:shd w:val="clear" w:fill="FFFFFF"/>
        </w:rPr>
        <w:t>日第十三届全国人民代表大会常务委员会第十七次会议第二次修订</w:t>
      </w:r>
      <w:r>
        <w:rPr>
          <w:rFonts w:hint="eastAsia" w:ascii="楷体_GB2312" w:hAnsi="Arial" w:eastAsia="楷体_GB2312" w:cs="Arial"/>
          <w:color w:val="auto"/>
          <w:szCs w:val="32"/>
        </w:rPr>
        <w:t>）</w:t>
      </w:r>
    </w:p>
    <w:p w14:paraId="0AD3EF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pPr>
    </w:p>
    <w:p w14:paraId="4216D1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sz w:val="32"/>
          <w:szCs w:val="32"/>
        </w:rPr>
      </w:pPr>
      <w:r>
        <w:rPr>
          <w:rFonts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ascii="楷体_GB2312" w:hAnsi="楷体_GB2312" w:eastAsia="楷体_GB2312" w:cs="楷体_GB2312"/>
          <w:sz w:val="32"/>
          <w:szCs w:val="32"/>
        </w:rPr>
        <w:t>录</w:t>
      </w:r>
    </w:p>
    <w:p w14:paraId="1967FF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第一章  总则</w:t>
      </w:r>
    </w:p>
    <w:p w14:paraId="1B22B9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第二章  监督管理</w:t>
      </w:r>
    </w:p>
    <w:p w14:paraId="4383A1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第三章  工业固体废物</w:t>
      </w:r>
    </w:p>
    <w:p w14:paraId="2DDD29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第四章  生活垃圾</w:t>
      </w:r>
    </w:p>
    <w:p w14:paraId="65D648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第五章  建筑垃圾、农业固体废物等</w:t>
      </w:r>
    </w:p>
    <w:p w14:paraId="59B9E4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第六章  危险废物</w:t>
      </w:r>
    </w:p>
    <w:p w14:paraId="397A8E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第七章  保障措施</w:t>
      </w:r>
    </w:p>
    <w:p w14:paraId="38AE3A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第八章  法律责任</w:t>
      </w:r>
    </w:p>
    <w:p w14:paraId="2FFE51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ascii="楷体_GB2312" w:hAnsi="楷体_GB2312" w:eastAsia="楷体_GB2312" w:cs="楷体_GB2312"/>
          <w:sz w:val="32"/>
        </w:rPr>
        <w:t>第九章  附则</w:t>
      </w:r>
    </w:p>
    <w:p w14:paraId="464E36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pPr>
    </w:p>
    <w:p w14:paraId="540D76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pPr>
    </w:p>
    <w:p w14:paraId="1B01AB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pPr>
      <w:r>
        <w:rPr>
          <w:rFonts w:ascii="黑体" w:hAnsi="黑体" w:eastAsia="黑体" w:cs="黑体"/>
          <w:sz w:val="32"/>
        </w:rPr>
        <w:t>第一章  总则</w:t>
      </w:r>
    </w:p>
    <w:p w14:paraId="71A48F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第一条  为了保护和改善生态环境，防治固体废物污染环境，保障公众健康，维护生态安全，推进生态文明建设，促进经济社会可持续发展，制定本法。</w:t>
      </w:r>
    </w:p>
    <w:p w14:paraId="16BA73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第二条  固体废物污染环境的防治适用本法。</w:t>
      </w:r>
    </w:p>
    <w:p w14:paraId="203917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固体废物污染海洋环境的防治和放射性固体废物污染环境的防治不适用本法。</w:t>
      </w:r>
    </w:p>
    <w:p w14:paraId="05967D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第三条  国家推行绿色发展方式，促进清洁生产和循环经济发展。</w:t>
      </w:r>
    </w:p>
    <w:p w14:paraId="6A3FCE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国家倡导简约适度、绿色低碳的生活方式，引导公众积极参与固体废物污染环境防治。</w:t>
      </w:r>
    </w:p>
    <w:p w14:paraId="51D0C9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第四条  固体废物污染环境防治坚持减量化、资源化和无害化的原则。</w:t>
      </w:r>
    </w:p>
    <w:p w14:paraId="33FA01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任何单位和个人都应当采取措施，减少固体废物的产生量，促进固体废物的综合利用，降低固体废物的危害性。</w:t>
      </w:r>
    </w:p>
    <w:p w14:paraId="43FD7B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第五条  固体废物污染环境防治坚持污染担责的原则。</w:t>
      </w:r>
    </w:p>
    <w:p w14:paraId="584155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产生、收集、贮存、运输、利用、处置固体废物的单位和个人，应当采取措施，防止或者减少固体废物对环境的污染，对所造成的环境污染依法承担责任。</w:t>
      </w:r>
    </w:p>
    <w:p w14:paraId="229C54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第六条  国家推行生活垃圾分类制度。</w:t>
      </w:r>
    </w:p>
    <w:p w14:paraId="3CA038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生活垃圾分类坚持政府推动、全民参与、城乡统筹、因地制宜、简便易行的原则。</w:t>
      </w:r>
    </w:p>
    <w:p w14:paraId="65D515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第七条  地方各级人民政府对本行政区域固体废物污染环境防治负责。</w:t>
      </w:r>
    </w:p>
    <w:p w14:paraId="56D423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国家实行固体废物污染环境防治目标责任制和考核评价制度，将固体废物污染环境防治目标完成情况纳入考核评价的内容。</w:t>
      </w:r>
    </w:p>
    <w:p w14:paraId="62AF5A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第八条  各级人民政府应当加强对固体废物污染环境防治工作的领导，组织、协调、督促有关部门依法履行固体废物污染环境防治监督管理职责。</w:t>
      </w:r>
    </w:p>
    <w:p w14:paraId="2772CB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省、自治区、直辖市之间可以协商建立跨行政区域固体废物污染环境的联防联控机制，统筹规划制定、设施建设、固体废物转移等工作。</w:t>
      </w:r>
    </w:p>
    <w:p w14:paraId="332255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14:paraId="14C17A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14:paraId="78BADC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第十条  国家鼓励、支持固体废物污染环境防治的科学研究、技术开发、先进技术推广和科学普及，加强固体废物污染环境防治科技支撑。</w:t>
      </w:r>
    </w:p>
    <w:p w14:paraId="266883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第十一条  国家机关、社会团体、企业事业单位、基层群众性自治组织和新闻媒体应当加强固体废物污染环境防治宣传教育和科学普及，增强公众固体废物污染环境防治意识。</w:t>
      </w:r>
    </w:p>
    <w:p w14:paraId="2A1796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学校应当开展生活垃圾分类以及其他固体废物污染环境防治知识普及和教育。</w:t>
      </w:r>
    </w:p>
    <w:p w14:paraId="6AD29B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第十二条  各级人民政府对在固体废物污染环境防治工作以及相关的综合利用活动中做出显著成绩的单位和个人，按照国家有关规定给予表彰、奖励。</w:t>
      </w:r>
    </w:p>
    <w:p w14:paraId="17F56A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pPr>
      <w:r>
        <w:rPr>
          <w:rFonts w:ascii="仿宋_GB2312" w:hAnsi="仿宋_GB2312" w:eastAsia="仿宋_GB2312" w:cs="仿宋_GB2312"/>
          <w:sz w:val="32"/>
        </w:rPr>
        <w:t xml:space="preserve"> </w:t>
      </w:r>
    </w:p>
    <w:p w14:paraId="153D24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pPr>
      <w:r>
        <w:rPr>
          <w:rFonts w:ascii="黑体" w:hAnsi="黑体" w:eastAsia="黑体" w:cs="黑体"/>
          <w:sz w:val="32"/>
        </w:rPr>
        <w:t>第二章  监督管理</w:t>
      </w:r>
    </w:p>
    <w:p w14:paraId="10A7F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14:paraId="265696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第十四条  国务院生态环境主管部门应当会同国务院有关部门根据国家环境质量标准和国家经济、技术条件，制定固体废物鉴别标准、鉴别程序和国家固体废物污染环境防治技术标准。</w:t>
      </w:r>
    </w:p>
    <w:p w14:paraId="48C043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第十五条  国务院标准化主管部门应当会同国务院发展改革、工业和信息化、生态环境、农业农村等主管部门，制定固体废物综合利用标准。</w:t>
      </w:r>
    </w:p>
    <w:p w14:paraId="123971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综合利用固体废物应当遵守生态环境法律法规，符合固体废物污染环境防治技术标准。使用固体废物综合利用产物应当符合国家规定的用途、标准。</w:t>
      </w:r>
    </w:p>
    <w:p w14:paraId="5513AAB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第十六条  国务院生态环境主管部门应当会同国务院有关部门建立全国危险废物等固体废物污染环境防治信息平台，推进固体废物收集、转移、处置等全过程监控和信息化追溯。</w:t>
      </w:r>
    </w:p>
    <w:p w14:paraId="7080E5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第十七条  建设产生、贮存、利用、处置固体废物的项目，应当依法进行环境影响评价，并遵守国家有关建设项目环境保护管理的规定。</w:t>
      </w:r>
    </w:p>
    <w:p w14:paraId="656817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14:paraId="17C2D1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建设单位应当依照有关法律法规的规定，对配套建设的固体废物污染环境防治设施进行验收，编制验收报告，并向社会公开。</w:t>
      </w:r>
    </w:p>
    <w:p w14:paraId="3A1844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第十九条  收集、贮存、运输、利用、处置固体废物的单位和其他生产经营者，应当加强对相关设施、设备和场所的管理和维护，保证其正常运行和使用。</w:t>
      </w:r>
    </w:p>
    <w:p w14:paraId="7C2395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第二十条  产生、收集、贮存、运输、利用、处置固体废物的单位和其他生产经营者，应当采取防扬散、防流失、防渗漏或者其他防止污染环境的措施，不得擅自倾倒、堆放、丢弃、遗撒固体废物。</w:t>
      </w:r>
    </w:p>
    <w:p w14:paraId="3F4C97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禁止任何单位或者个人向江河、湖泊、运河、渠道、水库及其最高水位线以下的滩地和岸坡以及法律法规规定的其他地点倾倒、堆放、贮存固体废物。</w:t>
      </w:r>
    </w:p>
    <w:p w14:paraId="0AF1A8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第二十一条  在生态保护红线区域、永久基本农田集中区域和其他需要特别保护的区域内，禁止建设工业固体废物、危险废物集中贮存、利用、处置的设施、场所和生活垃圾填埋场。</w:t>
      </w:r>
    </w:p>
    <w:p w14:paraId="4E3733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14:paraId="7FA96F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14:paraId="40F49C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第二十三条  禁止中华人民共和国境外的固体废物进境倾倒、堆放、处置。</w:t>
      </w:r>
    </w:p>
    <w:p w14:paraId="4A6E67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第二十四条  国家逐步实现固体废物零进口，由国务院生态环境主管部门会同国务院商务、发展改革、海关等主管部门组织实施。</w:t>
      </w:r>
    </w:p>
    <w:p w14:paraId="58938F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第二十五条  海关发现进口货物疑似固体废物的，可以委托专业机构开展属性鉴别，并根据鉴别结论依法管理。</w:t>
      </w:r>
    </w:p>
    <w:p w14:paraId="52F7D4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352EE1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实施现场检查，可以采取现场监测、采集样品、查阅或者复制与固体废物污染环境防治相关的资料等措施。检查人员进行现场检查，应当出示证件。对现场检查中知悉的商业秘密应当保密。</w:t>
      </w:r>
    </w:p>
    <w:p w14:paraId="4C605E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第二十七条  有下列情形之一，生态环境主管部门和其他负有固体废物污染环境防治监督管理职责的部门，可以对违法收集、贮存、运输、利用、处置的固体废物及设施、设备、场所、工具、物品予以查封、扣押：</w:t>
      </w:r>
    </w:p>
    <w:p w14:paraId="457B2A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（一）可能造成证据灭失、被隐匿或者非法转移的；</w:t>
      </w:r>
    </w:p>
    <w:p w14:paraId="457FDD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（二）造成或者可能造成严重环境污染的。</w:t>
      </w:r>
    </w:p>
    <w:p w14:paraId="72225C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第二十八条  生态环境主管部门应当会同有关部门建立产生、收集、贮存、运输、利用、处置固体废物的单位和其他生产经营者信用记录制度，将相关信用记录纳入全国信用信息共享平台。</w:t>
      </w:r>
    </w:p>
    <w:p w14:paraId="7B36FA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第二十九条  设区的市级人民政府生态环境主管部门应当会同住房城乡建设、农业农村、卫生健康等主管部门，定期向社会发布固体废物的种类、产生量、处置能力、利用处置状况等信息。</w:t>
      </w:r>
    </w:p>
    <w:p w14:paraId="798780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产生、收集、贮存、运输、利用、处置固体废物的单位，应当依法及时公开固体废物污染环境防治信息，主动接受社会监督。</w:t>
      </w:r>
    </w:p>
    <w:p w14:paraId="572417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利用、处置固体废物的单位，应当依法向公众开放设施、场所，提高公众环境保护意识和参与程度。</w:t>
      </w:r>
    </w:p>
    <w:p w14:paraId="09E298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14:paraId="7A1557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第三十一条  任何单位和个人都有权对造成固体废物污染环境的单位和个人进行举报。</w:t>
      </w:r>
    </w:p>
    <w:p w14:paraId="63B203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生态环境主管部门和其他负有固体废物污染环境防治监督管理职责的部门应当将固体废物污染环境防治举报方式向社会公布，方便公众举报。</w:t>
      </w:r>
    </w:p>
    <w:p w14:paraId="73ED13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接到举报的部门应当及时处理并对举报人的相关信息予以保密；对实名举报并查证属实的，给予奖励。</w:t>
      </w:r>
    </w:p>
    <w:p w14:paraId="6BFF96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举报人举报所在单位的，该单位不得以解除、变更劳动合同或者其他方式对举报人进行打击报复。</w:t>
      </w:r>
    </w:p>
    <w:p w14:paraId="53F36C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pPr>
      <w:r>
        <w:rPr>
          <w:rFonts w:ascii="仿宋_GB2312" w:hAnsi="仿宋_GB2312" w:eastAsia="仿宋_GB2312" w:cs="仿宋_GB2312"/>
          <w:sz w:val="32"/>
        </w:rPr>
        <w:t xml:space="preserve"> </w:t>
      </w:r>
    </w:p>
    <w:p w14:paraId="3E5E6E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pPr>
      <w:r>
        <w:rPr>
          <w:rFonts w:ascii="黑体" w:hAnsi="黑体" w:eastAsia="黑体" w:cs="黑体"/>
          <w:sz w:val="32"/>
        </w:rPr>
        <w:t>第三章  工业固体废物</w:t>
      </w:r>
    </w:p>
    <w:p w14:paraId="440BFB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14:paraId="11CE42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14:paraId="316329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14:paraId="337FBF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列入限期淘汰名录被淘汰的设备，不得转让给他人使用。</w:t>
      </w:r>
    </w:p>
    <w:p w14:paraId="6D8E8F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14:paraId="43BBAC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第三十五条  县级以上地方人民政府应当制定工业固体废物污染环境防治工作规划，组织建设工业固体废物集中处置等设施，推动工业固体废物污染环境防治工作。</w:t>
      </w:r>
    </w:p>
    <w:p w14:paraId="3FF3C6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5F9862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禁止向生活垃圾收集设施中投放工业固体废物。</w:t>
      </w:r>
    </w:p>
    <w:p w14:paraId="233867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第三十七条  产生工业固体废物的单位委托他人运输、利用、处置工业固体废物的，应当对受托方的主体资格和技术能力进行核实，依法签订书面合同，在合同中约定污染防治要求。</w:t>
      </w:r>
    </w:p>
    <w:p w14:paraId="370BC5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受托方运输、利用、处置工业固体废物，应当依照有关法律法规的规定和合同约定履行污染防治要求，并将运输、利用、处置情况告知产生工业固体废物的单位。</w:t>
      </w:r>
    </w:p>
    <w:p w14:paraId="3DADAA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产生工业固体废物的单位违反本条第一款规定的，除依照有关法律法规的规定予以处罚外，还应当与造成环境污染和生态破坏的受托方承担连带责任。</w:t>
      </w:r>
    </w:p>
    <w:p w14:paraId="65C3ED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第三十八条  产生工业固体废物的单位应当依法实施清洁生产审核，合理选择和利用原材料、能源和其他资源，采用先进的生产工艺和设备，减少工业固体废物的产生量，降低工业固体废物的危害性。</w:t>
      </w:r>
    </w:p>
    <w:p w14:paraId="1B8A98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第三十九条  产生工业固体废物的单位应当取得排污许可证。排污许可的具体办法和实施步骤由国务院规定。</w:t>
      </w:r>
    </w:p>
    <w:p w14:paraId="0DEF14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70219F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12D257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建设工业固体废物贮存、处置的设施、场所，应当符合国家环境保护标准。</w:t>
      </w:r>
    </w:p>
    <w:p w14:paraId="784605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第四十一条  产生工业固体废物的单位终止的，应当在终止前对工业固体废物的贮存、处置的设施、场所采取污染防治措施，并对未处置的工业固体废物作出妥善处置，防止污染环境。</w:t>
      </w:r>
    </w:p>
    <w:p w14:paraId="6C5791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14:paraId="4DFF9A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14:paraId="122971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第四十二条  矿山企业应当采取科学的开采方法和选矿工艺，减少尾矿、煤矸石、废石等矿业固体废物的产生量和贮存量。</w:t>
      </w:r>
    </w:p>
    <w:p w14:paraId="0DBBB4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国家鼓励采取先进工艺对尾矿、煤矸石、废石等矿业固体废物进行综合利用。</w:t>
      </w:r>
    </w:p>
    <w:p w14:paraId="2AE4A6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尾矿、煤矸石、废石等矿业固体废物贮存设施停止使用后，矿山企业应当按照国家有关环境保护等规定进行封场，防止造成环境污染和生态破坏。</w:t>
      </w:r>
    </w:p>
    <w:p w14:paraId="676A13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sz w:val="32"/>
        </w:rPr>
        <w:t xml:space="preserve"> </w:t>
      </w:r>
    </w:p>
    <w:p w14:paraId="67F769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rPr>
      </w:pPr>
      <w:r>
        <w:rPr>
          <w:rFonts w:hint="eastAsia" w:ascii="黑体" w:hAnsi="黑体" w:eastAsia="黑体" w:cs="黑体"/>
          <w:sz w:val="32"/>
        </w:rPr>
        <w:t>第四章  生活垃圾</w:t>
      </w:r>
    </w:p>
    <w:p w14:paraId="22BC28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四十三条  县级以上地方人民政府应当加快建立分类投放、分类收集、分类运输、分类处理的生活垃圾管理系统，实现生活垃圾分类制度有效覆盖。</w:t>
      </w:r>
    </w:p>
    <w:p w14:paraId="1AD67B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县级以上地方人民政府应当建立生活垃圾分类工作协调机制，加强和统筹生活垃圾分类管理能力建设。</w:t>
      </w:r>
    </w:p>
    <w:p w14:paraId="4404AF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各级人民政府及其有关部门应当组织开展生活垃圾分类宣传，教育引导公众养成生活垃圾分类习惯，督促和指导生活垃圾分类工作。</w:t>
      </w:r>
    </w:p>
    <w:p w14:paraId="34C269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第四十四条  县级以上地方人民政府应当有计划地改进燃料结构，发展清洁能源，减少燃料废渣等固体废物的产生量。</w:t>
      </w:r>
    </w:p>
    <w:p w14:paraId="528032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县级以上地方人民政府有关部门应当加强产品生产和流通过程管理，避免过度包装，组织净菜上市，减少生活垃圾的产生量。</w:t>
      </w:r>
    </w:p>
    <w:p w14:paraId="3C6EE5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14:paraId="3CCF58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县级以上地方人民政府有关部门应当统筹规划，合理安排回收、分拣、打包网点，促进生活垃圾的回收利用工作。</w:t>
      </w:r>
    </w:p>
    <w:p w14:paraId="4C0D76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第四十六条  地方各级人民政府应当加强农村生活垃圾污染环境的防治，保护和改善农村人居环境。</w:t>
      </w:r>
    </w:p>
    <w:p w14:paraId="320CB1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14:paraId="78D9D4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第四十七条  设区的市级以上人民政府环境卫生主管部门应当制定生活垃圾清扫、收集、贮存、运输和处理设施、场所建设运行规范，发布生活垃圾分类指导目录，加强监督管理。</w:t>
      </w:r>
    </w:p>
    <w:p w14:paraId="4251EE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第四十八条  县级以上地方人民政府环境卫生等主管部门应当组织对城乡生活垃圾进行清扫、收集、运输和处理，可以通过招标等方式选择具备条件的单位从事生活垃圾的清扫、收集、运输和处理。</w:t>
      </w:r>
    </w:p>
    <w:p w14:paraId="76ED31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第四十九条  产生生活垃圾的单位、家庭和个人应当依法履行生活垃圾源头减量和分类投放义务，承担生活垃圾产生者责任。</w:t>
      </w:r>
    </w:p>
    <w:p w14:paraId="0030C0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任何单位和个人都应当依法在指定的地点分类投放生活垃圾。禁止随意倾倒、抛撒、堆放或者焚烧生活垃圾。</w:t>
      </w:r>
    </w:p>
    <w:p w14:paraId="25CFE7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机关、事业单位等应当在生活垃圾分类工作中起示范带头作用。</w:t>
      </w:r>
    </w:p>
    <w:p w14:paraId="4F7676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已经分类投放的生活垃圾，应当按照规定分类收集、分类运输、分类处理。</w:t>
      </w:r>
    </w:p>
    <w:p w14:paraId="2958C5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第五十条  清扫、收集、运输、处理城乡生活垃圾，应当遵守国家有关环境保护和环境卫生管理的规定，防止污染环境。</w:t>
      </w:r>
    </w:p>
    <w:p w14:paraId="104F29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从生活垃圾中分类并集中收集的有害垃圾，属于危险废物的，应当按照危险废物管理。</w:t>
      </w:r>
    </w:p>
    <w:p w14:paraId="5C2D22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第五十一条  从事公共交通运输的经营单位，应当及时清扫、收集运输过程中产生的生活垃圾。</w:t>
      </w:r>
    </w:p>
    <w:p w14:paraId="6967F8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第五十二条  农贸市场、农产品批发市场等应当加强环境卫生管理，保持环境卫生清洁，对所产生的垃圾及时清扫、分类收集、妥善处理。</w:t>
      </w:r>
    </w:p>
    <w:p w14:paraId="366D13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14:paraId="4B5A38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县级以上地方人民政府应当统筹生活垃圾公共转运、处理设施与前款规定的收集设施的有效衔接，并加强生活垃圾分类收运体系和再生资源回收体系在规划、建设、运营等方面的融合。</w:t>
      </w:r>
    </w:p>
    <w:p w14:paraId="04D64C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第五十四条  从生活垃圾中回收的物质应当按照国家规定的用途、标准使用，不得用于生产可能危害人体健康的产品。</w:t>
      </w:r>
    </w:p>
    <w:p w14:paraId="405530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第五十五条  建设生活垃圾处理设施、场所，应当符合国务院生态环境主管部门和国务院住房城乡建设主管部门规定的环境保护和环境卫生标准。</w:t>
      </w:r>
    </w:p>
    <w:p w14:paraId="4A7B14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鼓励相邻地区统筹生活垃圾处理设施建设，促进生活垃圾处理设施跨行政区域共建共享。</w:t>
      </w:r>
    </w:p>
    <w:p w14:paraId="3F3A30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14:paraId="4D38B7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第五十六条  生活垃圾处理单位应当按照国家有关规定，安装使用监测设备，实时监测污染物的排放情况，将污染排放数据实时公开。监测设备应当与所在地生态环境主管部门的监控设备联网。</w:t>
      </w:r>
    </w:p>
    <w:p w14:paraId="751BEE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第五十七条  县级以上地方人民政府环境卫生主管部门负责组织开展厨余垃圾资源化、无害化处理工作。</w:t>
      </w:r>
    </w:p>
    <w:p w14:paraId="7D8048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产生、收集厨余垃圾的单位和其他生产经营者，应当将厨余垃圾交由具备相应资质条件的单位进行无害化处理。</w:t>
      </w:r>
    </w:p>
    <w:p w14:paraId="39AE00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禁止畜禽养殖场、养殖小区利用未经无害化处理的厨余垃圾饲喂畜禽。</w:t>
      </w:r>
    </w:p>
    <w:p w14:paraId="53143E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第五十八条  县级以上地方人民政府应当按照产生者付费原则，建立生活垃圾处理收费制度。</w:t>
      </w:r>
    </w:p>
    <w:p w14:paraId="42BCCA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县级以上地方人民政府制定生活垃圾处理收费标准，应当根据本地实际，结合生活垃圾分类情况，体现分类计价、计量收费等差别化管理，并充分征求公众意见。生活垃圾处理收费标准应当向社会公布。</w:t>
      </w:r>
    </w:p>
    <w:p w14:paraId="43B792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生活垃圾处理费应当专项用于生活垃圾的收集、运输和处理等，不得挪作他用。</w:t>
      </w:r>
    </w:p>
    <w:p w14:paraId="0000C0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第五十九条  省、自治区、直辖市和设区的市、自治州可以结合实际，制定本地方生活垃圾具体管理办法。</w:t>
      </w:r>
    </w:p>
    <w:p w14:paraId="15038E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sz w:val="32"/>
        </w:rPr>
        <w:t xml:space="preserve"> </w:t>
      </w:r>
    </w:p>
    <w:p w14:paraId="366D4F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rPr>
      </w:pPr>
      <w:r>
        <w:rPr>
          <w:rFonts w:hint="eastAsia" w:ascii="黑体" w:hAnsi="黑体" w:eastAsia="黑体" w:cs="黑体"/>
          <w:sz w:val="32"/>
        </w:rPr>
        <w:t>第五章  建筑垃圾、农业固体废物等</w:t>
      </w:r>
    </w:p>
    <w:p w14:paraId="12F208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第六十条  县级以上地方人民政府应当加强建筑垃圾污染环境的防治，建立建筑垃圾分类处理制度。</w:t>
      </w:r>
    </w:p>
    <w:p w14:paraId="1F68EE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县级以上地方人民政府应当制定包括源头减量、分类处理、消纳设施和场所布局及建设等在内的建筑垃圾污染环境防治工作规划。</w:t>
      </w:r>
    </w:p>
    <w:p w14:paraId="2179AB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第六十一条  国家鼓励采用先进技术、工艺、设备和管理措施，推进建筑垃圾源头减量，建立建筑垃圾回收利用体系。</w:t>
      </w:r>
    </w:p>
    <w:p w14:paraId="35E5BD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县级以上地方人民政府应当推动建筑垃圾综合利用产品应用。</w:t>
      </w:r>
    </w:p>
    <w:p w14:paraId="501745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09DF09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第六十三条  工程施工单位应当编制建筑垃圾处理方案，采取污染防治措施，并报县级以上地方人民政府环境卫生主管部门备案。</w:t>
      </w:r>
    </w:p>
    <w:p w14:paraId="64149A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工程施工单位应当及时清运工程施工过程中产生的建筑垃圾等固体废物，并按照环境卫生主管部门的规定进行利用或者处置。</w:t>
      </w:r>
    </w:p>
    <w:p w14:paraId="2DA783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工程施工单位不得擅自倾倒、抛撒或者堆放工程施工过程中产生的建筑垃圾。</w:t>
      </w:r>
    </w:p>
    <w:p w14:paraId="494606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14:paraId="1F1E5A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第六十五条  产生秸秆、废弃农用薄膜、农药包装废弃物等农业固体废物的单位和其他生产经营者，应当采取回收利用和其他防止污染环境的措施。</w:t>
      </w:r>
    </w:p>
    <w:p w14:paraId="799031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从事畜禽规模养殖应当及时收集、贮存、利用或者处置养殖过程中产生的畜禽粪污等固体废物，避免造成环境污染。</w:t>
      </w:r>
    </w:p>
    <w:p w14:paraId="5F3593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禁止在人口集中地区、机场周围、交通干线附近以及当地人民政府划定的其他区域露天焚烧秸秆。</w:t>
      </w:r>
    </w:p>
    <w:p w14:paraId="6424A9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国家鼓励研究开发、生产、销售、使用在环境中可降解且无害的农用薄膜。</w:t>
      </w:r>
    </w:p>
    <w:p w14:paraId="634628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第六十六条  国家建立电器电子、铅蓄电池、车用动力电池等产品的生产者责任延伸制度。</w:t>
      </w:r>
    </w:p>
    <w:p w14:paraId="75F0CE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电器电子、铅蓄电池、车用动力电池等产品的生产者应当按照规定以自建或者委托等方式建立与产品销售量相匹配的废旧产品回收体系，并向社会公开，实现有效回收和利用。</w:t>
      </w:r>
    </w:p>
    <w:p w14:paraId="5F6178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国家鼓励产品的生产者开展生态设计，促进资源回收利用。</w:t>
      </w:r>
    </w:p>
    <w:p w14:paraId="496F3F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第六十七条  国家对废弃电器电子产品等实行多渠道回收和集中处理制度。</w:t>
      </w:r>
    </w:p>
    <w:p w14:paraId="080468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禁止将废弃机动车船等交由不符合规定条件的企业或者个人回收、拆解。</w:t>
      </w:r>
    </w:p>
    <w:p w14:paraId="4344FF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拆解、利用、处置废弃电器电子产品、废弃机动车船等，应当遵守有关法律法规的规定，采取防止污染环境的措施。</w:t>
      </w:r>
    </w:p>
    <w:p w14:paraId="574F66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14:paraId="583B3A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生产经营者应当遵守限制商品过度包装的强制性标准，避免过度包装。县级以上地方人民政府市场监督管理部门和有关部门应当按照各自职责，加强对过度包装的监督管理。</w:t>
      </w:r>
    </w:p>
    <w:p w14:paraId="3E8616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生产、销售、进口依法被列入强制回收目录的产品和包装物的企业，应当按照国家有关规定对该产品和包装物进行回收。</w:t>
      </w:r>
    </w:p>
    <w:p w14:paraId="03E3F4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电子商务、快递、外卖等行业应当优先采用可重复使用、易回收利用的包装物，优化物品包装，减少包装物的使用，并积极回收利用包装物。县级以上地方人民政府商务、邮政等主管部门应当加强监督管理。</w:t>
      </w:r>
    </w:p>
    <w:p w14:paraId="47F62F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国家鼓励和引导消费者使用绿色包装和减量包装。</w:t>
      </w:r>
    </w:p>
    <w:p w14:paraId="1B70E6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第六十九条  国家依法禁止、限制生产、销售和使用不可降解塑料袋等一次性塑料制品。</w:t>
      </w:r>
    </w:p>
    <w:p w14:paraId="5716B4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商品零售场所开办单位、电子商务平台企业和快递企业、外卖企业应当按照国家有关规定向商务、邮政等主管部门报告塑料袋等一次性塑料制品的使用、回收情况。</w:t>
      </w:r>
    </w:p>
    <w:p w14:paraId="7E0113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国家鼓励和引导减少使用、积极回收塑料袋等一次性塑料制品，推广应用可循环、易回收、可降解的替代产品。</w:t>
      </w:r>
    </w:p>
    <w:p w14:paraId="32834F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第七十条  旅游、住宿等行业应当按照国家有关规定推行不主动提供一次性用品。</w:t>
      </w:r>
    </w:p>
    <w:p w14:paraId="5FE04C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机关、企业事业单位等的办公场所应当使用有利于保护环境的产品、设备和设施，减少使用一次性办公用品。</w:t>
      </w:r>
    </w:p>
    <w:p w14:paraId="5C3204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14:paraId="2E2EC3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14:paraId="347B5A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第七十二条  禁止擅自倾倒、堆放、丢弃、遗撒城镇污水处理设施产生的污泥和处理后的污泥。</w:t>
      </w:r>
    </w:p>
    <w:p w14:paraId="0761C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禁止重金属或者其他有毒有害物质含量超标的污泥进入农用地。</w:t>
      </w:r>
    </w:p>
    <w:p w14:paraId="33F420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从事水体清淤疏浚应当按照国家有关规定处理清淤疏浚过程中产生的底泥，防止污染环境。</w:t>
      </w:r>
    </w:p>
    <w:p w14:paraId="79B4BB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第七十三条  各级各类实验室及其设立单位应当加强对实验室产生的固体废物的管理，依法收集、贮存、运输、利用、处置实验室固体废物。实验室固体废物属于危险废物的，应当按照危险废物管理。</w:t>
      </w:r>
    </w:p>
    <w:p w14:paraId="50E7FA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sz w:val="32"/>
        </w:rPr>
        <w:t xml:space="preserve"> </w:t>
      </w:r>
    </w:p>
    <w:p w14:paraId="2BCC85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rPr>
      </w:pPr>
      <w:r>
        <w:rPr>
          <w:rFonts w:hint="eastAsia" w:ascii="黑体" w:hAnsi="黑体" w:eastAsia="黑体" w:cs="黑体"/>
          <w:sz w:val="32"/>
        </w:rPr>
        <w:t>第六章  危险废物</w:t>
      </w:r>
    </w:p>
    <w:p w14:paraId="1FC9C4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第七十四条  危险废物污染环境的防治，适用本章规定；本章未作规定的，适用本法其他有关规定。</w:t>
      </w:r>
    </w:p>
    <w:p w14:paraId="4D80E0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第七十五条  国务院生态环境主管部门应当会同国务院有关部门制定国家危险废物名录，规定统一的危险废物鉴别标准、鉴别方法、识别标志和鉴别单位管理要求。国家危险废物名录应当动态调整。</w:t>
      </w:r>
    </w:p>
    <w:p w14:paraId="2B0730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国务院生态环境主管部门根据危险废物的危害特性和产生数量，科学评估其环境风险，实施分级分类管理，建立信息化监管体系，并通过信息化手段管理、共享危险废物转移数据和信息。</w:t>
      </w:r>
    </w:p>
    <w:p w14:paraId="6AC35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14:paraId="05E831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编制危险废物集中处置设施、场所的建设规划，应当征求有关行业协会、企业事业单位、专家和公众等方面的意见。</w:t>
      </w:r>
    </w:p>
    <w:p w14:paraId="48CB40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相邻省、自治区、直辖市之间可以开展区域合作，统筹建设区域性危险废物集中处置设施、场所。</w:t>
      </w:r>
    </w:p>
    <w:p w14:paraId="774D2F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第七十七条  对危险废物的容器和包装物以及收集、贮存、运输、利用、处置危险废物的设施、场所，应当按照规定设置危险废物识别标志。</w:t>
      </w:r>
    </w:p>
    <w:p w14:paraId="2B37C1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47964A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前款所称危险废物管理计划应当包括减少危险废物产生量和降低危险废物危害性的措施以及危险废物贮存、利用、处置措施。危险废物管理计划应当报产生危险废物的单位所在地生态环境主管部门备案。</w:t>
      </w:r>
    </w:p>
    <w:p w14:paraId="41F57F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产生危险废物的单位已经取得排污许可证的，执行排污许可管理制度的规定。</w:t>
      </w:r>
    </w:p>
    <w:p w14:paraId="343025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第七十九条  产生危险废物的单位，应当按照国家有关规定和环境保护标准要求贮存、利用、处置危险废物，不得擅自倾倒、堆放。</w:t>
      </w:r>
    </w:p>
    <w:p w14:paraId="639C1A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第八十条  从事收集、贮存、利用、处置危险废物经营活动的单位，应当按照国家有关规定申请取得许可证。许可证的具体管理办法由国务院制定。</w:t>
      </w:r>
    </w:p>
    <w:p w14:paraId="48B682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禁止无许可证或者未按照许可证规定从事危险废物收集、贮存、利用、处置的经营活动。</w:t>
      </w:r>
    </w:p>
    <w:p w14:paraId="554629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禁止将危险废物提供或者委托给无许可证的单位或者其他生产经营者从事收集、贮存、利用、处置活动。</w:t>
      </w:r>
    </w:p>
    <w:p w14:paraId="16EA0C5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第八十一条  收集、贮存危险废物，应当按照危险废物特性分类进行。禁止混合收集、贮存、运输、处置性质不相容而未经安全性处置的危险废物。</w:t>
      </w:r>
    </w:p>
    <w:p w14:paraId="1F8519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贮存危险废物应当采取符合国家环境保护标准的防护措施。禁止将危险废物混入非危险废物中贮存。</w:t>
      </w:r>
    </w:p>
    <w:p w14:paraId="67B5A6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从事收集、贮存、利用、处置危险废物经营活动的单位，贮存危险废物不得超过一年；确需延长期限的，应当报经颁发许可证的生态环境主管部门批准；法律、行政法规另有规定的除外。</w:t>
      </w:r>
    </w:p>
    <w:p w14:paraId="4C6866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第八十二条  转移危险废物的，应当按照国家有关规定填写、运行危险废物电子或者纸质转移联单。</w:t>
      </w:r>
    </w:p>
    <w:p w14:paraId="7A7F83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14:paraId="6BB427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危险废物转移管理应当全程管控、提高效率，具体办法由国务院生态环境主管部门会同国务院交通运输主管部门和公安部门制定。</w:t>
      </w:r>
    </w:p>
    <w:p w14:paraId="5F838C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第八十三条  运输危险废物，应当采取防止污染环境的措施，并遵守国家有关危险货物运输管理的规定。</w:t>
      </w:r>
    </w:p>
    <w:p w14:paraId="6F43A4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禁止将危险废物与旅客在同一运输工具上载运。</w:t>
      </w:r>
    </w:p>
    <w:p w14:paraId="1B7989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第八十四条  收集、贮存、运输、利用、处置危险废物的场所、设施、设备和容器、包装物及其他物品转作他用时，应当按照国家有关规定经过消除污染处理，方可使用。</w:t>
      </w:r>
    </w:p>
    <w:p w14:paraId="494A95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614FAC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14:paraId="3A42E7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14:paraId="1642D4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14:paraId="62FE24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第八十九条  禁止经中华人民共和国过境转移危险废物。</w:t>
      </w:r>
    </w:p>
    <w:p w14:paraId="4CA112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第九十条  医疗废物按照国家危险废物名录管理。县级以上地方人民政府应当加强医疗废物集中处置能力建设。</w:t>
      </w:r>
    </w:p>
    <w:p w14:paraId="2C1EBA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县级以上人民政府卫生健康、生态环境等主管部门应当在各自职责范围内加强对医疗废物收集、贮存、运输、处置的监督管理，防止危害公众健康、污染环境。</w:t>
      </w:r>
    </w:p>
    <w:p w14:paraId="634624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医疗卫生机构应当依法分类收集本单位产生的医疗废物，交由医疗废物集中处置单位处置。医疗废物集中处置单位应当及时收集、运输和处置医疗废物。</w:t>
      </w:r>
    </w:p>
    <w:p w14:paraId="2C27D1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医疗卫生机构和医疗废物集中处置单位，应当采取有效措施，防止医疗废物流失、泄漏、渗漏、扩散。</w:t>
      </w:r>
    </w:p>
    <w:p w14:paraId="5EADDD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14:paraId="4DF490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sz w:val="32"/>
        </w:rPr>
        <w:t xml:space="preserve"> </w:t>
      </w:r>
    </w:p>
    <w:p w14:paraId="2E4D0A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rPr>
      </w:pPr>
      <w:r>
        <w:rPr>
          <w:rFonts w:hint="eastAsia" w:ascii="黑体" w:hAnsi="黑体" w:eastAsia="黑体" w:cs="黑体"/>
          <w:sz w:val="32"/>
        </w:rPr>
        <w:t>第七章  保障措施</w:t>
      </w:r>
    </w:p>
    <w:p w14:paraId="181641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14:paraId="6EF735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14:paraId="4CAA77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第九十四条  国家鼓励和支持科研单位、固体废物产生单位、固体废物利用单位、固体废物处置单位等联合攻关，研究开发固体废物综合利用、集中处置等的新技术，推动固体废物污染环境防治技术进步。</w:t>
      </w:r>
    </w:p>
    <w:p w14:paraId="29BE80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第九十五条  各级人民政府应当加强固体废物污染环境的防治，按照事权划分的原则安排必要的资金用于下列事项：</w:t>
      </w:r>
    </w:p>
    <w:p w14:paraId="417458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（一）固体废物污染环境防治的科学研究、技术开发；</w:t>
      </w:r>
    </w:p>
    <w:p w14:paraId="2EA8AD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（二）生活垃圾分类；</w:t>
      </w:r>
    </w:p>
    <w:p w14:paraId="69E325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（三）固体废物集中处置设施建设；</w:t>
      </w:r>
    </w:p>
    <w:p w14:paraId="10D769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（四）重大传染病疫情等突发事件产生的医疗废物等危险废物应急处置；</w:t>
      </w:r>
    </w:p>
    <w:p w14:paraId="567294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（五）涉及固体废物污染环境防治的其他事项。</w:t>
      </w:r>
    </w:p>
    <w:p w14:paraId="2373FF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使用资金应当加强绩效管理和审计监督，确保资金使用效益。</w:t>
      </w:r>
    </w:p>
    <w:p w14:paraId="2B3099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第九十六条  国家鼓励和支持社会力量参与固体废物污染环境防治工作，并按照国家有关规定给予政策扶持。</w:t>
      </w:r>
    </w:p>
    <w:p w14:paraId="727660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第九十七条  国家发展绿色金融，鼓励金融机构加大对固体废物污染环境防治项目的信贷投放。</w:t>
      </w:r>
    </w:p>
    <w:p w14:paraId="23E0AB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第九十八条  从事固体废物综合利用等固体废物污染环境防治工作的，依照法律、行政法规的规定，享受税收优惠。</w:t>
      </w:r>
    </w:p>
    <w:p w14:paraId="2761B4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国家鼓励并提倡社会各界为防治固体废物污染环境捐赠财产，并依照法律、行政法规的规定，给予税收优惠。</w:t>
      </w:r>
    </w:p>
    <w:p w14:paraId="7B8BE6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第九十九条  收集、贮存、运输、利用、处置危险废物的单位，应当按照国家有关规定，投保环境污染责任保险。</w:t>
      </w:r>
    </w:p>
    <w:p w14:paraId="0ED791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第一百条  国家鼓励单位和个人购买、使用综合利用产品和可重复使用产品。</w:t>
      </w:r>
    </w:p>
    <w:p w14:paraId="42B34E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县级以上人民政府及其有关部门在政府采购过程中，应当优先采购综合利用产品和可重复使用产品。</w:t>
      </w:r>
    </w:p>
    <w:p w14:paraId="60C0B6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sz w:val="32"/>
        </w:rPr>
        <w:t xml:space="preserve"> </w:t>
      </w:r>
    </w:p>
    <w:p w14:paraId="0855E9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rPr>
      </w:pPr>
      <w:r>
        <w:rPr>
          <w:rFonts w:hint="eastAsia" w:ascii="黑体" w:hAnsi="黑体" w:eastAsia="黑体" w:cs="黑体"/>
          <w:sz w:val="32"/>
        </w:rPr>
        <w:t>第八章  法律责任</w:t>
      </w:r>
    </w:p>
    <w:p w14:paraId="03EC08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14:paraId="584EC0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（一）未依法作出行政许可或者办理批准文件的；</w:t>
      </w:r>
    </w:p>
    <w:p w14:paraId="5E7A35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（二）对违法行为进行包庇的；</w:t>
      </w:r>
    </w:p>
    <w:p w14:paraId="438591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（三）未依法查封、扣押的；</w:t>
      </w:r>
    </w:p>
    <w:p w14:paraId="7DE93B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（四）发现违法行为或者接到对违法行为的举报后未予查处的；</w:t>
      </w:r>
    </w:p>
    <w:p w14:paraId="6B0C0F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（五）有其他滥用职权、玩忽职守、徇私舞弊等违法行为的。</w:t>
      </w:r>
    </w:p>
    <w:p w14:paraId="1BAFF4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依照本法规定应当作出行政处罚决定而未作出的，上级主管部门可以直接作出行政处罚决定。</w:t>
      </w:r>
    </w:p>
    <w:p w14:paraId="340BC8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第一百零二条  违反本法规定，有下列行为之一，由生态环境主管部门责令改正，处以罚款，没收违法所得；情节严重的，报经有批准权的人民政府批准，可以责令停业或者关闭：</w:t>
      </w:r>
    </w:p>
    <w:p w14:paraId="6F80A1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（一）产生、收集、贮存、运输、利用、处置固体废物的单位未依法及时公开固体废物污染环境防治信息的；</w:t>
      </w:r>
    </w:p>
    <w:p w14:paraId="3F3013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（二）生活垃圾处理单位未按照国家有关规定安装使用监测设备、实时监测污染物的排放情况并公开污染排放数据的；</w:t>
      </w:r>
    </w:p>
    <w:p w14:paraId="04F332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（三）将列入限期淘汰名录被淘汰的设备转让给他人使用的；</w:t>
      </w:r>
    </w:p>
    <w:p w14:paraId="0663DD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（四）在生态保护红线区域、永久基本农田集中区域和其他需要特别保护的区域内，建设工业固体废物、危险废物集中贮存、利用、处置的设施、场所和生活垃圾填埋场的；</w:t>
      </w:r>
    </w:p>
    <w:p w14:paraId="63EF01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（五）转移固体废物出省、自治区、直辖市行政区域贮存、处置未经批准的；</w:t>
      </w:r>
    </w:p>
    <w:p w14:paraId="068D3C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（六）转移固体废物出省、自治区、直辖市行政区域利用未报备案的；</w:t>
      </w:r>
    </w:p>
    <w:p w14:paraId="1B0E89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（七）擅自倾倒、堆放、丢弃、遗撒工业固体废物，或者未采取相应防范措施，造成工业固体废物扬散、流失、渗漏或者其他环境污染的；</w:t>
      </w:r>
    </w:p>
    <w:p w14:paraId="2E15C9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（八）产生工业固体废物的单位未建立固体废物管理台账并如实记录的；</w:t>
      </w:r>
    </w:p>
    <w:p w14:paraId="7260D2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（九）产生工业固体废物的单位违反本法规定委托他人运输、利用、处置工业固体废物的；</w:t>
      </w:r>
    </w:p>
    <w:p w14:paraId="0CDCCB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（十）贮存工业固体废物未采取符合国家环境保护标准的防护措施的；</w:t>
      </w:r>
    </w:p>
    <w:p w14:paraId="0CB63B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（十一）单位和其他生产经营者违反固体废物管理其他要求，污染环境、破坏生态的。</w:t>
      </w:r>
    </w:p>
    <w:p w14:paraId="7835C8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14DCB0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6484B6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14CF77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14:paraId="1B19ED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30E165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14:paraId="3A1356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14:paraId="305DC5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14:paraId="1573F0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14:paraId="5379F9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第一百一十条  尾矿、煤矸石、废石等矿业固体废物贮存设施停止使用后，未按照国家有关环境保护规定进行封场的，由生态环境主管部门责令改正，处二十万元以上一百万元以下的罚款。</w:t>
      </w:r>
    </w:p>
    <w:p w14:paraId="3F550E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第一百一十一条  违反本法规定，有下列行为之一，由县级以上地方人民政府环境卫生主管部门责令改正，处以罚款，没收违法所得：</w:t>
      </w:r>
    </w:p>
    <w:p w14:paraId="28BA27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（一）随意倾倒、抛撒、堆放或者焚烧生活垃圾的；</w:t>
      </w:r>
    </w:p>
    <w:p w14:paraId="64D4CF5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（二）擅自关闭、闲置或者拆除生活垃圾处理设施、场所的；</w:t>
      </w:r>
    </w:p>
    <w:p w14:paraId="4CB931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（三）工程施工单位未编制建筑垃圾处理方案报备案，或者未及时清运施工过程中产生的固体废物的；</w:t>
      </w:r>
    </w:p>
    <w:p w14:paraId="3DBF7D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（四）工程施工单位擅自倾倒、抛撒或者堆放工程施工过程中产生的建筑垃圾，或者未按照规定对施工过程中产生的固体废物进行利用或者处置的；</w:t>
      </w:r>
    </w:p>
    <w:p w14:paraId="4561B0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（五）产生、收集厨余垃圾的单位和其他生产经营者未将厨余垃圾交由具备相应资质条件的单位进行无害化处理的；</w:t>
      </w:r>
    </w:p>
    <w:p w14:paraId="542F69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（六）畜禽养殖场、养殖小区利用未经无害化处理的厨余垃圾饲喂畜禽的；</w:t>
      </w:r>
    </w:p>
    <w:p w14:paraId="3C5CA5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（七）在运输过程中沿途丢弃、遗撒生活垃圾的。</w:t>
      </w:r>
    </w:p>
    <w:p w14:paraId="7517DB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244882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违反本法规定，未在指定的地点分类投放生活垃圾的，由县级以上地方人民政府环境卫生主管部门责令改正；情节严重的，对单位处五万元以上五十万元以下的罚款，对个人依法处以罚款。</w:t>
      </w:r>
    </w:p>
    <w:p w14:paraId="39CD4B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第一百一十二条  违反本法规定，有下列行为之一，由生态环境主管部门责令改正，处以罚款，没收违法所得；情节严重的，报经有批准权的人民政府批准，可以责令停业或者关闭：</w:t>
      </w:r>
    </w:p>
    <w:p w14:paraId="5D434F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（一）未按照规定设置危险废物识别标志的；</w:t>
      </w:r>
    </w:p>
    <w:p w14:paraId="0C1310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（二）未按照国家有关规定制定危险废物管理计划或者申报危险废物有关资料的；</w:t>
      </w:r>
    </w:p>
    <w:p w14:paraId="11182C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（三）擅自倾倒、堆放危险废物的；</w:t>
      </w:r>
    </w:p>
    <w:p w14:paraId="2B7CD8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（四）将危险废物提供或者委托给无许可证的单位或者其他生产经营者从事经营活动的；</w:t>
      </w:r>
    </w:p>
    <w:p w14:paraId="498F53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（五）未按照国家有关规定填写、运行危险废物转移联单或者未经批准擅自转移危险废物的；</w:t>
      </w:r>
    </w:p>
    <w:p w14:paraId="395D91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（六）未按照国家环境保护标准贮存、利用、处置危险废物或者将危险废物混入非危险废物中贮存的；</w:t>
      </w:r>
    </w:p>
    <w:p w14:paraId="71226F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（七）未经安全性处置，混合收集、贮存、运输、处置具有不相容性质的危险废物的；</w:t>
      </w:r>
    </w:p>
    <w:p w14:paraId="700C0F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（八）将危险废物与旅客在同一运输工具上载运的；</w:t>
      </w:r>
    </w:p>
    <w:p w14:paraId="16B70D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（九）未经消除污染处理，将收集、贮存、运输、处置危险废物的场所、设施、设备和容器、包装物及其他物品转作他用的；</w:t>
      </w:r>
    </w:p>
    <w:p w14:paraId="513C78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（十）未采取相应防范措施，造成危险废物扬散、流失、渗漏或者其他环境污染的；</w:t>
      </w:r>
    </w:p>
    <w:p w14:paraId="39677A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（十一）在运输过程中沿途丢弃、遗撒危险废物的；</w:t>
      </w:r>
    </w:p>
    <w:p w14:paraId="06E18E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（十二）未制定危险废物意外事故防范措施和应急预案的；</w:t>
      </w:r>
    </w:p>
    <w:p w14:paraId="45EE8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（十三）未按照国家有关规定建立危险废物管理台账并如实记录的。</w:t>
      </w:r>
    </w:p>
    <w:p w14:paraId="561639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37BE04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14:paraId="1AB6A6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410DA7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24D820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第一百一十五条  违反本法规定，将中华人民共和国境外的固体废物输入境内的，由海关责令退运该固体废物，处五十万元以上五百万元以下的罚款。</w:t>
      </w:r>
    </w:p>
    <w:p w14:paraId="02AEB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承运人对前款规定的固体废物的退运、处置，与进口者承担连带责任。</w:t>
      </w:r>
    </w:p>
    <w:p w14:paraId="1138E0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第一百一十六条  违反本法规定，经中华人民共和国过境转移危险废物的，由海关责令退运该危险废物，处五十万元以上五百万元以下的罚款。</w:t>
      </w:r>
    </w:p>
    <w:p w14:paraId="4F9FCD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14:paraId="41BDBF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6EC252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256301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14:paraId="0F54C1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375FB7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（一）擅自倾倒、堆放、丢弃、遗撒固体废物，造成严重后果的；</w:t>
      </w:r>
    </w:p>
    <w:p w14:paraId="5784A4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（二）在生态保护红线区域、永久基本农田集中区域和其他需要特别保护的区域内，建设工业固体废物、危险废物集中贮存、利用、处置的设施、场所和生活垃圾填埋场的；</w:t>
      </w:r>
    </w:p>
    <w:p w14:paraId="751290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（三）将危险废物提供或者委托给无许可证的单位或者其他生产经营者堆放、利用、处置的；</w:t>
      </w:r>
    </w:p>
    <w:p w14:paraId="1816F2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（四）无许可证或者未按照许可证规定从事收集、贮存、利用、处置危险废物经营活动的；</w:t>
      </w:r>
    </w:p>
    <w:p w14:paraId="0105C2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（五）未经批准擅自转移危险废物的；</w:t>
      </w:r>
    </w:p>
    <w:p w14:paraId="6DF6A9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（六）未采取防范措施，造成危险废物扬散、流失、渗漏或者其他严重后果的。</w:t>
      </w:r>
    </w:p>
    <w:p w14:paraId="3436EF3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14:paraId="74D9AA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14:paraId="730199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对于执法过程中查获的无法确定责任人或者无法退运的固体废物，由所在地县级以上地方人民政府组织处理。</w:t>
      </w:r>
    </w:p>
    <w:p w14:paraId="1FA495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第一百二十三条  违反本法规定，构成违反治安管理行为的，由公安机关依法给予治安管理处罚；构成犯罪的，依法追究刑事责任；造成人身、财产损害的，依法承担民事责任。</w:t>
      </w:r>
    </w:p>
    <w:p w14:paraId="781DB4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sz w:val="32"/>
        </w:rPr>
        <w:t xml:space="preserve"> </w:t>
      </w:r>
    </w:p>
    <w:p w14:paraId="127DEF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rPr>
      </w:pPr>
      <w:r>
        <w:rPr>
          <w:rFonts w:hint="eastAsia" w:ascii="黑体" w:hAnsi="黑体" w:eastAsia="黑体" w:cs="黑体"/>
          <w:sz w:val="32"/>
        </w:rPr>
        <w:t>第九章  附则</w:t>
      </w:r>
    </w:p>
    <w:p w14:paraId="3F7BBB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第一百二十四条  本法下列用语的含义：</w:t>
      </w:r>
    </w:p>
    <w:p w14:paraId="2792F9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14:paraId="74958B7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（二）工业固体废物，是指在工业生产活动中产生的固体废物。</w:t>
      </w:r>
    </w:p>
    <w:p w14:paraId="66D5C7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（三）生活垃圾，是指在日常生活中或者为日常生活提供服务的活动中产生的固体废物，以及法律、行政法规规定视为生活垃圾的固体废物。</w:t>
      </w:r>
    </w:p>
    <w:p w14:paraId="680898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（四）建筑垃圾，是指建设单位、施工单位新建、改建、扩建和拆除各类建筑物、构筑物、管网等，以及居民装饰装修房屋过程中产生的弃土、弃料和其他固体废物。</w:t>
      </w:r>
    </w:p>
    <w:p w14:paraId="27673F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（五）农业固体废物，是指在农业生产活动中产生的固体废物。</w:t>
      </w:r>
    </w:p>
    <w:p w14:paraId="369F41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（六）危险废物，是指列入国家危险废物名录或者根据国家规定的危险废物鉴别标准和鉴别方法认定的具有危险特性的固体废物。</w:t>
      </w:r>
    </w:p>
    <w:p w14:paraId="50C8C8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（七）贮存，是指将固体废物临时置于特定设施或者场所中的活动。</w:t>
      </w:r>
    </w:p>
    <w:p w14:paraId="58A086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（八）利用，是指从固体废物中提取物质作为原材料或者燃料的活动。</w:t>
      </w:r>
    </w:p>
    <w:p w14:paraId="7BEB3E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14:paraId="6EA589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第一百二十五条  液态废物的污染防治，适用本法；但是，排入水体的废水的污染防治适用有关法律，不适用本法。</w:t>
      </w:r>
    </w:p>
    <w:p w14:paraId="75F2E2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rPr>
      </w:pPr>
      <w:r>
        <w:rPr>
          <w:rFonts w:hint="eastAsia" w:ascii="仿宋_GB2312" w:hAnsi="仿宋_GB2312" w:eastAsia="仿宋_GB2312" w:cs="仿宋_GB2312"/>
          <w:sz w:val="32"/>
        </w:rPr>
        <w:t>第一百二十六条  本法自2020年9月1日起施行。</w:t>
      </w:r>
      <w:bookmarkStart w:id="1" w:name="_GoBack"/>
      <w:bookmarkEnd w:id="1"/>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5A8F">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D0D5">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2F902F3"/>
    <w:rsid w:val="34754A21"/>
    <w:rsid w:val="69455E7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character" w:customStyle="1" w:styleId="10">
    <w:name w:val="font_fulltext1"/>
    <w:basedOn w:val="5"/>
    <w:qFormat/>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11561</Words>
  <Characters>11590</Characters>
  <Lines>1</Lines>
  <Paragraphs>1</Paragraphs>
  <TotalTime>13</TotalTime>
  <ScaleCrop>false</ScaleCrop>
  <LinksUpToDate>false</LinksUpToDate>
  <CharactersWithSpaces>11813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程渝洲</cp:lastModifiedBy>
  <cp:lastPrinted>2025-05-29T04:05:11Z</cp:lastPrinted>
  <dcterms:modified xsi:type="dcterms:W3CDTF">2025-05-29T04:06:45Z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5DD760A65D0545F1A300C541E3AFC8EF_13</vt:lpwstr>
  </property>
  <property fmtid="{D5CDD505-2E9C-101B-9397-08002B2CF9AE}" pid="4" name="KSOTemplateDocerSaveRecord">
    <vt:lpwstr>eyJoZGlkIjoiODM5NGNhMWZlNjcxNmQ1N2E3NzQ5MDBmNzgxZjZjYjQiLCJ1c2VySWQiOiI4NjU1NjYwNjgifQ==</vt:lpwstr>
  </property>
</Properties>
</file>