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40" w:beforeAutospacing="0" w:after="240" w:afterAutospacing="0" w:line="560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一二九团行政执法统计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年报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（2024）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一、执法主体名称和数量情况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一二九团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有1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个执法主体，</w:t>
      </w:r>
      <w:bookmarkStart w:id="0" w:name="_GoBack"/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执法主体名称第七师胡杨河市一二九团，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内设执法机构7个</w:t>
      </w:r>
      <w:bookmarkEnd w:id="0"/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，分别为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经济发展办公室、平安法治建设办公室、农业和林业草原中心、文体广电旅游中心、城镇和生态保护中心、便民服务中心、维稳综治中心，内设执法队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二、各执法主体的执法岗位设置及执法人员在岗情况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一二九团执法岗位设置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人，在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执法岗位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人数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三、执法力量投入情况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年行政执法工作，一二九团具有执法资格人员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人，行政执法在岗人数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四、政务服务事项办理情况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年政务服务事项办理方面，共办理企业合法合规信息查询事项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五、执法检查计划执行情况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年一二九团全年行政执法检查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件，人均检查量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六、行政处罚、行政强制等案件办理情况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年一二九团共作出行政处罚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件，其中不予处罚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七、投诉、举报案件的受理和分类办理情况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left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年一二九团全年承办完成交办（移交）0件，办结信访件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GU4NGM0N2NlZDRjZTI4MTdlMzUxOTY1NWUzNmQifQ=="/>
    <w:docVar w:name="KSO_WPS_MARK_KEY" w:val="7a83c765-0220-40af-9980-d45485ff5bb7"/>
  </w:docVars>
  <w:rsids>
    <w:rsidRoot w:val="00000000"/>
    <w:rsid w:val="52500B65"/>
    <w:rsid w:val="53B4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392</Characters>
  <Lines>0</Lines>
  <Paragraphs>0</Paragraphs>
  <TotalTime>9</TotalTime>
  <ScaleCrop>false</ScaleCrop>
  <LinksUpToDate>false</LinksUpToDate>
  <CharactersWithSpaces>392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2025-05-29T03:00:00Z</dcterms:created>
  <dc:creator>HuaWei</dc:creator>
  <cp:lastModifiedBy>Administrator</cp:lastModifiedBy>
  <dcterms:modified xsi:type="dcterms:W3CDTF">2025-05-29T04:06:29Z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CFB7FE965CAA4E00886FFCA289351C7C</vt:lpwstr>
  </property>
</Properties>
</file>