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2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</w:pPr>
    </w:p>
    <w:p w14:paraId="279A9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《胡杨河市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城镇开发边界内国土空间</w:t>
      </w:r>
    </w:p>
    <w:p w14:paraId="24994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详细规划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  <w:t>单元层次初步成果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eastAsia="zh-CN"/>
        </w:rPr>
        <w:t>）</w:t>
      </w:r>
    </w:p>
    <w:p w14:paraId="067758DF"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 w14:paraId="26CDC533">
      <w:pPr>
        <w:pStyle w:val="11"/>
        <w:numPr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6"/>
        </w:rPr>
        <w:t>规划范围</w:t>
      </w:r>
    </w:p>
    <w:p w14:paraId="30993421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以胡杨河市中心城区城镇开发边界为核心，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周边临近地区，四至范围为东至奎北铁路防护带、南至南环西路-南环东路、西至奎河北街-奎河南街、北至解放东路，面积1707.44公顷，包括5个详细规划编制单元，分别为市中区、市西区、市东区、市南区、北园区。</w:t>
      </w:r>
    </w:p>
    <w:p w14:paraId="27665A46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二、发展定位</w:t>
      </w:r>
    </w:p>
    <w:p w14:paraId="61F50BED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落实《胡杨河市国土空间总体规划（2021-2035年）》（下称“总体规划”）确定的中心城区目标愿景与功能定位，各单元功能定位确定为：</w:t>
      </w:r>
    </w:p>
    <w:p w14:paraId="10D77DC2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市中区，以商业服务为引领，集居住生活、行政办公、娱乐休闲、综合服务等功能为一体的休闲宜居生活区。</w:t>
      </w:r>
    </w:p>
    <w:p w14:paraId="36003C37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市西区，以教、文、体、卫等公共服务设施为特色，集娱乐休闲、康养度假等功能的生态宜居生活区。</w:t>
      </w:r>
    </w:p>
    <w:p w14:paraId="4212E16C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市南区，以优质公共服务为特色的高尚宜居生活区。</w:t>
      </w:r>
    </w:p>
    <w:p w14:paraId="695EC519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市东区，依托综合运输枢纽建设的物流商贸区。</w:t>
      </w:r>
    </w:p>
    <w:p w14:paraId="17A28405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北园区，以纺织服装加工为主、商贸物流为辅，配套少量生活居住的绿色产业园区。</w:t>
      </w:r>
    </w:p>
    <w:p w14:paraId="6CD821A4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三、发展规模</w:t>
      </w:r>
    </w:p>
    <w:p w14:paraId="7CD319E1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落实总体规划，规划至2035年，本次规划范围内容纳常住人口10万人，含“克奎乌胡”城市群当量人口1万人和非义务教育在校寄宿学生1万人。规划范围内建设用地总面积1472.61公顷。</w:t>
      </w:r>
    </w:p>
    <w:p w14:paraId="6649F967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四、用地布局</w:t>
      </w:r>
    </w:p>
    <w:p w14:paraId="4FF33DB9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居住用地296.42公顷、公共管理与公共服务设施用地164.03公顷、商业服务业用地95.54公顷、工矿用地205.44公顷、物流仓储用地49.84公顷、交通运输用地289.64公顷、公用设施用地5.49公顷、绿地与开敞空间用地305.67公顷、特殊用地39.67公顷、留白用地20.87公顷。</w:t>
      </w:r>
    </w:p>
    <w:p w14:paraId="1BC3AB86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五、公共服务设施</w:t>
      </w:r>
    </w:p>
    <w:p w14:paraId="24512CAB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规划形成“城市级-片区级-社区级”三级公共服务体系。</w:t>
      </w:r>
    </w:p>
    <w:p w14:paraId="130AE80D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城市级公共服务设施：重点建设博物馆、科技馆等文化设施，筹建第七师胡杨河职业技术学院，建设中医院，完善专业公共卫生设施建设，鼓励增设专科医院。</w:t>
      </w:r>
    </w:p>
    <w:p w14:paraId="2474F3E5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片区级公共服务设施：按照十五分钟社区生活圈服务人口与服务半径要求，设置小学、多功能运动场地、卫生服务中心、文化活动中心、社区服务中心、司法所、派出所等设施。</w:t>
      </w:r>
    </w:p>
    <w:p w14:paraId="35BD625F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社区级公共服务设施：按照五至十分钟社区生活圈服务人口与服务半径要求，设置社区服务站、文化活动站、健身场地、幼儿园、托儿所、老年人日间照料中心（托老所）、卫生服务站、商业网点等设施。</w:t>
      </w:r>
    </w:p>
    <w:p w14:paraId="22C2EDD0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至2035年，中心城区卫生、养老、文化、体育等社区公共服务设施15分钟步行可达覆盖率达到95%，教育设施15分钟步行可达覆盖率达到90%。</w:t>
      </w:r>
    </w:p>
    <w:p w14:paraId="67015CC4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六、蓝绿空间</w:t>
      </w:r>
    </w:p>
    <w:p w14:paraId="5FC75731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形成“一廊一带缀四心，以路为线、连点环面”的网络化、高品质蓝绿空间体系。一廊，是指赤水北街-赤水南街（原217国道）生态景观廊道。一带，沿延河北街西侧入城至祥云湖公园，经高昌街向西出中心城区的环城滨水景观带，宽度控制宽度50-100米。四心，即4个城市综合公园，分别为祥云湖公园、共青公园、南公园、北公园。以路为线、连点环面，是指由主、次干路两侧的带状绿地构成的网络空间，以及遍布中心城区的社区公园、游园等点状公园空间，点线空间相互串联成面，形成覆盖中心城区的网络化绿地布局。</w:t>
      </w:r>
    </w:p>
    <w:p w14:paraId="15B92443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七、综合交通</w:t>
      </w:r>
    </w:p>
    <w:p w14:paraId="3C62B8B5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形成“六横、五纵”主干路结构。六横包括太行山西路-太行山东路、天山西路-天山东路、嵩山西路-嵩山东路、泰山西路-泰山东路、井冈山西路-井冈山东路、南环西路-南环东路；五纵包括奎河北街-奎河南街、延河北街-延河南街-文襄街、黄河北街-黄河南街、赤水北街-赤水南街、湘江北街-湘江南街。</w:t>
      </w:r>
    </w:p>
    <w:p w14:paraId="0DA1ED7F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八、开发建设管控</w:t>
      </w:r>
    </w:p>
    <w:p w14:paraId="709801E3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规划形成3个层次的开发强度分区，合理引导开发建设。</w:t>
      </w:r>
    </w:p>
    <w:p w14:paraId="1C706C3B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低强度区：以公共服务与公共服务设施、物流仓储用地、公园绿地为主，平均容积率控制在1.0以下，基准建筑高度控制在27米以内，一般不超过36米。</w:t>
      </w:r>
    </w:p>
    <w:p w14:paraId="1BE0007F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中低强度区：中心城区内主要以中低强度区为主，鼓励提高居住用地、工业用地开发强度，平均容积率控制在1.0-1.5，基准建筑高度控制在27米以内，一般不超过36米。</w:t>
      </w:r>
    </w:p>
    <w:p w14:paraId="1B07351B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中强度区：以商业用地、居住用地为主，鼓励混合用地开发，平均容积率控制在1.5-2.0之间，基准建筑高度控制在36米以内，一般不超过54米，标志性建筑不超过80米。</w:t>
      </w:r>
    </w:p>
    <w:p w14:paraId="743219C8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九、规划实施</w:t>
      </w:r>
    </w:p>
    <w:p w14:paraId="58ADA01C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本规划批准实施前已建设或已获得建设许可的建设项目，按已批准的建设许可要求执行。本规划批准实施后，城镇开发边界内从事开发、建设等实施活动及出让条件、选址意见、规划许可等应遵循本规划。</w:t>
      </w:r>
    </w:p>
    <w:p w14:paraId="78434C4B">
      <w:pPr>
        <w:pStyle w:val="11"/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十、附图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45A7"/>
    <w:multiLevelType w:val="multilevel"/>
    <w:tmpl w:val="49E345A7"/>
    <w:lvl w:ilvl="0" w:tentative="0">
      <w:start w:val="1"/>
      <w:numFmt w:val="decimal"/>
      <w:pStyle w:val="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03"/>
    <w:rsid w:val="00017758"/>
    <w:rsid w:val="00025FF8"/>
    <w:rsid w:val="000420D6"/>
    <w:rsid w:val="00093550"/>
    <w:rsid w:val="000E77D2"/>
    <w:rsid w:val="000F108E"/>
    <w:rsid w:val="001B22AD"/>
    <w:rsid w:val="001C3C05"/>
    <w:rsid w:val="00206A77"/>
    <w:rsid w:val="002174ED"/>
    <w:rsid w:val="002514EE"/>
    <w:rsid w:val="00251602"/>
    <w:rsid w:val="00262109"/>
    <w:rsid w:val="00267320"/>
    <w:rsid w:val="002D225C"/>
    <w:rsid w:val="00372BB0"/>
    <w:rsid w:val="003737B2"/>
    <w:rsid w:val="00397D83"/>
    <w:rsid w:val="00491C1E"/>
    <w:rsid w:val="004C3816"/>
    <w:rsid w:val="004D7B93"/>
    <w:rsid w:val="005B101A"/>
    <w:rsid w:val="00686903"/>
    <w:rsid w:val="00737B2A"/>
    <w:rsid w:val="00742221"/>
    <w:rsid w:val="00772AD5"/>
    <w:rsid w:val="007C19BA"/>
    <w:rsid w:val="007C424D"/>
    <w:rsid w:val="007C683D"/>
    <w:rsid w:val="007C6E89"/>
    <w:rsid w:val="007E512B"/>
    <w:rsid w:val="00806533"/>
    <w:rsid w:val="0082646C"/>
    <w:rsid w:val="0089213F"/>
    <w:rsid w:val="008A6800"/>
    <w:rsid w:val="008E1786"/>
    <w:rsid w:val="0091380A"/>
    <w:rsid w:val="00A77404"/>
    <w:rsid w:val="00AB6772"/>
    <w:rsid w:val="00B50A7A"/>
    <w:rsid w:val="00B96B47"/>
    <w:rsid w:val="00BB33F8"/>
    <w:rsid w:val="00BE66B8"/>
    <w:rsid w:val="00CA7A39"/>
    <w:rsid w:val="00CB3AC8"/>
    <w:rsid w:val="00CE79DF"/>
    <w:rsid w:val="00D425C4"/>
    <w:rsid w:val="00D53393"/>
    <w:rsid w:val="00DA2E63"/>
    <w:rsid w:val="00DA7B5A"/>
    <w:rsid w:val="00DC4B52"/>
    <w:rsid w:val="00E0703B"/>
    <w:rsid w:val="00E43A82"/>
    <w:rsid w:val="00E9356F"/>
    <w:rsid w:val="00EA7C81"/>
    <w:rsid w:val="00F4031E"/>
    <w:rsid w:val="00FF7E04"/>
    <w:rsid w:val="59C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9">
    <w:name w:val="表名"/>
    <w:basedOn w:val="1"/>
    <w:next w:val="1"/>
    <w:link w:val="10"/>
    <w:qFormat/>
    <w:uiPriority w:val="0"/>
    <w:pPr>
      <w:numPr>
        <w:ilvl w:val="0"/>
        <w:numId w:val="1"/>
      </w:numPr>
      <w:spacing w:line="360" w:lineRule="auto"/>
      <w:jc w:val="center"/>
    </w:pPr>
    <w:rPr>
      <w:rFonts w:eastAsia="宋体"/>
      <w:sz w:val="24"/>
    </w:rPr>
  </w:style>
  <w:style w:type="character" w:customStyle="1" w:styleId="10">
    <w:name w:val="表名 字符"/>
    <w:basedOn w:val="7"/>
    <w:link w:val="9"/>
    <w:uiPriority w:val="0"/>
    <w:rPr>
      <w:rFonts w:eastAsia="宋体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character" w:customStyle="1" w:styleId="14">
    <w:name w:val="批注文字 字符"/>
    <w:basedOn w:val="7"/>
    <w:link w:val="2"/>
    <w:semiHidden/>
    <w:qFormat/>
    <w:uiPriority w:val="99"/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1976</Words>
  <Characters>2103</Characters>
  <Lines>15</Lines>
  <Paragraphs>4</Paragraphs>
  <TotalTime>15</TotalTime>
  <ScaleCrop>false</ScaleCrop>
  <LinksUpToDate>false</LinksUpToDate>
  <CharactersWithSpaces>2172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2024-11-21T06:29:00Z</dcterms:created>
  <dc:creator>范 晔霞</dc:creator>
  <cp:lastModifiedBy>丑八怪咿呀咿呀啊</cp:lastModifiedBy>
  <dcterms:modified xsi:type="dcterms:W3CDTF">2024-11-30T07:10:46Z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CE0904BE346945D8BBCA03EE8EEFA706_12</vt:lpwstr>
  </property>
</Properties>
</file>