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pacing w:line="440" w:lineRule="exact"/>
        <w:jc w:val="both"/>
        <w:textAlignment w:val="auto"/>
        <w:rPr>
          <w:rFonts w:hint="eastAsia" w:ascii="方正黑体_GBK" w:hAnsi="方正黑体_GBK" w:eastAsia="方正黑体_GBK" w:cs="方正黑体_GBK"/>
          <w:color w:val="000000"/>
          <w:sz w:val="28"/>
          <w:szCs w:val="28"/>
        </w:rPr>
      </w:pPr>
      <w:bookmarkStart w:id="0" w:name="_GoBack"/>
      <w:bookmarkEnd w:id="0"/>
    </w:p>
    <w:p>
      <w:pPr>
        <w:keepNext w:val="0"/>
        <w:keepLines w:val="0"/>
        <w:pageBreakBefore w:val="0"/>
        <w:widowControl w:val="0"/>
        <w:kinsoku/>
        <w:wordWrap/>
        <w:autoSpaceDE/>
        <w:autoSpaceDN/>
        <w:bidi w:val="0"/>
        <w:adjustRightInd/>
        <w:spacing w:line="4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新就业形态劳动者书面协议</w:t>
      </w:r>
    </w:p>
    <w:p>
      <w:pPr>
        <w:keepNext w:val="0"/>
        <w:keepLines w:val="0"/>
        <w:pageBreakBefore w:val="0"/>
        <w:widowControl w:val="0"/>
        <w:kinsoku/>
        <w:wordWrap/>
        <w:autoSpaceDE/>
        <w:autoSpaceDN/>
        <w:bidi w:val="0"/>
        <w:adjustRightInd/>
        <w:spacing w:line="44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（三方）</w:t>
      </w:r>
    </w:p>
    <w:p>
      <w:pPr>
        <w:keepNext w:val="0"/>
        <w:keepLines w:val="0"/>
        <w:pageBreakBefore w:val="0"/>
        <w:widowControl w:val="0"/>
        <w:kinsoku/>
        <w:wordWrap/>
        <w:autoSpaceDE/>
        <w:autoSpaceDN/>
        <w:bidi w:val="0"/>
        <w:adjustRightInd/>
        <w:spacing w:line="440" w:lineRule="exact"/>
        <w:jc w:val="center"/>
        <w:textAlignment w:val="auto"/>
        <w:rPr>
          <w:rFonts w:hint="eastAsia" w:ascii="方正仿宋_GBK" w:hAnsi="方正仿宋_GBK" w:eastAsia="方正仿宋_GBK" w:cs="方正仿宋_GBK"/>
          <w:color w:val="000000"/>
          <w:sz w:val="28"/>
          <w:szCs w:val="28"/>
        </w:rPr>
      </w:pP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甲方（互联网平台企业）</w:t>
      </w:r>
      <w:r>
        <w:rPr>
          <w:rFonts w:hint="eastAsia" w:ascii="方正仿宋_GBK" w:hAnsi="方正仿宋_GBK" w:cs="方正仿宋_GBK"/>
          <w:color w:val="000000"/>
          <w:sz w:val="32"/>
          <w:szCs w:val="32"/>
          <w:lang w:eastAsia="zh-CN"/>
        </w:rPr>
        <w:t>：</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统一社会信用代码：</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法定代表人（主要负责人）或委托代理人：</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注</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册</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地：</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经</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营</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地：</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联系电话：</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乙方（新就业形态劳动者）</w:t>
      </w:r>
      <w:r>
        <w:rPr>
          <w:rFonts w:hint="eastAsia" w:ascii="方正仿宋_GBK" w:hAnsi="方正仿宋_GBK" w:cs="方正仿宋_GBK"/>
          <w:color w:val="000000"/>
          <w:sz w:val="32"/>
          <w:szCs w:val="32"/>
          <w:lang w:eastAsia="zh-CN"/>
        </w:rPr>
        <w:t>：</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居民身份证号码：</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（或其他有效证件名称</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证件号：</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户籍地址：</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经常居住地（通讯地址）：</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left"/>
        <w:textAlignment w:val="auto"/>
        <w:rPr>
          <w:rFonts w:hint="eastAsia" w:ascii="方正仿宋_GBK" w:hAnsi="方正仿宋_GBK" w:cs="方正仿宋_GBK"/>
          <w:color w:val="000000"/>
          <w:sz w:val="32"/>
          <w:szCs w:val="32"/>
          <w:u w:val="single"/>
          <w:lang w:val="en-US" w:eastAsia="zh-CN"/>
        </w:rPr>
      </w:pPr>
      <w:r>
        <w:rPr>
          <w:rFonts w:hint="eastAsia" w:ascii="方正仿宋_GBK" w:hAnsi="方正仿宋_GBK" w:eastAsia="方正仿宋_GBK" w:cs="方正仿宋_GBK"/>
          <w:color w:val="000000"/>
          <w:sz w:val="32"/>
          <w:szCs w:val="32"/>
        </w:rPr>
        <w:t>联系电话：</w:t>
      </w:r>
      <w:r>
        <w:rPr>
          <w:rFonts w:hint="eastAsia" w:ascii="方正仿宋_GBK" w:hAnsi="方正仿宋_GBK" w:cs="方正仿宋_GBK"/>
          <w:color w:val="000000"/>
          <w:sz w:val="32"/>
          <w:szCs w:val="32"/>
          <w:u w:val="single"/>
          <w:lang w:val="en-US" w:eastAsia="zh-CN"/>
        </w:rPr>
        <w:t xml:space="preserve">                                               </w:t>
      </w:r>
    </w:p>
    <w:p>
      <w:pPr>
        <w:pStyle w:val="2"/>
        <w:keepNext w:val="0"/>
        <w:keepLines w:val="0"/>
        <w:pageBreakBefore w:val="0"/>
        <w:widowControl w:val="0"/>
        <w:kinsoku/>
        <w:wordWrap/>
        <w:autoSpaceDE/>
        <w:autoSpaceDN/>
        <w:bidi w:val="0"/>
        <w:adjustRightInd/>
        <w:spacing w:after="0"/>
        <w:ind w:left="0" w:leftChars="0"/>
        <w:textAlignment w:val="auto"/>
        <w:rPr>
          <w:rFonts w:hint="eastAsia"/>
        </w:rPr>
      </w:pP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丙方（经营性人力资源服务机构）</w:t>
      </w:r>
      <w:r>
        <w:rPr>
          <w:rFonts w:hint="eastAsia" w:ascii="方正仿宋_GBK" w:hAnsi="方正仿宋_GBK" w:cs="方正仿宋_GBK"/>
          <w:color w:val="000000"/>
          <w:sz w:val="32"/>
          <w:szCs w:val="32"/>
          <w:lang w:eastAsia="zh-CN"/>
        </w:rPr>
        <w:t>：</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统一社会信用代码：</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法定代表人（主要负责人）或委托代理人：</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ind w:firstLine="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注</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册</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地：</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经</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营</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地：</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jc w:val="both"/>
        <w:textAlignment w:val="auto"/>
        <w:rPr>
          <w:rFonts w:hint="eastAsia" w:ascii="方正仿宋_GBK" w:hAnsi="方正仿宋_GBK" w:cs="方正仿宋_GBK"/>
          <w:color w:val="000000"/>
          <w:sz w:val="32"/>
          <w:szCs w:val="32"/>
          <w:u w:val="single"/>
          <w:lang w:val="en-US" w:eastAsia="zh-CN"/>
        </w:rPr>
      </w:pPr>
      <w:r>
        <w:rPr>
          <w:rFonts w:hint="eastAsia" w:ascii="方正仿宋_GBK" w:hAnsi="方正仿宋_GBK" w:eastAsia="方正仿宋_GBK" w:cs="方正仿宋_GBK"/>
          <w:color w:val="000000"/>
          <w:sz w:val="32"/>
          <w:szCs w:val="32"/>
        </w:rPr>
        <w:t>联系电话：</w:t>
      </w:r>
      <w:r>
        <w:rPr>
          <w:rFonts w:hint="eastAsia" w:ascii="方正仿宋_GBK" w:hAnsi="方正仿宋_GBK" w:cs="方正仿宋_GBK"/>
          <w:color w:val="000000"/>
          <w:sz w:val="32"/>
          <w:szCs w:val="32"/>
          <w:u w:val="single"/>
          <w:lang w:val="en-US" w:eastAsia="zh-CN"/>
        </w:rPr>
        <w:t xml:space="preserve">                                               </w:t>
      </w:r>
    </w:p>
    <w:p>
      <w:pPr>
        <w:keepNext w:val="0"/>
        <w:keepLines w:val="0"/>
        <w:pageBreakBefore w:val="0"/>
        <w:widowControl w:val="0"/>
        <w:kinsoku/>
        <w:wordWrap/>
        <w:autoSpaceDE/>
        <w:autoSpaceDN/>
        <w:bidi w:val="0"/>
        <w:adjustRightInd/>
        <w:spacing w:line="440" w:lineRule="exact"/>
        <w:jc w:val="both"/>
        <w:textAlignment w:val="auto"/>
        <w:rPr>
          <w:rFonts w:hint="eastAsia" w:ascii="方正仿宋_GBK" w:hAnsi="方正仿宋_GBK" w:cs="方正仿宋_GBK"/>
          <w:color w:val="000000"/>
          <w:sz w:val="32"/>
          <w:szCs w:val="32"/>
          <w:u w:val="single"/>
          <w:lang w:val="en-US" w:eastAsia="zh-CN"/>
        </w:rPr>
      </w:pP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根据《关于维护新就业形态劳动者劳动保障权益的指导意见》等，各方在平等自愿、协商一致的基础上订立本协议，共同遵守本协议所列条款。</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一、主要权利义务</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第一条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甲方为乙方提供服务任务相关信息，接受客户对于乙方的服务评价，线上监督和指导乙方按照平台确定的规则和要求完成服务任务并承担由此产生的服务费用。</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第二条</w:t>
      </w:r>
      <w:r>
        <w:rPr>
          <w:rFonts w:hint="eastAsia" w:ascii="方正仿宋_GBK" w:hAnsi="方正仿宋_GBK" w:eastAsia="方正仿宋_GBK" w:cs="方正仿宋_GBK"/>
          <w:color w:val="000000"/>
          <w:sz w:val="32"/>
          <w:szCs w:val="32"/>
        </w:rPr>
        <w:t xml:space="preserve"> 乙方的主要责任是</w:t>
      </w:r>
      <w:r>
        <w:rPr>
          <w:rFonts w:hint="eastAsia" w:ascii="方正仿宋_GBK" w:hAnsi="方正仿宋_GBK" w:eastAsia="方正仿宋_GBK" w:cs="方正仿宋_GBK"/>
          <w:color w:val="000000"/>
          <w:sz w:val="32"/>
          <w:szCs w:val="32"/>
          <w:u w:val="single"/>
        </w:rPr>
        <w:t>完成XX服务任务</w:t>
      </w:r>
      <w:r>
        <w:rPr>
          <w:rFonts w:hint="eastAsia" w:ascii="方正仿宋_GBK" w:hAnsi="方正仿宋_GBK" w:eastAsia="方正仿宋_GBK" w:cs="方正仿宋_GBK"/>
          <w:color w:val="000000"/>
          <w:sz w:val="32"/>
          <w:szCs w:val="32"/>
        </w:rPr>
        <w:t>，工作区域或工作地点</w:t>
      </w:r>
      <w:r>
        <w:rPr>
          <w:rFonts w:hint="eastAsia" w:ascii="方正仿宋_GBK" w:hAnsi="方正仿宋_GBK" w:eastAsia="方正仿宋_GBK" w:cs="方正仿宋_GBK"/>
          <w:color w:val="000000"/>
          <w:sz w:val="32"/>
          <w:szCs w:val="32"/>
          <w:u w:val="single"/>
        </w:rPr>
        <w:t>依承接线下服务任务时确认</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第三条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丙方为受甲方委托，在工作区域进行属地化管理和服务的机构。其核心管理职责包括：</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5588000</wp:posOffset>
                </wp:positionH>
                <wp:positionV relativeFrom="paragraph">
                  <wp:posOffset>9194800</wp:posOffset>
                </wp:positionV>
                <wp:extent cx="1130300" cy="190500"/>
                <wp:effectExtent l="0" t="0" r="0" b="0"/>
                <wp:wrapNone/>
                <wp:docPr id="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宋体" w:hAnsi="宋体" w:eastAsia="宋体"/>
                                <w:color w:val="000000"/>
                                <w:sz w:val="22"/>
                              </w:rPr>
                              <w:t>一19-</w:t>
                            </w:r>
                          </w:p>
                        </w:txbxContent>
                      </wps:txbx>
                      <wps:bodyPr lIns="25400" tIns="0" rIns="25400" bIns="0">
                        <a:noAutofit/>
                      </wps:bodyPr>
                    </wps:wsp>
                  </a:graphicData>
                </a:graphic>
              </wp:anchor>
            </w:drawing>
          </mc:Choice>
          <mc:Fallback>
            <w:pict>
              <v:shape id="文本框 2" o:spid="_x0000_s1026" o:spt="202" type="#_x0000_t202" style="position:absolute;left:0pt;margin-left:440pt;margin-top:724pt;height:15pt;width:89pt;mso-position-horizontal-relative:page;z-index:251659264;mso-width-relative:page;mso-height-relative:page;" filled="f" stroked="f" coordsize="21600,21600" o:gfxdata="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pqnx2AAAAA4BAAAPAAAAAAAAAAEAIAAAACIAAABkcnMvZG93bnJldi54bWxQ&#10;SwECFAAUAAAACACHTuJAtgPxqb4BAABRAwAADgAAAAAAAAABACAAAAAnAQAAZHJzL2Uyb0RvYy54&#10;bWxQSwUGAAAAAAYABgBZAQAAVwUAAAAA&#10;">
                <v:fill on="f" focussize="0,0"/>
                <v:stroke on="f" weight="0.5pt"/>
                <v:imagedata o:title=""/>
                <o:lock v:ext="edit" aspectratio="f"/>
                <v:textbox inset="2pt,0mm,2pt,0mm">
                  <w:txbxContent>
                    <w:p>
                      <w:pPr>
                        <w:spacing w:line="300" w:lineRule="exact"/>
                        <w:jc w:val="center"/>
                      </w:pPr>
                      <w:r>
                        <w:rPr>
                          <w:rFonts w:hint="eastAsia" w:ascii="宋体" w:hAnsi="宋体" w:eastAsia="宋体"/>
                          <w:color w:val="000000"/>
                          <w:sz w:val="22"/>
                        </w:rPr>
                        <w:t>一19-</w:t>
                      </w:r>
                    </w:p>
                  </w:txbxContent>
                </v:textbox>
              </v:shape>
            </w:pict>
          </mc:Fallback>
        </mc:AlternateConten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1．提供报酬支付等薪税服务；</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2．协助参加有关社会保险；</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3．提供有关培训；</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4．处理乙方相关事故和纠纷；</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color w:val="000000"/>
          <w:sz w:val="32"/>
          <w:szCs w:val="32"/>
        </w:rPr>
        <w:t>5.</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详细内容请点击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／详见企业规章制度，认真阅读并确认。甲方如果变更丙方的，应当提前</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日告知乙方（变更／重新签订书面协议），否则因甲方未及时告知乙方给乙方造成经济损失的，由甲方承担相应的赔偿责任。</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第四条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甲方和丙方均不得以各种直接或间接措施限制乙方在多平台就业或客观上会导致限制其多平台就业的后果。乙方在多平台接单的，应按约定及时完成通过甲方平台已接订单。</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二、服务订单推送与确认</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第五条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甲方通过互联网信息推送的方式向乙方提供服务任务；服务任务推送页面显示为各类服务订单。服务订单显示必要的服务任务信息（包括但不限于：</w:t>
      </w:r>
      <w:r>
        <w:rPr>
          <w:rFonts w:hint="eastAsia" w:ascii="方正仿宋_GBK" w:hAnsi="方正仿宋_GBK" w:eastAsia="方正仿宋_GBK" w:cs="方正仿宋_GBK"/>
          <w:color w:val="000000"/>
          <w:sz w:val="32"/>
          <w:szCs w:val="32"/>
          <w:u w:val="single"/>
        </w:rPr>
        <w:t>1.</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;2.</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;3.</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;4.</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等</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第六条 </w:t>
      </w:r>
      <w:r>
        <w:rPr>
          <w:rFonts w:hint="eastAsia" w:ascii="方正仿宋_GBK" w:hAnsi="方正仿宋_GBK" w:eastAsia="方正仿宋_GBK" w:cs="方正仿宋_GBK"/>
          <w:color w:val="000000"/>
          <w:sz w:val="32"/>
          <w:szCs w:val="32"/>
        </w:rPr>
        <w:t>甲方按照以下规则向乙方推送订单。</w:t>
      </w:r>
      <w:r>
        <w:rPr>
          <w:rFonts w:hint="eastAsia" w:ascii="方正仿宋_GBK" w:hAnsi="方正仿宋_GBK" w:eastAsia="方正仿宋_GBK" w:cs="方正仿宋_GBK"/>
          <w:color w:val="000000"/>
          <w:sz w:val="32"/>
          <w:szCs w:val="32"/>
          <w:u w:val="single"/>
        </w:rPr>
        <w:t>请点击链接阅读订单推送规则并签字确认。</w:t>
      </w:r>
      <w:r>
        <w:rPr>
          <w:rFonts w:hint="eastAsia" w:ascii="方正仿宋_GBK" w:hAnsi="方正仿宋_GBK" w:eastAsia="方正仿宋_GBK" w:cs="方正仿宋_GBK"/>
          <w:color w:val="000000"/>
          <w:sz w:val="32"/>
          <w:szCs w:val="32"/>
        </w:rPr>
        <w:t>甲方变更订单推送规则的，会在平台页面公示，以醒目方式提示乙方阅读并确认。</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甲方的订单推送规则遵循公平合理的原则确定，不因乙方的性别、年龄、民族、户籍等有差别待遇。</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第七条 </w:t>
      </w:r>
      <w:r>
        <w:rPr>
          <w:rFonts w:hint="eastAsia" w:ascii="方正仿宋_GBK" w:hAnsi="方正仿宋_GBK" w:eastAsia="方正仿宋_GBK" w:cs="方正仿宋_GBK"/>
          <w:color w:val="000000"/>
          <w:sz w:val="32"/>
          <w:szCs w:val="32"/>
        </w:rPr>
        <w:t>在符合本协议第十三条之约定的前提下，乙方完全自主决定上线时间、在线时长、接单时间和下线时间等，并且不会因此对订单推送或服务费用确定产生直接影响。预约单中设定的预约时间不属于对乙方工作时间的限制。</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第八条 </w:t>
      </w:r>
      <w:r>
        <w:rPr>
          <w:rFonts w:hint="eastAsia" w:ascii="方正仿宋_GBK" w:hAnsi="方正仿宋_GBK" w:eastAsia="方正仿宋_GBK" w:cs="方正仿宋_GBK"/>
          <w:color w:val="000000"/>
          <w:sz w:val="32"/>
          <w:szCs w:val="32"/>
        </w:rPr>
        <w:t>乙方完成服务任务过程中应遵守甲方的平台服务规则并接受甲方的监督。（请点击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／详见企业规章制度，阅读</w:t>
      </w:r>
      <w:r>
        <w:rPr>
          <w:rFonts w:hint="eastAsia" w:ascii="方正仿宋_GBK" w:hAnsi="方正仿宋_GBK" w:eastAsia="方正仿宋_GBK" w:cs="方正仿宋_GBK"/>
          <w:color w:val="000000"/>
          <w:sz w:val="32"/>
          <w:szCs w:val="32"/>
          <w:u w:val="single"/>
        </w:rPr>
        <w:t>平台服务规则</w:t>
      </w:r>
      <w:r>
        <w:rPr>
          <w:rFonts w:hint="eastAsia" w:ascii="方正仿宋_GBK" w:hAnsi="方正仿宋_GBK" w:eastAsia="方正仿宋_GBK" w:cs="方正仿宋_GBK"/>
          <w:color w:val="000000"/>
          <w:sz w:val="32"/>
          <w:szCs w:val="32"/>
        </w:rPr>
        <w:t>并确认）。</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三、报酬及支付</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第九条 </w:t>
      </w:r>
      <w:r>
        <w:rPr>
          <w:rFonts w:hint="eastAsia" w:ascii="方正仿宋_GBK" w:hAnsi="方正仿宋_GBK" w:eastAsia="方正仿宋_GBK" w:cs="方正仿宋_GBK"/>
          <w:color w:val="000000"/>
          <w:sz w:val="32"/>
          <w:szCs w:val="32"/>
        </w:rPr>
        <w:t>乙方服务报酬构成包括：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eastAsia="zh-CN"/>
        </w:rPr>
        <w:t>、</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服务报酬的确定主要参考以下因素确定：1．</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；2．</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;3.</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;4．</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；5．</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等。乙方提供正常劳动情形下，获得的服务报酬不低于当地小时最低工资标准。法定节假日的报酬标准应高于工作日。请点击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／详见企业规章制度，认真阅读报酬支付规则相关内容，并确认。</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乙方服务报酬由甲方／丙方支付。</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第十条 </w:t>
      </w:r>
      <w:r>
        <w:rPr>
          <w:rFonts w:hint="eastAsia" w:ascii="方正仿宋_GBK" w:hAnsi="方正仿宋_GBK" w:eastAsia="方正仿宋_GBK" w:cs="方正仿宋_GBK"/>
          <w:color w:val="000000"/>
          <w:sz w:val="32"/>
          <w:szCs w:val="32"/>
        </w:rPr>
        <w:t>报酬支付方按</w:t>
      </w:r>
      <w:r>
        <w:rPr>
          <w:rFonts w:hint="eastAsia" w:ascii="方正仿宋_GBK" w:hAnsi="方正仿宋_GBK" w:eastAsia="方正仿宋_GBK" w:cs="方正仿宋_GBK"/>
          <w:color w:val="000000"/>
          <w:sz w:val="32"/>
          <w:szCs w:val="32"/>
          <w:u w:val="single"/>
        </w:rPr>
        <w:t>每单／每天／每7天／每15天／每月</w:t>
      </w:r>
      <w:r>
        <w:rPr>
          <w:rFonts w:hint="eastAsia" w:ascii="方正仿宋_GBK" w:hAnsi="方正仿宋_GBK" w:eastAsia="方正仿宋_GBK" w:cs="方正仿宋_GBK"/>
          <w:color w:val="000000"/>
          <w:sz w:val="32"/>
          <w:szCs w:val="32"/>
        </w:rPr>
        <w:t>和乙方结算支付一次报酬。乙方可根据实际情况随时提现。提现可能因银行支付规则等造成延迟。</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第十一条 </w:t>
      </w:r>
      <w:r>
        <w:rPr>
          <w:rFonts w:hint="eastAsia" w:ascii="方正仿宋_GBK" w:hAnsi="方正仿宋_GBK" w:eastAsia="方正仿宋_GBK" w:cs="方正仿宋_GBK"/>
          <w:color w:val="000000"/>
          <w:sz w:val="32"/>
          <w:szCs w:val="32"/>
        </w:rPr>
        <w:t>甲方在乙方每单服务结束后24小时／72小时内向其提供服务结算清单，其内容包括：1．有关服务订单履行情况信息；2．服务费总额及其构成情况信息；3．有关扣减项目及数额信息；4．</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；5．</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等。甲方确保乙方在</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1181100</wp:posOffset>
                </wp:positionH>
                <wp:positionV relativeFrom="paragraph">
                  <wp:posOffset>9207500</wp:posOffset>
                </wp:positionV>
                <wp:extent cx="1168400" cy="190500"/>
                <wp:effectExtent l="0" t="0" r="0" b="0"/>
                <wp:wrapNone/>
                <wp:docPr id="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22"/>
                              </w:rPr>
                              <w:t>-20-</w:t>
                            </w:r>
                          </w:p>
                        </w:txbxContent>
                      </wps:txbx>
                      <wps:bodyPr lIns="25400" tIns="0" rIns="25400" bIns="0">
                        <a:noAutofit/>
                      </wps:bodyPr>
                    </wps:wsp>
                  </a:graphicData>
                </a:graphic>
              </wp:anchor>
            </w:drawing>
          </mc:Choice>
          <mc:Fallback>
            <w:pict>
              <v:shape id="文本框 2" o:spid="_x0000_s1026" o:spt="202" type="#_x0000_t202" style="position:absolute;left:0pt;margin-left:93pt;margin-top:725pt;height:15pt;width:92pt;mso-position-horizontal-relative:page;z-index:251659264;mso-width-relative:page;mso-height-relative:page;" filled="f" stroked="f" coordsize="21600,21600" o:gfxdata="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2Vj6C2AAAAA0BAAAPAAAAAAAAAAEAIAAAACIAAABkcnMvZG93bnJldi54bWxQ&#10;SwECFAAUAAAACACHTuJALiZvf74BAABRAwAADgAAAAAAAAABACAAAAAnAQAAZHJzL2Uyb0RvYy54&#10;bWxQSwUGAAAAAAYABgBZAQAAVwU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22"/>
                        </w:rPr>
                        <w:t>-20-</w:t>
                      </w:r>
                    </w:p>
                  </w:txbxContent>
                </v:textbox>
              </v:shape>
            </w:pict>
          </mc:Fallback>
        </mc:AlternateContent>
      </w:r>
      <w:r>
        <w:rPr>
          <w:rFonts w:hint="eastAsia" w:ascii="方正仿宋_GBK" w:hAnsi="方正仿宋_GBK" w:eastAsia="方正仿宋_GBK" w:cs="方正仿宋_GBK"/>
          <w:color w:val="000000"/>
          <w:sz w:val="32"/>
          <w:szCs w:val="32"/>
        </w:rPr>
        <w:t>本次订单服务结束后</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个月内随时可查询和下载该服务信息清单的相关信息。</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第十二条 </w:t>
      </w:r>
      <w:r>
        <w:rPr>
          <w:rFonts w:hint="eastAsia" w:ascii="方正仿宋_GBK" w:hAnsi="方正仿宋_GBK" w:eastAsia="方正仿宋_GBK" w:cs="方正仿宋_GBK"/>
          <w:color w:val="000000"/>
          <w:sz w:val="32"/>
          <w:szCs w:val="32"/>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酬扣减的一般违反服务规范或平台规则的行为，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／详见企业规章制度，仔细阅读</w:t>
      </w:r>
      <w:r>
        <w:rPr>
          <w:rFonts w:hint="eastAsia" w:ascii="方正仿宋_GBK" w:hAnsi="方正仿宋_GBK" w:eastAsia="方正仿宋_GBK" w:cs="方正仿宋_GBK"/>
          <w:color w:val="000000"/>
          <w:sz w:val="32"/>
          <w:szCs w:val="32"/>
          <w:u w:val="single"/>
        </w:rPr>
        <w:t>报酬支付规则及一般违反服务规范或平台规则行为的范围等相关内容</w:t>
      </w:r>
      <w:r>
        <w:rPr>
          <w:rFonts w:hint="eastAsia" w:ascii="方正仿宋_GBK" w:hAnsi="方正仿宋_GBK" w:eastAsia="方正仿宋_GBK" w:cs="方正仿宋_GBK"/>
          <w:color w:val="000000"/>
          <w:sz w:val="32"/>
          <w:szCs w:val="32"/>
        </w:rPr>
        <w:t>，并确认。甲方不能单纯因客户差评或因不可抗力等非主观因素未按时完成工作任务扣减乙方服务报酬。</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一般违规行为，单次违规扣减不超过该次服务报酬总额的</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none"/>
        </w:rPr>
        <w:t>％</w:t>
      </w:r>
      <w:r>
        <w:rPr>
          <w:rFonts w:hint="eastAsia" w:ascii="方正仿宋_GBK" w:hAnsi="方正仿宋_GBK" w:eastAsia="方正仿宋_GBK" w:cs="方正仿宋_GBK"/>
          <w:color w:val="000000"/>
          <w:sz w:val="32"/>
          <w:szCs w:val="32"/>
        </w:rPr>
        <w:t>，扣减信息在订单服务报酬支付中显示。甲方做出扣减服务报酬决定时，应及时告知乙方扣减理由、金额等信息。乙方对扣减决定有异议的，可通过甲方或丙方提供的申诉渠道提出异议。异议成立的，扣减服务报酬在</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日内返还乙方。丙方有义务协助乙方进行申诉。</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乙方存在严重违反服务行为规范或严重侵犯客户权益行为的，单次扣减不超过该次服务报酬总额的100％，甲方做出扣减服务报酬决定时，参照上款流程办理。严重违反服务行为规范或严重侵犯客户权益行为的范围参照本协议第二十三条约定。</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四、服务时间与休息</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第十三条 </w:t>
      </w:r>
      <w:r>
        <w:rPr>
          <w:rFonts w:hint="eastAsia" w:ascii="方正仿宋_GBK" w:hAnsi="方正仿宋_GBK" w:eastAsia="方正仿宋_GBK" w:cs="方正仿宋_GBK"/>
          <w:color w:val="000000"/>
          <w:sz w:val="32"/>
          <w:szCs w:val="32"/>
        </w:rPr>
        <w:t>甲方实时掌握乙方的工作情况，并且记录其服务时间。甲方采取以下第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种措施，保证乙方身体健康和合理休息：</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1．（适用于配送、出行等行业）乙方连续接单时间达到4小时的，系统会发出疲劳提示，甲方停止推送订单20分钟；乙方每24小时累计接单时间超过</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小时的，甲方会推送休息提示，建议乙方下线休息</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none"/>
        </w:rPr>
        <w:t>小</w:t>
      </w:r>
      <w:r>
        <w:rPr>
          <w:rFonts w:hint="eastAsia" w:ascii="方正仿宋_GBK" w:hAnsi="方正仿宋_GBK" w:eastAsia="方正仿宋_GBK" w:cs="方正仿宋_GBK"/>
          <w:color w:val="000000"/>
          <w:sz w:val="32"/>
          <w:szCs w:val="32"/>
        </w:rPr>
        <w:t>时／甲方会停止推送订单</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小时。如乙方当时正在执行订单任务过程中，则从该订单任务完成后开始计时。接单时间是指乙方自执行订单任务时起至完成任务时止的全部时间，如同一时间可接两个及以上订单，接单时间不重复计算。</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法律、行政法规或规章另有规定的，按照有关规定执行。</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第十四条 </w:t>
      </w:r>
      <w:r>
        <w:rPr>
          <w:rFonts w:hint="eastAsia" w:ascii="方正仿宋_GBK" w:hAnsi="方正仿宋_GBK" w:eastAsia="方正仿宋_GBK" w:cs="方正仿宋_GBK"/>
          <w:color w:val="000000"/>
          <w:sz w:val="32"/>
          <w:szCs w:val="32"/>
        </w:rPr>
        <w:t>乙方在多平台工作的，应合理安排休息时间，避免疲劳工作。</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五、职业保障</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第十五条 </w:t>
      </w:r>
      <w:r>
        <w:rPr>
          <w:rFonts w:hint="eastAsia" w:ascii="方正仿宋_GBK" w:hAnsi="方正仿宋_GBK" w:eastAsia="方正仿宋_GBK" w:cs="方正仿宋_GBK"/>
          <w:color w:val="000000"/>
          <w:sz w:val="32"/>
          <w:szCs w:val="32"/>
        </w:rPr>
        <w:t>甲方和丙方共同负有保障乙方职业安全卫生和进行相关培训的责任，均有权要求乙方遵守职业安全规范并参加相关培训。</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甲方和／或丙方为乙方提供职业安全卫生、平台操作、平台规则等培训，包括线上和线下的培训。乙方应按照要求参加相关培训。</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第十六条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甲方提供必要且符合国家或者行业标准的劳动防护用品及安全防护用品的获取渠道；丙方为乙方获得必要的劳动防护用品及安全防护用品提供便利和支持。</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5511800</wp:posOffset>
                </wp:positionH>
                <wp:positionV relativeFrom="paragraph">
                  <wp:posOffset>9245600</wp:posOffset>
                </wp:positionV>
                <wp:extent cx="1143000" cy="190500"/>
                <wp:effectExtent l="0" t="0" r="0" b="0"/>
                <wp:wrapNone/>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22"/>
                              </w:rPr>
                              <w:t>-21-</w:t>
                            </w:r>
                          </w:p>
                        </w:txbxContent>
                      </wps:txbx>
                      <wps:bodyPr lIns="25400" tIns="0" rIns="25400" bIns="0">
                        <a:noAutofit/>
                      </wps:bodyPr>
                    </wps:wsp>
                  </a:graphicData>
                </a:graphic>
              </wp:anchor>
            </w:drawing>
          </mc:Choice>
          <mc:Fallback>
            <w:pict>
              <v:shape id="文本框 2" o:spid="_x0000_s1026" o:spt="202" type="#_x0000_t202" style="position:absolute;left:0pt;margin-left:434pt;margin-top:728pt;height:15pt;width:90pt;mso-position-horizontal-relative:page;z-index:251659264;mso-width-relative:page;mso-height-relative:page;" filled="f" stroked="f" coordsize="21600,21600" o:gfxdata="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gEeh2AAAAA4BAAAPAAAAAAAAAAEAIAAAACIAAABkcnMvZG93bnJldi54bWxQSwEC&#10;FAAUAAAACACHTuJAFo1SorsBAABRAwAADgAAAAAAAAABACAAAAAnAQAAZHJzL2Uyb0RvYy54bWxQ&#10;SwUGAAAAAAYABgBZAQAAVAU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22"/>
                        </w:rPr>
                        <w:t>-21-</w:t>
                      </w:r>
                    </w:p>
                  </w:txbxContent>
                </v:textbox>
              </v:shape>
            </w:pict>
          </mc:Fallback>
        </mc:AlternateConten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val="0"/>
          <w:color w:val="000000"/>
          <w:sz w:val="32"/>
          <w:szCs w:val="32"/>
        </w:rPr>
        <w:t>第十七条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乙方应遵守各项安全生产法律法规，定期确认有关设备、工具符合安全生产规定，完成任务过程中应遵守道路交通安全及安全生产规章制度和操作规程，正确佩戴、使用劳动防护用品及安全防护用品。</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第十八条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甲方和丙方共同采取必要措施保障乙方人格尊严，并向乙方提供紧急情形下请求救助的渠道或联系方式。乙方在完成服务任务过程中如受到侵害，可向甲方和丙方请求救助，甲方和丙方均有义务提供帮助。</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第十九条 </w:t>
      </w:r>
      <w:r>
        <w:rPr>
          <w:rFonts w:hint="eastAsia" w:ascii="方正仿宋_GBK" w:hAnsi="方正仿宋_GBK" w:eastAsia="方正仿宋_GBK" w:cs="方正仿宋_GBK"/>
          <w:color w:val="000000"/>
          <w:sz w:val="32"/>
          <w:szCs w:val="32"/>
        </w:rPr>
        <w:t>乙方在完成服务任务过程中如果遭遇极端天气、危险路况或遭到欺凌、骚扰等情形的，有权终止服务任务的履行，并向甲方和丙方及时说明情况，保留证据。乙方向丙方报告的，丙方应及时告知甲方。</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请乙方点击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／详见企业规章制度或联系甲方／丙方，了解在遭遇极端天气、遇到危险或在完成服务任务过程中受到欺凌或骚扰时寻求帮助和进行投诉的途径。</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第二十条 </w:t>
      </w:r>
      <w:r>
        <w:rPr>
          <w:rFonts w:hint="eastAsia" w:ascii="方正仿宋_GBK" w:hAnsi="方正仿宋_GBK" w:eastAsia="方正仿宋_GBK" w:cs="方正仿宋_GBK"/>
          <w:color w:val="000000"/>
          <w:sz w:val="32"/>
          <w:szCs w:val="32"/>
        </w:rPr>
        <w:t>甲方和／或丙方为乙方提供以下第</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项保障计划：</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1．按国家和所在地要求为乙方参加新就业形态就业人员职业伤害保障试点，缴纳职业伤害保障费，承担相应的职业伤害保障责任；</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2．通</w:t>
      </w:r>
      <w:r>
        <w:rPr>
          <w:rFonts w:hint="eastAsia" w:ascii="方正仿宋_GBK" w:hAnsi="方正仿宋_GBK" w:eastAsia="方正仿宋_GBK" w:cs="方正仿宋_GBK"/>
          <w:color w:val="000000"/>
          <w:sz w:val="32"/>
          <w:szCs w:val="32"/>
          <w:u w:val="none"/>
        </w:rPr>
        <w:t>过</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商业保险对乙方受到的职业伤害予以合理赔偿；</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3．其他商业保险计划：</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第二十一条 </w:t>
      </w:r>
      <w:r>
        <w:rPr>
          <w:rFonts w:hint="eastAsia" w:ascii="方正仿宋_GBK" w:hAnsi="方正仿宋_GBK" w:eastAsia="方正仿宋_GBK" w:cs="方正仿宋_GBK"/>
          <w:color w:val="000000"/>
          <w:sz w:val="32"/>
          <w:szCs w:val="32"/>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六、协议的履行、变更、解除和违约责任</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第二十二条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甲方是平台运营制度规则和算法的制定者。甲方和丙方承诺以显著方式、清晰易懂的语言真实、准确、完整地告知乙方平台进入退出、订单分配、计件单价、抽成比例、报酬构成及支付、工作时间、奖惩规则、安全要求等直接涉及乙方劳动权益的制度规则和平台算法。</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甲方承诺在制定、修订前述直接涉及乙方劳动权益的制度规则和平台算法前，通</w:t>
      </w:r>
      <w:r>
        <w:rPr>
          <w:rFonts w:hint="eastAsia" w:ascii="方正仿宋_GBK" w:hAnsi="方正仿宋_GBK" w:eastAsia="方正仿宋_GBK" w:cs="方正仿宋_GBK"/>
          <w:color w:val="000000"/>
          <w:sz w:val="32"/>
          <w:szCs w:val="32"/>
          <w:u w:val="none"/>
        </w:rPr>
        <w:t>过</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方式听取工会或乙方所属群体代表的意见建议，将结果公示并告知乙方。丙方协助甲方组织前述活动。</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甲方变更前述直接涉及乙方劳动权益的制度规则和平台算法的，将以显著方式提示乙方阅读，并确认。</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甲方承诺坚持算法取中原则，算法规则的制定以保障乙方安全健康为基本前提，强化恶劣天气等特殊情形下的算法优化和安全提示。</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丙方有权在甲方的授权范围内制定与提供属地化管理和服务相关的制度规则，可就相关平台制度规则和平台算法向乙方进行解释说明。</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第二十三条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乙方应遵循诚实信用原则履行本协议约定的任务，因乙方故意、严重过失、严重违反服务行为规范给甲方或客户造成严重损失的，甲方有权告知丙方并注销乙方账号及解除本协议，给甲方造成经济损失的，甲方有权要求乙方</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1193800</wp:posOffset>
                </wp:positionH>
                <wp:positionV relativeFrom="paragraph">
                  <wp:posOffset>9334500</wp:posOffset>
                </wp:positionV>
                <wp:extent cx="1168400" cy="190500"/>
                <wp:effectExtent l="0" t="0" r="0" b="0"/>
                <wp:wrapNone/>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Arial" w:hAnsi="Arial" w:eastAsia="Arial"/>
                                <w:color w:val="000000"/>
                                <w:sz w:val="24"/>
                              </w:rPr>
                              <w:t>-22-</w:t>
                            </w:r>
                          </w:p>
                        </w:txbxContent>
                      </wps:txbx>
                      <wps:bodyPr lIns="25400" tIns="0" rIns="25400" bIns="0">
                        <a:noAutofit/>
                      </wps:bodyPr>
                    </wps:wsp>
                  </a:graphicData>
                </a:graphic>
              </wp:anchor>
            </w:drawing>
          </mc:Choice>
          <mc:Fallback>
            <w:pict>
              <v:shape id="文本框 2" o:spid="_x0000_s1026" o:spt="202" type="#_x0000_t202" style="position:absolute;left:0pt;margin-left:94pt;margin-top:735pt;height:15pt;width:92pt;mso-position-horizontal-relative:page;z-index:251659264;mso-width-relative:page;mso-height-relative:page;" filled="f" stroked="f" coordsize="21600,21600" o:gfxdata="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XAh52AAAAA0BAAAPAAAAAAAAAAEAIAAAACIAAABkcnMvZG93bnJldi54bWxQ&#10;SwECFAAUAAAACACHTuJAyFhAAr4BAABRAwAADgAAAAAAAAABACAAAAAnAQAAZHJzL2Uyb0RvYy54&#10;bWxQSwUGAAAAAAYABgBZAQAAVwUAAAAA&#10;">
                <v:fill on="f" focussize="0,0"/>
                <v:stroke on="f" weight="0.5pt"/>
                <v:imagedata o:title=""/>
                <o:lock v:ext="edit" aspectratio="f"/>
                <v:textbox inset="2pt,0mm,2pt,0mm">
                  <w:txbxContent>
                    <w:p>
                      <w:pPr>
                        <w:spacing w:line="320" w:lineRule="exact"/>
                        <w:jc w:val="center"/>
                      </w:pPr>
                      <w:r>
                        <w:rPr>
                          <w:rFonts w:hint="eastAsia" w:ascii="Arial" w:hAnsi="Arial" w:eastAsia="Arial"/>
                          <w:color w:val="000000"/>
                          <w:sz w:val="24"/>
                        </w:rPr>
                        <w:t>-22-</w:t>
                      </w:r>
                    </w:p>
                  </w:txbxContent>
                </v:textbox>
              </v:shape>
            </w:pict>
          </mc:Fallback>
        </mc:AlternateContent>
      </w:r>
      <w:r>
        <w:rPr>
          <w:rFonts w:hint="eastAsia" w:ascii="方正仿宋_GBK" w:hAnsi="方正仿宋_GBK" w:eastAsia="方正仿宋_GBK" w:cs="方正仿宋_GBK"/>
          <w:color w:val="000000"/>
          <w:sz w:val="32"/>
          <w:szCs w:val="32"/>
        </w:rPr>
        <w:t>给予赔偿；给客户造成损失的，依法承担赔偿责任；涉嫌违法的向公安机关报案，并协助公安机关处理。</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严重违反服务行为规范或严重侵犯客户权益行为属于平台规则中的禁止性行为，包括但不限于：</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／详见企业规章制度，认真阅读平台规则中的禁止性行为及其后果的有关规定。）</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第二十四条</w:t>
      </w:r>
      <w:r>
        <w:rPr>
          <w:rFonts w:hint="eastAsia" w:ascii="方正仿宋_GBK" w:hAnsi="方正仿宋_GBK" w:eastAsia="方正仿宋_GBK" w:cs="方正仿宋_GBK"/>
          <w:color w:val="000000"/>
          <w:sz w:val="32"/>
          <w:szCs w:val="32"/>
        </w:rPr>
        <w:t xml:space="preserve"> 甲方为乙方提供以下申诉和提出意见建议的渠道：</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丙方为乙方者提供以下申诉和提出意见建议的渠道：</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乙方如对于报酬计算、服务时长、服务费用扣减、委托管理方责任、</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等有异议的，可通过上述申诉渠道向甲方和丙方提出申诉，甲方和丙方承诺及时予以回应并公正处理。</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丙方如有下述行为之一的，乙方可通过甲方提供的申诉渠道投诉，甲方承诺及时予以回应并公正处理：</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以任何形式、任何名义向乙方收取管理费、挂靠费、履约保证金等费用，要求回扣、截留报酬，强迫乙方参加活动、强制／诱导乙方办理与平台无关业务、进行不合理消费等（合理的车辆租赁、维修服务费用除外）；</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2．以任何形式、任何名义对乙方进行不合理罚款；</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3．以任何直接或间接方式限制乙方在工作时间、工作时长、接单等方面的自主决定权、强迫延长或限制工作时间、扣减报酬等；</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4．丙方工作人员存在骚扰、欺凌等行为的；</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5．设置不合理工作门槛，例如：存在性别、民族、年龄、户籍等歧视；要求乙方注册为个体工商户或另行签订与本协议不一致的其他协议等；</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6．其他：</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cs="方正仿宋_GBK"/>
          <w:color w:val="000000"/>
          <w:sz w:val="32"/>
          <w:szCs w:val="32"/>
          <w:u w:val="none"/>
          <w:lang w:val="en-US" w:eastAsia="zh-CN"/>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第二十五条</w:t>
      </w:r>
      <w:r>
        <w:rPr>
          <w:rFonts w:hint="eastAsia" w:ascii="方正仿宋_GBK" w:hAnsi="方正仿宋_GBK" w:eastAsia="方正仿宋_GBK" w:cs="方正仿宋_GBK"/>
          <w:color w:val="000000"/>
          <w:sz w:val="32"/>
          <w:szCs w:val="32"/>
        </w:rPr>
        <w:t xml:space="preserve"> 本协议约定的报酬支付方未依照约定按时足额支付乙方服务报酬的，乙方可要求甲方支付，甲方如已经将相关费用支付给丙方的，可向其追偿。</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第二十六条</w:t>
      </w:r>
      <w:r>
        <w:rPr>
          <w:rFonts w:hint="eastAsia" w:ascii="方正仿宋_GBK" w:hAnsi="方正仿宋_GBK" w:eastAsia="方正仿宋_GBK" w:cs="方正仿宋_GBK"/>
          <w:color w:val="000000"/>
          <w:sz w:val="32"/>
          <w:szCs w:val="32"/>
        </w:rPr>
        <w:t xml:space="preserve"> 甲方和丙方均有义务保护乙方的个人信息权利。甲方和丙方需根据乙方同意的平台个人信息处理规则（请点击</w:t>
      </w:r>
      <w:r>
        <w:rPr>
          <w:rFonts w:hint="eastAsia" w:ascii="方正仿宋_GBK" w:hAnsi="方正仿宋_GBK" w:eastAsia="方正仿宋_GBK" w:cs="方正仿宋_GBK"/>
          <w:color w:val="000000"/>
          <w:sz w:val="32"/>
          <w:szCs w:val="32"/>
          <w:u w:val="single"/>
        </w:rPr>
        <w:t>链接</w:t>
      </w:r>
      <w:r>
        <w:rPr>
          <w:rFonts w:hint="eastAsia" w:ascii="方正仿宋_GBK" w:hAnsi="方正仿宋_GBK" w:eastAsia="方正仿宋_GBK" w:cs="方正仿宋_GBK"/>
          <w:color w:val="000000"/>
          <w:sz w:val="32"/>
          <w:szCs w:val="32"/>
        </w:rPr>
        <w:t>／详见企业规章制度，认真阅读并确认），按照个人信息保护相关法律法规规定，处理乙方有关信息。</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第二十七条 </w:t>
      </w:r>
      <w:r>
        <w:rPr>
          <w:rFonts w:hint="eastAsia" w:ascii="方正仿宋_GBK" w:hAnsi="方正仿宋_GBK" w:eastAsia="方正仿宋_GBK" w:cs="方正仿宋_GBK"/>
          <w:b w:val="0"/>
          <w:bCs w:val="0"/>
          <w:color w:val="000000"/>
          <w:sz w:val="32"/>
          <w:szCs w:val="32"/>
        </w:rPr>
        <w:t>甲方与丙方之间的合作协议变更、终止或解除不影响本协议中</w:t>
      </w:r>
      <w:r>
        <w:rPr>
          <w:rFonts w:hint="eastAsia" w:ascii="方正仿宋_GBK" w:hAnsi="方正仿宋_GBK" w:eastAsia="方正仿宋_GBK" w:cs="方正仿宋_GBK"/>
          <w:color w:val="000000"/>
          <w:sz w:val="32"/>
          <w:szCs w:val="32"/>
        </w:rPr>
        <w:t>甲方与乙方相关权利义务的履行。</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丙方发生变动的，甲方提前</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日告知乙方，如乙方未提出异议，本协议中约定的丙方权利义务由其承继企业继续履行；乙方不同意变更的，可以单方解除协议。</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第二十八条</w:t>
      </w:r>
      <w:r>
        <w:rPr>
          <w:rFonts w:hint="eastAsia" w:ascii="方正仿宋_GBK" w:hAnsi="方正仿宋_GBK" w:eastAsia="方正仿宋_GBK" w:cs="方正仿宋_GBK"/>
          <w:color w:val="000000"/>
          <w:sz w:val="32"/>
          <w:szCs w:val="32"/>
        </w:rPr>
        <w:t xml:space="preserve"> 乙方有权随时注销在甲方平台注册的账号。乙方注销在甲方平台注册的账号的，视为本协议解除。</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七、各方约定事项</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第二十九条 </w:t>
      </w:r>
      <w:r>
        <w:rPr>
          <w:rFonts w:hint="eastAsia" w:ascii="方正仿宋_GBK" w:hAnsi="方正仿宋_GBK" w:eastAsia="方正仿宋_GBK" w:cs="方正仿宋_GBK"/>
          <w:color w:val="000000"/>
          <w:sz w:val="32"/>
          <w:szCs w:val="32"/>
        </w:rPr>
        <w:t>乙方对履行本协议而知悉的甲方和丙方的商业秘密承担保密义</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page">
                  <wp:posOffset>5549900</wp:posOffset>
                </wp:positionH>
                <wp:positionV relativeFrom="paragraph">
                  <wp:posOffset>9232900</wp:posOffset>
                </wp:positionV>
                <wp:extent cx="1130300" cy="190500"/>
                <wp:effectExtent l="0" t="0" r="0" b="0"/>
                <wp:wrapNone/>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22"/>
                              </w:rPr>
                              <w:t>-23-</w:t>
                            </w:r>
                          </w:p>
                        </w:txbxContent>
                      </wps:txbx>
                      <wps:bodyPr lIns="25400" tIns="0" rIns="25400" bIns="0">
                        <a:noAutofit/>
                      </wps:bodyPr>
                    </wps:wsp>
                  </a:graphicData>
                </a:graphic>
              </wp:anchor>
            </w:drawing>
          </mc:Choice>
          <mc:Fallback>
            <w:pict>
              <v:shape id="文本框 2" o:spid="_x0000_s1026" o:spt="202" type="#_x0000_t202" style="position:absolute;left:0pt;margin-left:437pt;margin-top:727pt;height:15pt;width:89pt;mso-position-horizontal-relative:page;z-index:251659264;mso-width-relative:page;mso-height-relative:page;" filled="f" stroked="f" coordsize="21600,21600" o:gfxdata="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oObt2AAAAA4BAAAPAAAAAAAAAAEAIAAAACIAAABkcnMvZG93bnJldi54bWxQ&#10;SwECFAAUAAAACACHTuJA6yAGOb4BAABRAwAADgAAAAAAAAABACAAAAAnAQAAZHJzL2Uyb0RvYy54&#10;bWxQSwUGAAAAAAYABgBZAQAAVwU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22"/>
                        </w:rPr>
                        <w:t>-23-</w:t>
                      </w:r>
                    </w:p>
                  </w:txbxContent>
                </v:textbox>
              </v:shape>
            </w:pict>
          </mc:Fallback>
        </mc:AlternateContent>
      </w:r>
      <w:r>
        <w:rPr>
          <w:rFonts w:hint="eastAsia" w:ascii="方正仿宋_GBK" w:hAnsi="方正仿宋_GBK" w:eastAsia="方正仿宋_GBK" w:cs="方正仿宋_GBK"/>
          <w:color w:val="000000"/>
          <w:sz w:val="32"/>
          <w:szCs w:val="32"/>
        </w:rPr>
        <w:t>务，未经甲方和丙方同意，不得泄漏。</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第三十条 </w:t>
      </w:r>
      <w:r>
        <w:rPr>
          <w:rFonts w:hint="eastAsia" w:ascii="方正仿宋_GBK" w:hAnsi="方正仿宋_GBK" w:eastAsia="方正仿宋_GBK" w:cs="方正仿宋_GBK"/>
          <w:color w:val="000000"/>
          <w:sz w:val="32"/>
          <w:szCs w:val="32"/>
        </w:rPr>
        <w:t>各方约定的其它事项：</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八、争议解决</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第三十一条 </w:t>
      </w:r>
      <w:r>
        <w:rPr>
          <w:rFonts w:hint="eastAsia" w:ascii="方正仿宋_GBK" w:hAnsi="方正仿宋_GBK" w:eastAsia="方正仿宋_GBK" w:cs="方正仿宋_GBK"/>
          <w:color w:val="000000"/>
          <w:sz w:val="32"/>
          <w:szCs w:val="32"/>
        </w:rPr>
        <w:t>各方在履行协议过程中如发生争议，可以按照法律法规的规定，进行协商、申请调解或向合同履行地等有管辖权的人民法院提起诉讼。</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九、其他</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第三十二条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本协议中记载的乙方联系电话、通讯地址为协议期内通知相关事项和送达书面文书的联系方式、送达地址。如发生变化，乙方应当及时告知甲方和丙方。</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第三十三条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各方确认：均已详细阅读并理解本协议内容，清楚各自的权利、义务。本协议未尽事宜，按照有关法律法规和政策规定执行。</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000000"/>
          <w:sz w:val="32"/>
          <w:szCs w:val="32"/>
        </w:rPr>
        <w:t xml:space="preserve">第三十四条 </w:t>
      </w:r>
      <w:r>
        <w:rPr>
          <w:rFonts w:hint="eastAsia" w:ascii="方正仿宋_GBK" w:hAnsi="方正仿宋_GBK" w:eastAsia="方正仿宋_GBK" w:cs="方正仿宋_GBK"/>
          <w:color w:val="000000"/>
          <w:sz w:val="32"/>
          <w:szCs w:val="32"/>
        </w:rPr>
        <w:t>本协议一式三份，三方各执一份，自三方签字（盖章）之日起生效，各方应严格遵照执行。</w:t>
      </w:r>
    </w:p>
    <w:p>
      <w:pPr>
        <w:keepNext w:val="0"/>
        <w:keepLines w:val="0"/>
        <w:pageBreakBefore w:val="0"/>
        <w:widowControl w:val="0"/>
        <w:kinsoku/>
        <w:wordWrap/>
        <w:autoSpaceDE/>
        <w:autoSpaceDN/>
        <w:bidi w:val="0"/>
        <w:adjustRightInd/>
        <w:spacing w:line="560" w:lineRule="exact"/>
        <w:ind w:firstLine="632"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如以电子形式签订，乙方可随时查看并下载本协议文本及其所有链接。</w:t>
      </w:r>
    </w:p>
    <w:p>
      <w:pPr>
        <w:keepNext w:val="0"/>
        <w:keepLines w:val="0"/>
        <w:pageBreakBefore w:val="0"/>
        <w:widowControl w:val="0"/>
        <w:kinsoku/>
        <w:wordWrap/>
        <w:autoSpaceDE/>
        <w:autoSpaceDN/>
        <w:bidi w:val="0"/>
        <w:adjustRightInd/>
        <w:spacing w:line="560" w:lineRule="exact"/>
        <w:ind w:firstLine="48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甲方（盖章）</w:t>
      </w: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法定代表人（主要负责人）</w:t>
      </w: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或委托代理人（签字或盖章）</w:t>
      </w:r>
    </w:p>
    <w:p>
      <w:pPr>
        <w:keepNext w:val="0"/>
        <w:keepLines w:val="0"/>
        <w:pageBreakBefore w:val="0"/>
        <w:widowControl w:val="0"/>
        <w:kinsoku/>
        <w:wordWrap/>
        <w:autoSpaceDE/>
        <w:autoSpaceDN/>
        <w:bidi w:val="0"/>
        <w:adjustRightInd/>
        <w:spacing w:line="44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p>
      <w:pPr>
        <w:keepNext w:val="0"/>
        <w:keepLines w:val="0"/>
        <w:pageBreakBefore w:val="0"/>
        <w:widowControl w:val="0"/>
        <w:kinsoku/>
        <w:wordWrap/>
        <w:autoSpaceDE/>
        <w:autoSpaceDN/>
        <w:bidi w:val="0"/>
        <w:adjustRightInd/>
        <w:spacing w:line="440" w:lineRule="exact"/>
        <w:ind w:firstLine="122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乙方（签字）</w:t>
      </w:r>
    </w:p>
    <w:p>
      <w:pPr>
        <w:keepNext w:val="0"/>
        <w:keepLines w:val="0"/>
        <w:pageBreakBefore w:val="0"/>
        <w:widowControl w:val="0"/>
        <w:kinsoku/>
        <w:wordWrap/>
        <w:autoSpaceDE/>
        <w:autoSpaceDN/>
        <w:bidi w:val="0"/>
        <w:adjustRightInd/>
        <w:spacing w:line="44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p>
      <w:pPr>
        <w:keepNext w:val="0"/>
        <w:keepLines w:val="0"/>
        <w:pageBreakBefore w:val="0"/>
        <w:widowControl w:val="0"/>
        <w:kinsoku/>
        <w:wordWrap/>
        <w:autoSpaceDE/>
        <w:autoSpaceDN/>
        <w:bidi w:val="0"/>
        <w:adjustRightInd/>
        <w:spacing w:line="440" w:lineRule="exact"/>
        <w:ind w:firstLine="122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丙方（盖章）</w:t>
      </w: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法定代表人（主要负责人）</w:t>
      </w:r>
    </w:p>
    <w:p>
      <w:pPr>
        <w:keepNext w:val="0"/>
        <w:keepLines w:val="0"/>
        <w:pageBreakBefore w:val="0"/>
        <w:widowControl w:val="0"/>
        <w:kinsoku/>
        <w:wordWrap/>
        <w:autoSpaceDE/>
        <w:autoSpaceDN/>
        <w:bidi w:val="0"/>
        <w:adjustRightInd/>
        <w:spacing w:line="440" w:lineRule="exact"/>
        <w:ind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或委托代理人（签字或盖章）</w:t>
      </w:r>
    </w:p>
    <w:p>
      <w:pPr>
        <w:keepNext w:val="0"/>
        <w:keepLines w:val="0"/>
        <w:pageBreakBefore w:val="0"/>
        <w:widowControl w:val="0"/>
        <w:kinsoku/>
        <w:wordWrap/>
        <w:autoSpaceDE/>
        <w:autoSpaceDN/>
        <w:bidi w:val="0"/>
        <w:adjustRightInd/>
        <w:spacing w:line="44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p>
      <w:pPr>
        <w:keepNext w:val="0"/>
        <w:keepLines w:val="0"/>
        <w:pageBreakBefore w:val="0"/>
        <w:widowControl w:val="0"/>
        <w:kinsoku/>
        <w:wordWrap/>
        <w:autoSpaceDE/>
        <w:autoSpaceDN/>
        <w:bidi w:val="0"/>
        <w:adjustRightInd/>
        <w:spacing w:line="440" w:lineRule="exact"/>
        <w:ind w:firstLine="1220"/>
        <w:jc w:val="both"/>
        <w:textAlignment w:val="auto"/>
        <w:rPr>
          <w:rFonts w:hint="eastAsia" w:ascii="方正仿宋_GBK" w:hAnsi="方正仿宋_GBK" w:cs="方正仿宋_GBK"/>
          <w:color w:val="000000"/>
          <w:sz w:val="32"/>
          <w:szCs w:val="32"/>
          <w:lang w:val="en-US" w:eastAsia="zh-CN"/>
        </w:rPr>
      </w:pPr>
    </w:p>
    <w:sectPr>
      <w:footerReference r:id="rId3" w:type="default"/>
      <w:pgSz w:w="11906" w:h="16838"/>
      <w:pgMar w:top="2098" w:right="1474" w:bottom="1984" w:left="1587" w:header="851" w:footer="1049"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0.1pt;margin-top:755.45pt;height:144pt;width:144pt;mso-position-horizontal-relative:page;mso-position-vertical-relative:page;mso-wrap-style:none;z-index:251658240;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T8gTYAAAABwEA&#10;AA8AAAAAAAAAAQAgAAAAIgAAAGRycy9kb3ducmV2LnhtbFBLAQIUABQAAAAIAIdO4kCSAlbjGgIA&#10;AB0EAAAOAAAAAAAAAAEAIAAAACcBAABkcnMvZTJvRG9jLnhtbFBLBQYAAAAABgAGAFkBAACzBQAA&#10;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72829"/>
    <w:multiLevelType w:val="singleLevel"/>
    <w:tmpl w:val="A8B72829"/>
    <w:lvl w:ilvl="0" w:tentative="0">
      <w:start w:val="1"/>
      <w:numFmt w:val="chineseCounting"/>
      <w:pStyle w:val="11"/>
      <w:suff w:val="nothing"/>
      <w:lvlText w:val="（%1）"/>
      <w:lvlJc w:val="left"/>
      <w:pPr>
        <w:ind w:left="0" w:firstLine="0"/>
      </w:pPr>
      <w:rPr>
        <w:rFonts w:hint="eastAsia"/>
      </w:rPr>
    </w:lvl>
  </w:abstractNum>
  <w:abstractNum w:abstractNumId="1">
    <w:nsid w:val="051A4E85"/>
    <w:multiLevelType w:val="singleLevel"/>
    <w:tmpl w:val="051A4E85"/>
    <w:lvl w:ilvl="0" w:tentative="0">
      <w:start w:val="1"/>
      <w:numFmt w:val="decimal"/>
      <w:pStyle w:val="10"/>
      <w:suff w:val="nothing"/>
      <w:lvlText w:val="（%1）"/>
      <w:lvlJc w:val="left"/>
      <w:pPr>
        <w:ind w:left="0" w:firstLine="0"/>
      </w:pPr>
      <w:rPr>
        <w:rFonts w:hint="default"/>
      </w:rPr>
    </w:lvl>
  </w:abstractNum>
  <w:abstractNum w:abstractNumId="2">
    <w:nsid w:val="1FD18B64"/>
    <w:multiLevelType w:val="singleLevel"/>
    <w:tmpl w:val="1FD18B64"/>
    <w:lvl w:ilvl="0" w:tentative="0">
      <w:start w:val="1"/>
      <w:numFmt w:val="decimal"/>
      <w:pStyle w:val="8"/>
      <w:suff w:val="nothing"/>
      <w:lvlText w:val="%1."/>
      <w:lvlJc w:val="left"/>
      <w:pPr>
        <w:ind w:left="0" w:firstLine="0"/>
      </w:pPr>
      <w:rPr>
        <w:rFonts w:hint="default"/>
      </w:rPr>
    </w:lvl>
  </w:abstractNum>
  <w:abstractNum w:abstractNumId="3">
    <w:nsid w:val="59ABB6A0"/>
    <w:multiLevelType w:val="singleLevel"/>
    <w:tmpl w:val="59ABB6A0"/>
    <w:lvl w:ilvl="0" w:tentative="0">
      <w:start w:val="1"/>
      <w:numFmt w:val="chineseCounting"/>
      <w:pStyle w:val="9"/>
      <w:suff w:val="nothing"/>
      <w:lvlText w:val="%1、"/>
      <w:lvlJc w:val="left"/>
      <w:pPr>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632"/>
  <w:hyphenationZone w:val="360"/>
  <w:drawingGridHorizontalSpacing w:val="32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TE3YzExMWRiNWE4NTg1MmUzMDNlYjExYzk0N2QifQ=="/>
  </w:docVars>
  <w:rsids>
    <w:rsidRoot w:val="C4FCEE93"/>
    <w:rsid w:val="065C363E"/>
    <w:rsid w:val="06C323F1"/>
    <w:rsid w:val="0AE00993"/>
    <w:rsid w:val="0DDF64DA"/>
    <w:rsid w:val="0F5C0611"/>
    <w:rsid w:val="126E7D99"/>
    <w:rsid w:val="12BD1E00"/>
    <w:rsid w:val="1D604B73"/>
    <w:rsid w:val="22EB0ED1"/>
    <w:rsid w:val="27955A77"/>
    <w:rsid w:val="33F7B365"/>
    <w:rsid w:val="39557C35"/>
    <w:rsid w:val="3CF75027"/>
    <w:rsid w:val="3F7E229C"/>
    <w:rsid w:val="404D210C"/>
    <w:rsid w:val="42BD7D96"/>
    <w:rsid w:val="47466018"/>
    <w:rsid w:val="4B6E6534"/>
    <w:rsid w:val="4D5E2CC5"/>
    <w:rsid w:val="4FFFF0A0"/>
    <w:rsid w:val="5269084A"/>
    <w:rsid w:val="56E394C6"/>
    <w:rsid w:val="5C0120F2"/>
    <w:rsid w:val="5E474C84"/>
    <w:rsid w:val="61EC126A"/>
    <w:rsid w:val="61F84EF2"/>
    <w:rsid w:val="62DB1C40"/>
    <w:rsid w:val="64975087"/>
    <w:rsid w:val="657C417C"/>
    <w:rsid w:val="66A67FB7"/>
    <w:rsid w:val="6E1528B4"/>
    <w:rsid w:val="747E651B"/>
    <w:rsid w:val="773F55E1"/>
    <w:rsid w:val="77605677"/>
    <w:rsid w:val="791FC594"/>
    <w:rsid w:val="7BED6C6B"/>
    <w:rsid w:val="7D1A0F87"/>
    <w:rsid w:val="7DA64D51"/>
    <w:rsid w:val="7E2E6BB0"/>
    <w:rsid w:val="7E5CB406"/>
    <w:rsid w:val="7F5F382B"/>
    <w:rsid w:val="7FD75B1B"/>
    <w:rsid w:val="7FDF1893"/>
    <w:rsid w:val="A7DF7578"/>
    <w:rsid w:val="C4FCEE93"/>
    <w:rsid w:val="DE2BA28A"/>
    <w:rsid w:val="DFF8DCE8"/>
    <w:rsid w:val="DFFE29F2"/>
    <w:rsid w:val="EEFF0823"/>
    <w:rsid w:val="EFFE92A2"/>
    <w:rsid w:val="F1FF8516"/>
    <w:rsid w:val="F3FE1A0C"/>
    <w:rsid w:val="FBBF8C20"/>
    <w:rsid w:val="FE9EF958"/>
    <w:rsid w:val="FEE7E06E"/>
    <w:rsid w:val="FFF55A70"/>
    <w:rsid w:val="FFF77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spacing w:line="500" w:lineRule="exact"/>
      <w:jc w:val="left"/>
    </w:pPr>
    <w:rPr>
      <w:rFonts w:eastAsia="宋体"/>
      <w:sz w:val="2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outlineLvl w:val="9"/>
    </w:pPr>
    <w:rPr>
      <w:rFonts w:eastAsia="宋体"/>
      <w:sz w:val="28"/>
    </w:rPr>
  </w:style>
  <w:style w:type="paragraph" w:customStyle="1" w:styleId="8">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9">
    <w:name w:val="公文标题 1"/>
    <w:link w:val="12"/>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10">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1">
    <w:name w:val="公文标题 2"/>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 w:type="character" w:customStyle="1" w:styleId="12">
    <w:name w:val="公文标题 1 Char"/>
    <w:link w:val="9"/>
    <w:qFormat/>
    <w:uiPriority w:val="0"/>
    <w:rPr>
      <w:rFonts w:ascii="Times New Roman" w:hAnsi="Times New Roman" w:eastAsia="方正黑体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admin\C:\opt\kingsoft\wps-office\office6\mui\zh_CN\templates\wps\GB9704_2012_Templates\BlankTex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BlankText.dotx</Template>
  <Pages>1</Pages>
  <Words>611</Words>
  <Characters>611</Characters>
  <Lines>0</Lines>
  <Paragraphs>0</Paragraphs>
  <TotalTime>35</TotalTime>
  <ScaleCrop>false</ScaleCrop>
  <LinksUpToDate>false</LinksUpToDate>
  <CharactersWithSpaces>611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2023-03-10T06:22:00Z</dcterms:created>
  <dc:creator> </dc:creator>
  <cp:lastModifiedBy>Lenovo</cp:lastModifiedBy>
  <cp:lastPrinted>2023-03-14T21:20:00Z</cp:lastPrinted>
  <dcterms:modified xsi:type="dcterms:W3CDTF">2024-03-07T04:12:30Z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2C6DEE0FB58E4B9C8507A170A1E3E879</vt:lpwstr>
  </property>
</Properties>
</file>