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Times New Roman"/>
          <w:b/>
          <w:bCs/>
          <w:kern w:val="0"/>
          <w:sz w:val="28"/>
          <w:szCs w:val="21"/>
          <w:highlight w:val="none"/>
        </w:rPr>
      </w:pPr>
      <w:r>
        <w:rPr>
          <w:rFonts w:hint="eastAsia" w:ascii="宋体" w:hAnsi="宋体" w:eastAsia="宋体" w:cs="Times New Roman"/>
          <w:b/>
          <w:bCs/>
          <w:kern w:val="0"/>
          <w:sz w:val="28"/>
          <w:szCs w:val="21"/>
          <w:highlight w:val="none"/>
          <w:lang w:eastAsia="zh-CN"/>
        </w:rPr>
        <w:t>《</w:t>
      </w:r>
      <w:r>
        <w:rPr>
          <w:rFonts w:hint="eastAsia" w:ascii="宋体" w:hAnsi="宋体" w:eastAsia="宋体" w:cs="Times New Roman"/>
          <w:b/>
          <w:bCs/>
          <w:kern w:val="0"/>
          <w:sz w:val="28"/>
          <w:szCs w:val="21"/>
          <w:highlight w:val="none"/>
        </w:rPr>
        <w:t>第七师胡杨河市“十四五”综合交通运输体系发展规划环境影响报告书</w:t>
      </w:r>
      <w:r>
        <w:rPr>
          <w:rFonts w:hint="eastAsia" w:ascii="宋体" w:hAnsi="宋体" w:eastAsia="宋体" w:cs="Times New Roman"/>
          <w:b/>
          <w:bCs/>
          <w:kern w:val="0"/>
          <w:sz w:val="28"/>
          <w:szCs w:val="21"/>
          <w:highlight w:val="none"/>
          <w:lang w:eastAsia="zh-CN"/>
        </w:rPr>
        <w:t>》第二次征求</w:t>
      </w:r>
      <w:bookmarkStart w:id="15" w:name="_GoBack"/>
      <w:bookmarkEnd w:id="15"/>
      <w:r>
        <w:rPr>
          <w:rFonts w:hint="eastAsia" w:ascii="宋体" w:hAnsi="宋体" w:eastAsia="宋体" w:cs="Times New Roman"/>
          <w:b/>
          <w:bCs/>
          <w:kern w:val="0"/>
          <w:sz w:val="28"/>
          <w:szCs w:val="21"/>
          <w:highlight w:val="none"/>
          <w:lang w:eastAsia="zh-CN"/>
        </w:rPr>
        <w:t>意见稿</w:t>
      </w:r>
    </w:p>
    <w:p>
      <w:pPr>
        <w:adjustRightInd w:val="0"/>
        <w:snapToGrid w:val="0"/>
        <w:spacing w:line="360" w:lineRule="auto"/>
        <w:jc w:val="center"/>
        <w:rPr>
          <w:b/>
          <w:bCs/>
          <w:kern w:val="0"/>
          <w:sz w:val="24"/>
          <w:szCs w:val="24"/>
        </w:rPr>
      </w:pPr>
    </w:p>
    <w:p>
      <w:pPr>
        <w:widowControl w:val="0"/>
        <w:spacing w:after="156" w:afterLines="50" w:line="360" w:lineRule="auto"/>
        <w:ind w:firstLine="482" w:firstLineChars="200"/>
        <w:jc w:val="both"/>
        <w:outlineLvl w:val="0"/>
        <w:rPr>
          <w:rFonts w:ascii="宋体" w:hAnsi="宋体" w:eastAsia="宋体" w:cs="Times New Roman"/>
          <w:b/>
          <w:color w:val="000000"/>
          <w:kern w:val="0"/>
          <w:sz w:val="24"/>
          <w:szCs w:val="24"/>
          <w:lang w:val="en-US" w:eastAsia="zh-CN" w:bidi="ar-SA"/>
        </w:rPr>
      </w:pPr>
      <w:r>
        <w:rPr>
          <w:rFonts w:ascii="宋体" w:hAnsi="宋体" w:eastAsia="宋体" w:cs="Times New Roman"/>
          <w:b/>
          <w:color w:val="000000"/>
          <w:kern w:val="0"/>
          <w:sz w:val="24"/>
          <w:szCs w:val="24"/>
          <w:lang w:val="en-US" w:eastAsia="zh-CN" w:bidi="ar-SA"/>
        </w:rPr>
        <w:t>一、规划</w:t>
      </w:r>
      <w:r>
        <w:rPr>
          <w:rFonts w:hint="eastAsia" w:ascii="宋体" w:hAnsi="宋体" w:eastAsia="宋体" w:cs="Times New Roman"/>
          <w:b/>
          <w:color w:val="000000"/>
          <w:kern w:val="0"/>
          <w:sz w:val="24"/>
          <w:szCs w:val="24"/>
          <w:lang w:val="en-US" w:eastAsia="zh-CN" w:bidi="ar-SA"/>
        </w:rPr>
        <w:t>概况</w:t>
      </w:r>
    </w:p>
    <w:p>
      <w:pPr>
        <w:widowControl w:val="0"/>
        <w:spacing w:after="156" w:afterLines="50" w:line="360" w:lineRule="auto"/>
        <w:ind w:firstLine="482" w:firstLineChars="200"/>
        <w:jc w:val="both"/>
        <w:rPr>
          <w:rFonts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1、规划内容</w:t>
      </w:r>
    </w:p>
    <w:p>
      <w:pPr>
        <w:widowControl w:val="0"/>
        <w:spacing w:after="156" w:afterLines="50" w:line="360" w:lineRule="auto"/>
        <w:ind w:firstLine="480" w:firstLineChars="20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到2025年，实现胡杨河市火车站、机场覆盖，公路通车总里程超过3500公里，其中，高速及一级公路超过300公里，二级公路达到600公里。第七师交通基础设施建设取得突破性进展，结构合理、能力充分的基础设施网络基本形成，运输服务质量、效率和行业发展的支持保障能力显著提升。实现胡杨河市与奎屯市、独山子区、乌苏市之间40分钟通达；实现除124团、137团等个别团场外，胡杨河市30分钟到达周边团场、地方城镇和重要经济节点；实现全师90%以上人口10分钟上高速公路或一级公路。</w:t>
      </w:r>
    </w:p>
    <w:p>
      <w:pPr>
        <w:widowControl w:val="0"/>
        <w:spacing w:after="156" w:afterLines="50" w:line="360" w:lineRule="auto"/>
        <w:ind w:firstLine="482" w:firstLineChars="200"/>
        <w:jc w:val="both"/>
        <w:rPr>
          <w:rFonts w:ascii="Times New Roman" w:hAnsi="Times New Roman" w:eastAsia="宋体" w:cs="Times New Roman"/>
          <w:b/>
          <w:kern w:val="2"/>
          <w:sz w:val="24"/>
          <w:szCs w:val="24"/>
          <w:lang w:val="en-US" w:eastAsia="zh-CN" w:bidi="ar-SA"/>
        </w:rPr>
      </w:pPr>
      <w:r>
        <w:rPr>
          <w:rFonts w:ascii="Times New Roman" w:hAnsi="Times New Roman" w:eastAsia="宋体" w:cs="Times New Roman"/>
          <w:b/>
          <w:kern w:val="2"/>
          <w:sz w:val="24"/>
          <w:szCs w:val="24"/>
          <w:lang w:val="en-US" w:eastAsia="zh-CN" w:bidi="ar-SA"/>
        </w:rPr>
        <w:t>2</w:t>
      </w:r>
      <w:r>
        <w:rPr>
          <w:rFonts w:hint="eastAsia" w:ascii="Times New Roman" w:hAnsi="Times New Roman" w:eastAsia="宋体" w:cs="Times New Roman"/>
          <w:b/>
          <w:kern w:val="2"/>
          <w:sz w:val="24"/>
          <w:szCs w:val="24"/>
          <w:lang w:val="en-US" w:eastAsia="zh-CN" w:bidi="ar-SA"/>
        </w:rPr>
        <w:t>、规划特点及评价重点</w:t>
      </w:r>
    </w:p>
    <w:p>
      <w:pPr>
        <w:widowControl w:val="0"/>
        <w:spacing w:after="156" w:afterLines="50" w:line="360" w:lineRule="auto"/>
        <w:ind w:firstLine="480" w:firstLineChars="200"/>
        <w:jc w:val="both"/>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新疆生产建设兵团第七师胡杨河市“十四五”交通运输发展规划》属于市级综合运输五年规划，其环评工作应主要从宏观角度分析规划实施可能产生的生态与环境影响，进而提出规划优化方案和环境保护对策。另外，本规划中以胡杨河市综合交通运输中提出的新建、改扩建工程为重点评价对象，以交通运输通道、重要交通运输枢纽和环境敏感目标为重点评价区域。</w:t>
      </w:r>
    </w:p>
    <w:p>
      <w:pPr>
        <w:widowControl w:val="0"/>
        <w:spacing w:after="156" w:afterLines="50" w:line="360" w:lineRule="auto"/>
        <w:ind w:firstLine="480" w:firstLineChars="200"/>
        <w:jc w:val="both"/>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具体而言，本次评价主要内容为：</w:t>
      </w:r>
    </w:p>
    <w:p>
      <w:pPr>
        <w:widowControl w:val="0"/>
        <w:spacing w:after="156" w:afterLines="50" w:line="360" w:lineRule="auto"/>
        <w:ind w:firstLine="480" w:firstLineChars="200"/>
        <w:jc w:val="both"/>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（1）概述规划目标、交通运输规模、布局、重点建设项目和建设时序等，全面分析规划与社会经济、土地利用等宏观规划的符合性，与自然资源开发、生态环境保护等相关规划的协调性。</w:t>
      </w:r>
    </w:p>
    <w:p>
      <w:pPr>
        <w:widowControl w:val="0"/>
        <w:spacing w:after="156" w:afterLines="50" w:line="360" w:lineRule="auto"/>
        <w:ind w:firstLine="480" w:firstLineChars="200"/>
        <w:jc w:val="both"/>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（2）说明评价范围内生态环境、水环境、大气环境、资源能源、社会经济发展等方面的基本情况，分析区域现存主要环境问题及其成因。</w:t>
      </w:r>
    </w:p>
    <w:p>
      <w:pPr>
        <w:widowControl w:val="0"/>
        <w:spacing w:after="156" w:afterLines="50" w:line="360" w:lineRule="auto"/>
        <w:ind w:firstLine="480" w:firstLineChars="200"/>
        <w:jc w:val="both"/>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（3）结合规划内容与评价区域的环境特点，开展全面环境影响识别；根据识别出的主要环境影响，构建针对性的评价指标体系，合理确定评价标准。</w:t>
      </w:r>
    </w:p>
    <w:p>
      <w:pPr>
        <w:widowControl w:val="0"/>
        <w:spacing w:after="156" w:afterLines="50" w:line="360" w:lineRule="auto"/>
        <w:ind w:firstLine="480" w:firstLineChars="200"/>
        <w:jc w:val="both"/>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（4）分析规划实施对区域生态系统、环境质量、资源能源利用及社会经济等方面的影响，针对性的提出预防和减轻不良环境影响的对策和措施。</w:t>
      </w:r>
    </w:p>
    <w:p>
      <w:pPr>
        <w:widowControl w:val="0"/>
        <w:spacing w:after="156" w:afterLines="50" w:line="360" w:lineRule="auto"/>
        <w:ind w:firstLine="480" w:firstLineChars="200"/>
        <w:jc w:val="both"/>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（5）深入论证交通运输规模、布局等方面的环境合理性，提出与“三线一单”要求的符合性，针对性提出规划优化、调整与实施建议。</w:t>
      </w:r>
    </w:p>
    <w:p>
      <w:pPr>
        <w:widowControl w:val="0"/>
        <w:spacing w:after="156" w:afterLines="50" w:line="360" w:lineRule="auto"/>
        <w:ind w:firstLine="480" w:firstLineChars="200"/>
        <w:jc w:val="both"/>
        <w:rPr>
          <w:rFonts w:hint="eastAsia" w:ascii="Times New Roman" w:hAnsi="Times New Roman" w:eastAsia="宋体" w:cs="Times New Roman"/>
          <w:bCs/>
          <w:kern w:val="2"/>
          <w:sz w:val="24"/>
          <w:szCs w:val="24"/>
          <w:lang w:val="en-US" w:eastAsia="zh-CN" w:bidi="ar-SA"/>
        </w:rPr>
      </w:pPr>
      <w:bookmarkStart w:id="0" w:name="_Toc26576"/>
      <w:r>
        <w:rPr>
          <w:rFonts w:hint="eastAsia" w:ascii="Times New Roman" w:hAnsi="Times New Roman" w:eastAsia="宋体" w:cs="Times New Roman"/>
          <w:bCs/>
          <w:kern w:val="2"/>
          <w:sz w:val="24"/>
          <w:szCs w:val="24"/>
          <w:lang w:val="en-US" w:eastAsia="zh-CN" w:bidi="ar-SA"/>
        </w:rPr>
        <w:t>本次规划环境影响</w:t>
      </w:r>
      <w:r>
        <w:rPr>
          <w:rFonts w:hint="eastAsia" w:cs="Times New Roman"/>
          <w:bCs/>
          <w:kern w:val="2"/>
          <w:sz w:val="24"/>
          <w:szCs w:val="24"/>
          <w:lang w:val="en-US" w:eastAsia="zh-CN" w:bidi="ar-SA"/>
        </w:rPr>
        <w:t>评价</w:t>
      </w:r>
      <w:r>
        <w:rPr>
          <w:rFonts w:hint="eastAsia" w:ascii="Times New Roman" w:hAnsi="Times New Roman" w:eastAsia="宋体" w:cs="Times New Roman"/>
          <w:bCs/>
          <w:kern w:val="2"/>
          <w:sz w:val="24"/>
          <w:szCs w:val="24"/>
          <w:lang w:val="en-US" w:eastAsia="zh-CN" w:bidi="ar-SA"/>
        </w:rPr>
        <w:t>范围</w:t>
      </w:r>
      <w:bookmarkEnd w:id="0"/>
      <w:r>
        <w:rPr>
          <w:rFonts w:hint="eastAsia" w:ascii="Times New Roman" w:hAnsi="Times New Roman" w:eastAsia="宋体" w:cs="Times New Roman"/>
          <w:bCs/>
          <w:kern w:val="2"/>
          <w:sz w:val="24"/>
          <w:szCs w:val="24"/>
          <w:lang w:val="en-US" w:eastAsia="zh-CN" w:bidi="ar-SA"/>
        </w:rPr>
        <w:t>：</w:t>
      </w:r>
    </w:p>
    <w:p>
      <w:pPr>
        <w:widowControl w:val="0"/>
        <w:spacing w:after="156" w:afterLines="50" w:line="360" w:lineRule="auto"/>
        <w:ind w:firstLine="480" w:firstLineChars="200"/>
        <w:jc w:val="both"/>
        <w:rPr>
          <w:rFonts w:hint="eastAsia" w:ascii="Times New Roman" w:hAnsi="Times New Roman" w:eastAsia="宋体" w:cs="Times New Roman"/>
          <w:bCs/>
          <w:kern w:val="2"/>
          <w:sz w:val="24"/>
          <w:szCs w:val="24"/>
          <w:lang w:val="en-US" w:eastAsia="zh-CN" w:bidi="ar-SA"/>
        </w:rPr>
      </w:pPr>
      <w:bookmarkStart w:id="1" w:name="_Toc2768"/>
      <w:r>
        <w:rPr>
          <w:rFonts w:hint="eastAsia" w:ascii="Times New Roman" w:hAnsi="Times New Roman" w:eastAsia="宋体" w:cs="Times New Roman"/>
          <w:bCs/>
          <w:kern w:val="2"/>
          <w:sz w:val="24"/>
          <w:szCs w:val="24"/>
          <w:lang w:val="en-US" w:eastAsia="zh-CN" w:bidi="ar-SA"/>
        </w:rPr>
        <w:t>（1）空间范围</w:t>
      </w:r>
      <w:bookmarkEnd w:id="1"/>
    </w:p>
    <w:p>
      <w:pPr>
        <w:widowControl w:val="0"/>
        <w:spacing w:after="156" w:afterLines="50" w:line="360" w:lineRule="auto"/>
        <w:ind w:firstLine="480" w:firstLineChars="200"/>
        <w:jc w:val="both"/>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根据《规划环境影响评价技术导则总纲》关于评价范围的确定原则，充分考虑规划地域范围与各环境要素的特征，确定本次评价的空间范围：</w:t>
      </w:r>
    </w:p>
    <w:p>
      <w:pPr>
        <w:widowControl w:val="0"/>
        <w:spacing w:after="156" w:afterLines="50" w:line="360" w:lineRule="auto"/>
        <w:ind w:firstLine="480" w:firstLineChars="200"/>
        <w:jc w:val="both"/>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生态环境、资源影响和社会经济环境影响评价范围为第七师师域范围。污染排放的评价范围主要为规划交通运输基础设施周边相关区域。</w:t>
      </w:r>
    </w:p>
    <w:p>
      <w:pPr>
        <w:widowControl w:val="0"/>
        <w:spacing w:after="156" w:afterLines="50" w:line="360" w:lineRule="auto"/>
        <w:ind w:firstLine="480" w:firstLineChars="200"/>
        <w:jc w:val="both"/>
        <w:rPr>
          <w:rFonts w:hint="eastAsia" w:ascii="Times New Roman" w:hAnsi="Times New Roman" w:eastAsia="宋体" w:cs="Times New Roman"/>
          <w:bCs/>
          <w:kern w:val="2"/>
          <w:sz w:val="24"/>
          <w:szCs w:val="24"/>
          <w:lang w:val="en-US" w:eastAsia="zh-CN" w:bidi="ar-SA"/>
        </w:rPr>
      </w:pPr>
      <w:bookmarkStart w:id="2" w:name="_Toc32187"/>
      <w:r>
        <w:rPr>
          <w:rFonts w:hint="eastAsia" w:ascii="Times New Roman" w:hAnsi="Times New Roman" w:eastAsia="宋体" w:cs="Times New Roman"/>
          <w:bCs/>
          <w:kern w:val="2"/>
          <w:sz w:val="24"/>
          <w:szCs w:val="24"/>
          <w:lang w:val="en-US" w:eastAsia="zh-CN" w:bidi="ar-SA"/>
        </w:rPr>
        <w:t>（2）时间范围</w:t>
      </w:r>
      <w:bookmarkEnd w:id="2"/>
    </w:p>
    <w:p>
      <w:pPr>
        <w:widowControl w:val="0"/>
        <w:spacing w:after="156" w:afterLines="50" w:line="360" w:lineRule="auto"/>
        <w:ind w:firstLine="480" w:firstLineChars="200"/>
        <w:jc w:val="both"/>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时间范围为2021-2025年，现状水平年为2020年。</w:t>
      </w:r>
    </w:p>
    <w:p>
      <w:pPr>
        <w:widowControl w:val="0"/>
        <w:spacing w:after="156" w:afterLines="50" w:line="360" w:lineRule="auto"/>
        <w:ind w:firstLine="482" w:firstLineChars="200"/>
        <w:jc w:val="both"/>
        <w:outlineLvl w:val="0"/>
        <w:rPr>
          <w:rFonts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二、规划实施的制约因素</w:t>
      </w:r>
    </w:p>
    <w:p>
      <w:pPr>
        <w:spacing w:after="156" w:afterLines="50" w:line="360" w:lineRule="auto"/>
        <w:ind w:firstLine="480"/>
        <w:rPr>
          <w:b/>
          <w:bCs/>
          <w:sz w:val="24"/>
          <w:szCs w:val="24"/>
        </w:rPr>
      </w:pPr>
      <w:r>
        <w:rPr>
          <w:rFonts w:hint="eastAsia"/>
          <w:b/>
          <w:bCs/>
          <w:sz w:val="24"/>
          <w:szCs w:val="24"/>
        </w:rPr>
        <w:t>1、环境保护目标</w:t>
      </w:r>
    </w:p>
    <w:p>
      <w:pPr>
        <w:spacing w:after="156" w:afterLines="50" w:line="360" w:lineRule="auto"/>
        <w:ind w:firstLine="480"/>
        <w:rPr>
          <w:sz w:val="24"/>
          <w:szCs w:val="24"/>
        </w:rPr>
      </w:pPr>
      <w:r>
        <w:rPr>
          <w:rFonts w:hint="eastAsia"/>
          <w:sz w:val="24"/>
          <w:szCs w:val="24"/>
          <w:lang w:eastAsia="zh-CN"/>
        </w:rPr>
        <w:t>规划范围</w:t>
      </w:r>
      <w:r>
        <w:rPr>
          <w:rFonts w:hint="eastAsia"/>
          <w:sz w:val="24"/>
          <w:szCs w:val="24"/>
        </w:rPr>
        <w:t>分布有</w:t>
      </w:r>
      <w:bookmarkStart w:id="3" w:name="_Hlk52117315"/>
      <w:r>
        <w:rPr>
          <w:rFonts w:hint="eastAsia"/>
          <w:sz w:val="24"/>
          <w:szCs w:val="24"/>
        </w:rPr>
        <w:t>奎屯河流域湿地省级（兵团）自然保护区</w:t>
      </w:r>
      <w:bookmarkEnd w:id="3"/>
      <w:r>
        <w:rPr>
          <w:rFonts w:hint="eastAsia"/>
          <w:sz w:val="24"/>
          <w:szCs w:val="24"/>
        </w:rPr>
        <w:t>、</w:t>
      </w:r>
      <w:r>
        <w:rPr>
          <w:rFonts w:hint="eastAsia"/>
          <w:sz w:val="24"/>
          <w:szCs w:val="24"/>
          <w:lang w:eastAsia="zh-CN"/>
        </w:rPr>
        <w:t>金丝滩国家沙漠公园、</w:t>
      </w:r>
      <w:bookmarkStart w:id="4" w:name="_Hlk115279677"/>
      <w:r>
        <w:rPr>
          <w:rFonts w:hint="eastAsia"/>
          <w:sz w:val="24"/>
          <w:szCs w:val="24"/>
        </w:rPr>
        <w:t>胡杨河国家湿地公园</w:t>
      </w:r>
      <w:bookmarkEnd w:id="4"/>
      <w:r>
        <w:rPr>
          <w:rFonts w:hint="eastAsia"/>
          <w:sz w:val="24"/>
          <w:szCs w:val="24"/>
        </w:rPr>
        <w:t>和</w:t>
      </w:r>
      <w:bookmarkStart w:id="5" w:name="_Hlk52119218"/>
      <w:r>
        <w:rPr>
          <w:rFonts w:hint="eastAsia"/>
          <w:sz w:val="24"/>
          <w:szCs w:val="24"/>
          <w:lang w:eastAsia="zh-CN"/>
        </w:rPr>
        <w:t>乌苏佛山国家森林公园</w:t>
      </w:r>
      <w:bookmarkEnd w:id="5"/>
      <w:r>
        <w:rPr>
          <w:rFonts w:hint="eastAsia"/>
          <w:sz w:val="24"/>
          <w:szCs w:val="24"/>
          <w:lang w:eastAsia="zh-CN"/>
        </w:rPr>
        <w:t>、</w:t>
      </w:r>
      <w:r>
        <w:rPr>
          <w:rFonts w:hint="eastAsia"/>
          <w:sz w:val="24"/>
          <w:szCs w:val="24"/>
        </w:rPr>
        <w:t>饮用水水源地</w:t>
      </w:r>
      <w:r>
        <w:rPr>
          <w:rFonts w:hint="eastAsia"/>
          <w:sz w:val="24"/>
          <w:szCs w:val="24"/>
          <w:lang w:eastAsia="zh-CN"/>
        </w:rPr>
        <w:t>等环境保护目标和</w:t>
      </w:r>
      <w:bookmarkStart w:id="6" w:name="_Hlk52120569"/>
      <w:r>
        <w:rPr>
          <w:rFonts w:hint="eastAsia"/>
          <w:sz w:val="24"/>
          <w:szCs w:val="24"/>
          <w:lang w:eastAsia="zh-CN"/>
        </w:rPr>
        <w:t>老2连军垦旧址</w:t>
      </w:r>
      <w:bookmarkEnd w:id="6"/>
      <w:r>
        <w:rPr>
          <w:rFonts w:hint="eastAsia"/>
          <w:sz w:val="24"/>
          <w:szCs w:val="24"/>
          <w:lang w:eastAsia="zh-CN"/>
        </w:rPr>
        <w:t>历史文化单位</w:t>
      </w:r>
      <w:r>
        <w:rPr>
          <w:rFonts w:hint="eastAsia"/>
          <w:sz w:val="24"/>
          <w:szCs w:val="24"/>
        </w:rPr>
        <w:t>。</w:t>
      </w:r>
    </w:p>
    <w:p>
      <w:pPr>
        <w:spacing w:after="156" w:afterLines="50" w:line="360" w:lineRule="auto"/>
        <w:ind w:firstLine="480"/>
        <w:rPr>
          <w:b/>
          <w:bCs/>
          <w:sz w:val="24"/>
          <w:szCs w:val="24"/>
        </w:rPr>
      </w:pPr>
      <w:r>
        <w:rPr>
          <w:rFonts w:hint="eastAsia"/>
          <w:b/>
          <w:bCs/>
          <w:sz w:val="24"/>
          <w:szCs w:val="24"/>
        </w:rPr>
        <w:t>2、资源环境</w:t>
      </w:r>
    </w:p>
    <w:p>
      <w:pPr>
        <w:spacing w:after="156" w:afterLines="50" w:line="360" w:lineRule="auto"/>
        <w:ind w:firstLine="480"/>
        <w:rPr>
          <w:rFonts w:hint="eastAsia"/>
          <w:sz w:val="24"/>
          <w:szCs w:val="24"/>
        </w:rPr>
      </w:pPr>
      <w:bookmarkStart w:id="7" w:name="_Toc25037"/>
      <w:r>
        <w:rPr>
          <w:rFonts w:hint="eastAsia"/>
          <w:sz w:val="24"/>
          <w:szCs w:val="24"/>
        </w:rPr>
        <w:t>（1）土地资源总量限制</w:t>
      </w:r>
      <w:bookmarkEnd w:id="7"/>
    </w:p>
    <w:p>
      <w:pPr>
        <w:spacing w:after="156" w:afterLines="50" w:line="360" w:lineRule="auto"/>
        <w:ind w:firstLine="480"/>
        <w:rPr>
          <w:rFonts w:hint="eastAsia"/>
          <w:sz w:val="24"/>
          <w:szCs w:val="24"/>
        </w:rPr>
      </w:pPr>
      <w:r>
        <w:rPr>
          <w:rFonts w:hint="eastAsia"/>
          <w:sz w:val="24"/>
          <w:szCs w:val="24"/>
        </w:rPr>
        <w:t>根据《第七师胡杨河市国土空间总体规划 (2020-2035年)》调整完善成果为主，基本确定各团场土地资源利用上线管控指标，要求至2025年，建设用地总规模控制在372.10平方公里以内，并直至2035年建设用地总面积不再增加。目前，师市土地总面积为4525.22平方千米，其中耕地174579.38公顷，园地5851.22公顷，林地60417.3公顷，草地137274.15公顷，农业设施建设用地5679.21公顷，城镇及工矿用地8812.57公顷，交通运输用地2741.69公顷，其他用地15437.08公顷。通过计算结果可知，《第七师胡杨河市“十四五”综合交通运输体系发展规划》预计十四五期间用地总量为3296公顷，占用土地资源规模较大，是规划阶段的主要制约因素。</w:t>
      </w:r>
    </w:p>
    <w:p>
      <w:pPr>
        <w:spacing w:after="156" w:afterLines="50" w:line="360" w:lineRule="auto"/>
        <w:ind w:firstLine="480"/>
        <w:rPr>
          <w:rFonts w:hint="eastAsia"/>
          <w:sz w:val="24"/>
          <w:szCs w:val="24"/>
        </w:rPr>
      </w:pPr>
      <w:bookmarkStart w:id="8" w:name="_Toc28214"/>
      <w:r>
        <w:rPr>
          <w:rFonts w:hint="eastAsia"/>
          <w:sz w:val="24"/>
          <w:szCs w:val="24"/>
        </w:rPr>
        <w:t>（</w:t>
      </w:r>
      <w:r>
        <w:rPr>
          <w:rFonts w:hint="eastAsia"/>
          <w:sz w:val="24"/>
          <w:szCs w:val="24"/>
          <w:lang w:val="en-US" w:eastAsia="zh-CN"/>
        </w:rPr>
        <w:t>2</w:t>
      </w:r>
      <w:r>
        <w:rPr>
          <w:rFonts w:hint="eastAsia"/>
          <w:sz w:val="24"/>
          <w:szCs w:val="24"/>
        </w:rPr>
        <w:t>）自然灾害限制</w:t>
      </w:r>
      <w:bookmarkEnd w:id="8"/>
    </w:p>
    <w:p>
      <w:pPr>
        <w:spacing w:after="156" w:afterLines="50" w:line="360" w:lineRule="auto"/>
        <w:ind w:firstLine="480"/>
        <w:rPr>
          <w:rFonts w:hint="eastAsia"/>
          <w:sz w:val="24"/>
          <w:szCs w:val="24"/>
        </w:rPr>
      </w:pPr>
      <w:r>
        <w:rPr>
          <w:rFonts w:hint="eastAsia"/>
          <w:sz w:val="24"/>
          <w:szCs w:val="24"/>
        </w:rPr>
        <w:t>第七师胡杨河市常见自然灾害有干旱、风沙、冰雹、霜冻、干热风、盐碱等。其中危害最大是干旱，特别是每年6、7、8月份，干旱直接影响着农业生产和人民群众的生活。《</w:t>
      </w:r>
      <w:bookmarkStart w:id="9" w:name="_Hlk52115837"/>
      <w:r>
        <w:rPr>
          <w:rFonts w:hint="eastAsia"/>
          <w:sz w:val="24"/>
          <w:szCs w:val="24"/>
        </w:rPr>
        <w:t>第七师胡杨河市“十四五”综合交通运输体系发展规划</w:t>
      </w:r>
      <w:bookmarkEnd w:id="9"/>
      <w:r>
        <w:rPr>
          <w:rFonts w:hint="eastAsia"/>
          <w:sz w:val="24"/>
          <w:szCs w:val="24"/>
        </w:rPr>
        <w:t>》中交通基础设施建设与运营难免受自然灾害制约。</w:t>
      </w:r>
    </w:p>
    <w:p>
      <w:pPr>
        <w:spacing w:after="156" w:afterLines="50" w:line="360" w:lineRule="auto"/>
        <w:ind w:firstLine="480"/>
        <w:rPr>
          <w:rFonts w:hint="eastAsia"/>
          <w:sz w:val="24"/>
          <w:szCs w:val="24"/>
          <w:lang w:eastAsia="zh-CN"/>
        </w:rPr>
      </w:pPr>
      <w:bookmarkStart w:id="10" w:name="_Toc14414"/>
      <w:r>
        <w:rPr>
          <w:rFonts w:hint="eastAsia"/>
          <w:sz w:val="24"/>
          <w:szCs w:val="24"/>
        </w:rPr>
        <w:t>（</w:t>
      </w:r>
      <w:r>
        <w:rPr>
          <w:rFonts w:hint="eastAsia"/>
          <w:sz w:val="24"/>
          <w:szCs w:val="24"/>
          <w:lang w:val="en-US" w:eastAsia="zh-CN"/>
        </w:rPr>
        <w:t>3</w:t>
      </w:r>
      <w:r>
        <w:rPr>
          <w:rFonts w:hint="eastAsia"/>
          <w:sz w:val="24"/>
          <w:szCs w:val="24"/>
        </w:rPr>
        <w:t>）水资源</w:t>
      </w:r>
      <w:r>
        <w:rPr>
          <w:rFonts w:hint="eastAsia"/>
          <w:sz w:val="24"/>
          <w:szCs w:val="24"/>
          <w:lang w:eastAsia="zh-CN"/>
        </w:rPr>
        <w:t>限制</w:t>
      </w:r>
      <w:bookmarkEnd w:id="10"/>
    </w:p>
    <w:p>
      <w:pPr>
        <w:spacing w:after="156" w:afterLines="50" w:line="360" w:lineRule="auto"/>
        <w:ind w:firstLine="480"/>
        <w:rPr>
          <w:rFonts w:hint="eastAsia"/>
          <w:sz w:val="24"/>
          <w:szCs w:val="24"/>
          <w:lang w:val="en-US" w:eastAsia="zh-CN"/>
        </w:rPr>
      </w:pPr>
      <w:r>
        <w:rPr>
          <w:rFonts w:hint="eastAsia"/>
          <w:sz w:val="24"/>
          <w:szCs w:val="24"/>
        </w:rPr>
        <w:t>第七师水资源量共16.36亿m³，可利用量13.253亿m³。交通基础设施项目主要用水分为项目建设期间的工程用水和生活用水及建成后运营期间的生活、服务用水。建设期间的用水包括：生石灰消解用水；材料的拌合用水和养护用水；工程施工期间施工人员的生活用水等。运营期间的用水包括：综合枢纽服务区、收费站、站场及养护工区的生活用水；取暖及环境卫生用水；车辆用水；冲洗水、绿化用水等。到2020年，第七师胡杨河市各团用水总量为1684万m³，2030年用水总量</w:t>
      </w:r>
      <w:r>
        <w:rPr>
          <w:rFonts w:hint="eastAsia"/>
          <w:sz w:val="24"/>
          <w:szCs w:val="24"/>
          <w:lang w:val="en-US" w:eastAsia="zh-CN"/>
        </w:rPr>
        <w:t>为2577万m³，第七师水源地年补给量12948万m³，可开采量8150万m³。因区域蒸发量较大，存在地区性与区域性水资源短缺的问题，本次规划实施将受到水资源使用制约。</w:t>
      </w:r>
    </w:p>
    <w:p>
      <w:pPr>
        <w:spacing w:after="156" w:afterLines="50" w:line="360" w:lineRule="auto"/>
        <w:ind w:firstLine="480"/>
        <w:rPr>
          <w:rFonts w:hint="eastAsia"/>
          <w:sz w:val="24"/>
          <w:szCs w:val="24"/>
          <w:lang w:val="en-US" w:eastAsia="zh-CN"/>
        </w:rPr>
      </w:pPr>
      <w:bookmarkStart w:id="11" w:name="_Toc31552"/>
      <w:r>
        <w:rPr>
          <w:rFonts w:hint="eastAsia"/>
          <w:sz w:val="24"/>
          <w:szCs w:val="24"/>
          <w:lang w:val="en-US" w:eastAsia="zh-CN"/>
        </w:rPr>
        <w:t>（4）能源资源制约</w:t>
      </w:r>
      <w:bookmarkEnd w:id="11"/>
    </w:p>
    <w:p>
      <w:pPr>
        <w:spacing w:after="156" w:afterLines="50" w:line="360" w:lineRule="auto"/>
        <w:ind w:firstLine="480"/>
        <w:rPr>
          <w:sz w:val="24"/>
          <w:szCs w:val="24"/>
        </w:rPr>
      </w:pPr>
      <w:r>
        <w:rPr>
          <w:rFonts w:hint="eastAsia"/>
          <w:sz w:val="24"/>
          <w:szCs w:val="24"/>
          <w:lang w:val="en-US" w:eastAsia="zh-CN"/>
        </w:rPr>
        <w:t>七师胡杨河市太阳能、风</w:t>
      </w:r>
      <w:r>
        <w:rPr>
          <w:rFonts w:hint="eastAsia"/>
          <w:sz w:val="24"/>
          <w:szCs w:val="24"/>
        </w:rPr>
        <w:t>能、地热资源较为丰富，有待开发利用。目前，师市能源供给由整体短缺转向相对过剩，且本次规划的各类项目在建设及运营期间耗电量极小，不会对全省电力资源平衡造成影响，故能源不会成为制约因素。</w:t>
      </w:r>
    </w:p>
    <w:p>
      <w:pPr>
        <w:spacing w:after="156" w:afterLines="50" w:line="360" w:lineRule="auto"/>
        <w:ind w:firstLine="480"/>
        <w:rPr>
          <w:b/>
          <w:bCs/>
          <w:sz w:val="24"/>
          <w:szCs w:val="24"/>
        </w:rPr>
      </w:pPr>
      <w:r>
        <w:rPr>
          <w:rFonts w:hint="eastAsia"/>
          <w:b/>
          <w:bCs/>
          <w:sz w:val="24"/>
          <w:szCs w:val="24"/>
        </w:rPr>
        <w:t>3、环境质量</w:t>
      </w:r>
    </w:p>
    <w:p>
      <w:pPr>
        <w:spacing w:after="156" w:afterLines="50" w:line="360" w:lineRule="auto"/>
        <w:ind w:firstLine="480"/>
        <w:rPr>
          <w:sz w:val="24"/>
          <w:szCs w:val="24"/>
        </w:rPr>
      </w:pPr>
      <w:r>
        <w:rPr>
          <w:rFonts w:hint="eastAsia"/>
          <w:sz w:val="24"/>
          <w:szCs w:val="24"/>
        </w:rPr>
        <w:t>（1）水环境质量</w:t>
      </w:r>
    </w:p>
    <w:p>
      <w:pPr>
        <w:spacing w:after="156" w:afterLines="50" w:line="360" w:lineRule="auto"/>
        <w:ind w:firstLine="480"/>
        <w:rPr>
          <w:sz w:val="24"/>
          <w:szCs w:val="24"/>
        </w:rPr>
      </w:pPr>
      <w:r>
        <w:rPr>
          <w:rFonts w:hint="eastAsia"/>
          <w:sz w:val="24"/>
          <w:szCs w:val="24"/>
        </w:rPr>
        <w:t>2020年，七师辖区内各考核断面水质达标率均达100%。奎屯河各断面水质监测状况无明显差异，均达到Ⅱ类标准，水质状况总体为优；泉沟水库、黄沟二库等湖库断面水质监测状况无明显差异，均达到Ⅲ类标准，水质状况总体为良好；125团达子庙饮用水水源地和124团高泉饮用水水源地的水质均稳定达到Ⅱ类标准，水质状况总体为优。地下水环境质量符合《地下水质量标准》(GB/T14848-2017)中的III类标准，但部分团场如123、126、127、128及129团地下水中氟、砷含量有超标现象。</w:t>
      </w:r>
    </w:p>
    <w:p>
      <w:pPr>
        <w:spacing w:after="156" w:afterLines="50" w:line="360" w:lineRule="auto"/>
        <w:ind w:firstLine="480"/>
        <w:rPr>
          <w:sz w:val="24"/>
          <w:szCs w:val="24"/>
        </w:rPr>
      </w:pPr>
      <w:r>
        <w:rPr>
          <w:rFonts w:hint="eastAsia"/>
          <w:sz w:val="24"/>
          <w:szCs w:val="24"/>
        </w:rPr>
        <w:t>（2）大气环境质量</w:t>
      </w:r>
    </w:p>
    <w:p>
      <w:pPr>
        <w:spacing w:after="156" w:afterLines="50" w:line="360" w:lineRule="auto"/>
        <w:ind w:firstLine="480"/>
        <w:rPr>
          <w:sz w:val="24"/>
          <w:szCs w:val="24"/>
        </w:rPr>
      </w:pPr>
      <w:r>
        <w:rPr>
          <w:rFonts w:hint="eastAsia"/>
          <w:sz w:val="24"/>
          <w:szCs w:val="24"/>
        </w:rPr>
        <w:t>因胡杨河市尚未建立环境空气质量监测网络，采用临近的奎-独-乌区域环境空气质量监测数据表征，2020年，该区域空气质量达到优或良的天数为301天，空气质量优良率为82.2%。2020年大气污染以复合型污染为主，细颗粒物为首要污染物。二氧化硫、二氧化氮、一氧化碳、臭氧项目浓度值均达到相应标准（《环境空气质量标准》(GB3095-2012)二级）。可吸入颗粒物(PM10)、细颗粒物(PM2.5)的年均浓度值均超过相应标准（《环境空气质量标准》(GB3095-2012)二级）年均标准浓度限值。细颗粒物((PM2.5)的年均浓度值超标0.44倍（45μg/m³）。</w:t>
      </w:r>
    </w:p>
    <w:p>
      <w:pPr>
        <w:widowControl w:val="0"/>
        <w:spacing w:after="156" w:afterLines="50" w:line="360" w:lineRule="auto"/>
        <w:ind w:firstLine="482" w:firstLineChars="200"/>
        <w:jc w:val="both"/>
        <w:outlineLvl w:val="0"/>
        <w:rPr>
          <w:rFonts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三</w:t>
      </w:r>
      <w:r>
        <w:rPr>
          <w:rFonts w:ascii="宋体" w:hAnsi="宋体" w:eastAsia="宋体" w:cs="Times New Roman"/>
          <w:b/>
          <w:bCs/>
          <w:color w:val="000000"/>
          <w:kern w:val="0"/>
          <w:sz w:val="24"/>
          <w:szCs w:val="24"/>
          <w:lang w:val="en-US" w:eastAsia="zh-CN" w:bidi="ar-SA"/>
        </w:rPr>
        <w:t>、</w:t>
      </w:r>
      <w:r>
        <w:rPr>
          <w:rFonts w:hint="eastAsia" w:ascii="宋体" w:hAnsi="宋体" w:eastAsia="宋体" w:cs="Times New Roman"/>
          <w:b/>
          <w:bCs/>
          <w:color w:val="000000"/>
          <w:kern w:val="0"/>
          <w:sz w:val="24"/>
          <w:szCs w:val="24"/>
          <w:lang w:val="en-US" w:eastAsia="zh-CN" w:bidi="ar-SA"/>
        </w:rPr>
        <w:t>规划实施可能产生</w:t>
      </w:r>
      <w:r>
        <w:rPr>
          <w:rFonts w:ascii="宋体" w:hAnsi="宋体" w:eastAsia="宋体" w:cs="Times New Roman"/>
          <w:b/>
          <w:bCs/>
          <w:color w:val="000000"/>
          <w:kern w:val="0"/>
          <w:sz w:val="24"/>
          <w:szCs w:val="24"/>
          <w:lang w:val="en-US" w:eastAsia="zh-CN" w:bidi="ar-SA"/>
        </w:rPr>
        <w:t>的环境影响</w:t>
      </w:r>
    </w:p>
    <w:p>
      <w:pPr>
        <w:widowControl w:val="0"/>
        <w:spacing w:after="156" w:afterLines="50" w:line="360" w:lineRule="auto"/>
        <w:ind w:firstLine="482" w:firstLineChars="200"/>
        <w:jc w:val="both"/>
        <w:rPr>
          <w:rFonts w:ascii="宋体" w:hAnsi="宋体" w:eastAsia="宋体" w:cs="Times New Roman"/>
          <w:b/>
          <w:color w:val="000000"/>
          <w:kern w:val="0"/>
          <w:sz w:val="24"/>
          <w:szCs w:val="24"/>
          <w:lang w:val="en-US" w:eastAsia="zh-CN" w:bidi="ar-SA"/>
        </w:rPr>
      </w:pPr>
      <w:r>
        <w:rPr>
          <w:rFonts w:ascii="宋体" w:hAnsi="宋体" w:eastAsia="宋体" w:cs="Times New Roman"/>
          <w:b/>
          <w:color w:val="000000"/>
          <w:kern w:val="0"/>
          <w:sz w:val="24"/>
          <w:szCs w:val="24"/>
          <w:lang w:val="en-US" w:eastAsia="zh-CN" w:bidi="ar-SA"/>
        </w:rPr>
        <w:t>1</w:t>
      </w:r>
      <w:r>
        <w:rPr>
          <w:rFonts w:hint="eastAsia" w:ascii="宋体" w:hAnsi="宋体" w:eastAsia="宋体" w:cs="Times New Roman"/>
          <w:b/>
          <w:color w:val="000000"/>
          <w:kern w:val="0"/>
          <w:sz w:val="24"/>
          <w:szCs w:val="24"/>
          <w:lang w:val="en-US" w:eastAsia="zh-CN" w:bidi="ar-SA"/>
        </w:rPr>
        <w:t>、</w:t>
      </w:r>
      <w:r>
        <w:rPr>
          <w:rFonts w:ascii="宋体" w:hAnsi="宋体" w:eastAsia="宋体" w:cs="Times New Roman"/>
          <w:b/>
          <w:color w:val="000000"/>
          <w:kern w:val="0"/>
          <w:sz w:val="24"/>
          <w:szCs w:val="24"/>
          <w:lang w:val="en-US" w:eastAsia="zh-CN" w:bidi="ar-SA"/>
        </w:rPr>
        <w:t>水环境影响</w:t>
      </w:r>
    </w:p>
    <w:p>
      <w:pPr>
        <w:spacing w:after="156" w:afterLines="50" w:line="360" w:lineRule="auto"/>
        <w:ind w:firstLine="480"/>
        <w:rPr>
          <w:rFonts w:ascii="Times New Roman" w:hAnsi="Times New Roman" w:eastAsia="宋体" w:cs="宋体"/>
          <w:color w:val="000000"/>
          <w:kern w:val="0"/>
          <w:sz w:val="24"/>
          <w:szCs w:val="24"/>
          <w:lang w:val="en-US" w:eastAsia="zh-CN" w:bidi="ar-SA"/>
        </w:rPr>
      </w:pPr>
      <w:r>
        <w:rPr>
          <w:rFonts w:ascii="Times New Roman" w:hAnsi="Times New Roman" w:eastAsia="宋体" w:cs="宋体"/>
          <w:color w:val="000000"/>
          <w:kern w:val="0"/>
          <w:sz w:val="24"/>
          <w:szCs w:val="24"/>
          <w:lang w:val="en-US" w:eastAsia="zh-CN" w:bidi="ar-SA"/>
        </w:rPr>
        <w:t>根据估算规划实施后七师胡杨河市</w:t>
      </w:r>
      <w:r>
        <w:rPr>
          <w:rFonts w:hint="eastAsia" w:ascii="Times New Roman" w:hAnsi="Times New Roman" w:eastAsia="宋体" w:cs="宋体"/>
          <w:color w:val="000000"/>
          <w:kern w:val="0"/>
          <w:sz w:val="24"/>
          <w:szCs w:val="24"/>
          <w:lang w:val="en-US" w:eastAsia="zh-CN" w:bidi="ar-SA"/>
        </w:rPr>
        <w:t>“</w:t>
      </w:r>
      <w:r>
        <w:rPr>
          <w:rFonts w:ascii="Times New Roman" w:hAnsi="Times New Roman" w:eastAsia="宋体" w:cs="宋体"/>
          <w:color w:val="000000"/>
          <w:kern w:val="0"/>
          <w:sz w:val="24"/>
          <w:szCs w:val="24"/>
          <w:lang w:val="en-US" w:eastAsia="zh-CN" w:bidi="ar-SA"/>
        </w:rPr>
        <w:t>十四五”综合交通运输体系发展规划污水总增量约</w:t>
      </w:r>
      <w:r>
        <w:rPr>
          <w:rFonts w:hint="eastAsia" w:ascii="Times New Roman" w:hAnsi="Times New Roman" w:eastAsia="宋体" w:cs="宋体"/>
          <w:color w:val="000000"/>
          <w:kern w:val="0"/>
          <w:sz w:val="24"/>
          <w:szCs w:val="24"/>
          <w:lang w:val="en-US" w:eastAsia="zh-CN" w:bidi="ar-SA"/>
        </w:rPr>
        <w:t>428</w:t>
      </w:r>
      <w:r>
        <w:rPr>
          <w:rFonts w:ascii="Times New Roman" w:hAnsi="Times New Roman" w:eastAsia="宋体" w:cs="宋体"/>
          <w:color w:val="000000"/>
          <w:kern w:val="0"/>
          <w:sz w:val="24"/>
          <w:szCs w:val="24"/>
          <w:lang w:val="en-US" w:eastAsia="zh-CN" w:bidi="ar-SA"/>
        </w:rPr>
        <w:t>8t/a，其中COD增量约为</w:t>
      </w:r>
      <w:r>
        <w:rPr>
          <w:rFonts w:hint="eastAsia" w:ascii="Times New Roman" w:hAnsi="Times New Roman" w:eastAsia="宋体" w:cs="宋体"/>
          <w:color w:val="000000"/>
          <w:kern w:val="0"/>
          <w:sz w:val="24"/>
          <w:szCs w:val="24"/>
          <w:lang w:val="en-US" w:eastAsia="zh-CN" w:bidi="ar-SA"/>
        </w:rPr>
        <w:t>1.209</w:t>
      </w:r>
      <w:r>
        <w:rPr>
          <w:rFonts w:ascii="Times New Roman" w:hAnsi="Times New Roman" w:eastAsia="宋体" w:cs="宋体"/>
          <w:color w:val="000000"/>
          <w:kern w:val="0"/>
          <w:sz w:val="24"/>
          <w:szCs w:val="24"/>
          <w:lang w:val="en-US" w:eastAsia="zh-CN" w:bidi="ar-SA"/>
        </w:rPr>
        <w:t>t/a，BOD5增量约为0.</w:t>
      </w:r>
      <w:r>
        <w:rPr>
          <w:rFonts w:hint="eastAsia" w:ascii="Times New Roman" w:hAnsi="Times New Roman" w:eastAsia="宋体" w:cs="宋体"/>
          <w:color w:val="000000"/>
          <w:kern w:val="0"/>
          <w:sz w:val="24"/>
          <w:szCs w:val="24"/>
          <w:lang w:val="en-US" w:eastAsia="zh-CN" w:bidi="ar-SA"/>
        </w:rPr>
        <w:t>342</w:t>
      </w:r>
      <w:r>
        <w:rPr>
          <w:rFonts w:ascii="Times New Roman" w:hAnsi="Times New Roman" w:eastAsia="宋体" w:cs="宋体"/>
          <w:color w:val="000000"/>
          <w:kern w:val="0"/>
          <w:sz w:val="24"/>
          <w:szCs w:val="24"/>
          <w:lang w:val="en-US" w:eastAsia="zh-CN" w:bidi="ar-SA"/>
        </w:rPr>
        <w:t>t/a，NH3-N增量约为0.</w:t>
      </w:r>
      <w:r>
        <w:rPr>
          <w:rFonts w:hint="eastAsia" w:ascii="Times New Roman" w:hAnsi="Times New Roman" w:eastAsia="宋体" w:cs="宋体"/>
          <w:color w:val="000000"/>
          <w:kern w:val="0"/>
          <w:sz w:val="24"/>
          <w:szCs w:val="24"/>
          <w:lang w:val="en-US" w:eastAsia="zh-CN" w:bidi="ar-SA"/>
        </w:rPr>
        <w:t>061</w:t>
      </w:r>
      <w:r>
        <w:rPr>
          <w:rFonts w:ascii="Times New Roman" w:hAnsi="Times New Roman" w:eastAsia="宋体" w:cs="宋体"/>
          <w:color w:val="000000"/>
          <w:kern w:val="0"/>
          <w:sz w:val="24"/>
          <w:szCs w:val="24"/>
          <w:lang w:val="en-US" w:eastAsia="zh-CN" w:bidi="ar-SA"/>
        </w:rPr>
        <w:t>t/a，SS增量约为</w:t>
      </w:r>
      <w:r>
        <w:rPr>
          <w:rFonts w:hint="eastAsia" w:ascii="Times New Roman" w:hAnsi="Times New Roman" w:eastAsia="宋体" w:cs="宋体"/>
          <w:color w:val="000000"/>
          <w:kern w:val="0"/>
          <w:sz w:val="24"/>
          <w:szCs w:val="24"/>
          <w:lang w:val="en-US" w:eastAsia="zh-CN" w:bidi="ar-SA"/>
        </w:rPr>
        <w:t>1.617</w:t>
      </w:r>
      <w:r>
        <w:rPr>
          <w:rFonts w:ascii="Times New Roman" w:hAnsi="Times New Roman" w:eastAsia="宋体" w:cs="宋体"/>
          <w:color w:val="000000"/>
          <w:kern w:val="0"/>
          <w:sz w:val="24"/>
          <w:szCs w:val="24"/>
          <w:lang w:val="en-US" w:eastAsia="zh-CN" w:bidi="ar-SA"/>
        </w:rPr>
        <w:t>t/a，石油类增量约为0.</w:t>
      </w:r>
      <w:r>
        <w:rPr>
          <w:rFonts w:hint="eastAsia" w:ascii="Times New Roman" w:hAnsi="Times New Roman" w:eastAsia="宋体" w:cs="宋体"/>
          <w:color w:val="000000"/>
          <w:kern w:val="0"/>
          <w:sz w:val="24"/>
          <w:szCs w:val="24"/>
          <w:lang w:val="en-US" w:eastAsia="zh-CN" w:bidi="ar-SA"/>
        </w:rPr>
        <w:t>021</w:t>
      </w:r>
      <w:r>
        <w:rPr>
          <w:rFonts w:ascii="Times New Roman" w:hAnsi="Times New Roman" w:eastAsia="宋体" w:cs="宋体"/>
          <w:color w:val="000000"/>
          <w:kern w:val="0"/>
          <w:sz w:val="24"/>
          <w:szCs w:val="24"/>
          <w:lang w:val="en-US" w:eastAsia="zh-CN" w:bidi="ar-SA"/>
        </w:rPr>
        <w:t>t/a，</w:t>
      </w:r>
      <w:r>
        <w:rPr>
          <w:rFonts w:hint="eastAsia" w:ascii="Times New Roman" w:hAnsi="Times New Roman" w:eastAsia="宋体" w:cs="宋体"/>
          <w:color w:val="000000"/>
          <w:kern w:val="0"/>
          <w:sz w:val="24"/>
          <w:szCs w:val="24"/>
          <w:lang w:val="en-US" w:eastAsia="zh-CN" w:bidi="ar-SA"/>
        </w:rPr>
        <w:t>规划实施后区域各交通运输方式主要污染物排放量均有所增加，但增量较低。</w:t>
      </w:r>
    </w:p>
    <w:p>
      <w:pPr>
        <w:spacing w:after="156" w:afterLines="50" w:line="360" w:lineRule="auto"/>
        <w:ind w:firstLine="480"/>
        <w:rPr>
          <w:rFonts w:hint="eastAsia" w:ascii="Times New Roman" w:hAnsi="Times New Roman" w:eastAsia="宋体" w:cs="宋体"/>
          <w:color w:val="000000"/>
          <w:kern w:val="0"/>
          <w:sz w:val="24"/>
          <w:szCs w:val="24"/>
          <w:lang w:val="en-US" w:eastAsia="zh-CN" w:bidi="ar-SA"/>
        </w:rPr>
      </w:pPr>
      <w:r>
        <w:rPr>
          <w:rFonts w:ascii="Times New Roman" w:hAnsi="Times New Roman" w:eastAsia="宋体" w:cs="宋体"/>
          <w:color w:val="000000"/>
          <w:kern w:val="0"/>
          <w:sz w:val="24"/>
          <w:szCs w:val="24"/>
          <w:lang w:val="en-US" w:eastAsia="zh-CN" w:bidi="ar-SA"/>
        </w:rPr>
        <w:t>目前胡杨河市各类交通基础设施的污水处理主要采用纳入市政管网或自建污水处理站的方式处理，按照城镇污水排放标准一级B的排放限值标准估算主要污染物的排放量，水污染物中COD排放增量约为0.</w:t>
      </w:r>
      <w:r>
        <w:rPr>
          <w:rFonts w:hint="eastAsia" w:ascii="Times New Roman" w:hAnsi="Times New Roman" w:eastAsia="宋体" w:cs="宋体"/>
          <w:color w:val="000000"/>
          <w:kern w:val="0"/>
          <w:sz w:val="24"/>
          <w:szCs w:val="24"/>
          <w:lang w:val="en-US" w:eastAsia="zh-CN" w:bidi="ar-SA"/>
        </w:rPr>
        <w:t>257</w:t>
      </w:r>
      <w:r>
        <w:rPr>
          <w:rFonts w:ascii="Times New Roman" w:hAnsi="Times New Roman" w:eastAsia="宋体" w:cs="宋体"/>
          <w:color w:val="000000"/>
          <w:kern w:val="0"/>
          <w:sz w:val="24"/>
          <w:szCs w:val="24"/>
          <w:lang w:val="en-US" w:eastAsia="zh-CN" w:bidi="ar-SA"/>
        </w:rPr>
        <w:t>t/a，BOD5排放增量约为0.</w:t>
      </w:r>
      <w:r>
        <w:rPr>
          <w:rFonts w:hint="eastAsia" w:ascii="Times New Roman" w:hAnsi="Times New Roman" w:eastAsia="宋体" w:cs="宋体"/>
          <w:color w:val="000000"/>
          <w:kern w:val="0"/>
          <w:sz w:val="24"/>
          <w:szCs w:val="24"/>
          <w:lang w:val="en-US" w:eastAsia="zh-CN" w:bidi="ar-SA"/>
        </w:rPr>
        <w:t>086</w:t>
      </w:r>
      <w:r>
        <w:rPr>
          <w:rFonts w:ascii="Times New Roman" w:hAnsi="Times New Roman" w:eastAsia="宋体" w:cs="宋体"/>
          <w:color w:val="000000"/>
          <w:kern w:val="0"/>
          <w:sz w:val="24"/>
          <w:szCs w:val="24"/>
          <w:lang w:val="en-US" w:eastAsia="zh-CN" w:bidi="ar-SA"/>
        </w:rPr>
        <w:t>t/a，NH3-N增量约为0.</w:t>
      </w:r>
      <w:r>
        <w:rPr>
          <w:rFonts w:hint="eastAsia" w:ascii="Times New Roman" w:hAnsi="Times New Roman" w:eastAsia="宋体" w:cs="宋体"/>
          <w:color w:val="000000"/>
          <w:kern w:val="0"/>
          <w:sz w:val="24"/>
          <w:szCs w:val="24"/>
          <w:lang w:val="en-US" w:eastAsia="zh-CN" w:bidi="ar-SA"/>
        </w:rPr>
        <w:t>034</w:t>
      </w:r>
      <w:r>
        <w:rPr>
          <w:rFonts w:ascii="Times New Roman" w:hAnsi="Times New Roman" w:eastAsia="宋体" w:cs="宋体"/>
          <w:color w:val="000000"/>
          <w:kern w:val="0"/>
          <w:sz w:val="24"/>
          <w:szCs w:val="24"/>
          <w:lang w:val="en-US" w:eastAsia="zh-CN" w:bidi="ar-SA"/>
        </w:rPr>
        <w:t>t/a，SS增量约为0.</w:t>
      </w:r>
      <w:r>
        <w:rPr>
          <w:rFonts w:hint="eastAsia" w:ascii="Times New Roman" w:hAnsi="Times New Roman" w:eastAsia="宋体" w:cs="宋体"/>
          <w:color w:val="000000"/>
          <w:kern w:val="0"/>
          <w:sz w:val="24"/>
          <w:szCs w:val="24"/>
          <w:lang w:val="en-US" w:eastAsia="zh-CN" w:bidi="ar-SA"/>
        </w:rPr>
        <w:t>086</w:t>
      </w:r>
      <w:r>
        <w:rPr>
          <w:rFonts w:ascii="Times New Roman" w:hAnsi="Times New Roman" w:eastAsia="宋体" w:cs="宋体"/>
          <w:color w:val="000000"/>
          <w:kern w:val="0"/>
          <w:sz w:val="24"/>
          <w:szCs w:val="24"/>
          <w:lang w:val="en-US" w:eastAsia="zh-CN" w:bidi="ar-SA"/>
        </w:rPr>
        <w:t xml:space="preserve"> t/a，石油类增量约为0.0</w:t>
      </w:r>
      <w:r>
        <w:rPr>
          <w:rFonts w:hint="eastAsia" w:ascii="Times New Roman" w:hAnsi="Times New Roman" w:eastAsia="宋体" w:cs="宋体"/>
          <w:color w:val="000000"/>
          <w:kern w:val="0"/>
          <w:sz w:val="24"/>
          <w:szCs w:val="24"/>
          <w:lang w:val="en-US" w:eastAsia="zh-CN" w:bidi="ar-SA"/>
        </w:rPr>
        <w:t>13</w:t>
      </w:r>
      <w:r>
        <w:rPr>
          <w:rFonts w:ascii="Times New Roman" w:hAnsi="Times New Roman" w:eastAsia="宋体" w:cs="宋体"/>
          <w:color w:val="000000"/>
          <w:kern w:val="0"/>
          <w:sz w:val="24"/>
          <w:szCs w:val="24"/>
          <w:lang w:val="en-US" w:eastAsia="zh-CN" w:bidi="ar-SA"/>
        </w:rPr>
        <w:t>t/a。</w:t>
      </w:r>
    </w:p>
    <w:p>
      <w:pPr>
        <w:spacing w:after="156" w:afterLines="50" w:line="360" w:lineRule="auto"/>
        <w:ind w:firstLine="480"/>
        <w:rPr>
          <w:kern w:val="0"/>
          <w:sz w:val="24"/>
          <w:szCs w:val="24"/>
        </w:rPr>
      </w:pPr>
      <w:r>
        <w:rPr>
          <w:rFonts w:hint="eastAsia" w:ascii="Times New Roman" w:hAnsi="Times New Roman" w:eastAsia="宋体" w:cs="宋体"/>
          <w:color w:val="000000"/>
          <w:kern w:val="0"/>
          <w:sz w:val="24"/>
          <w:szCs w:val="24"/>
          <w:lang w:val="en-US" w:eastAsia="zh-CN" w:bidi="ar-SA"/>
        </w:rPr>
        <w:t>从总量上看，交通基础设施排放水污染物增量相对很小，不会对七师胡杨河市的水污染物总量构成压力，由于交通网辅助设施的分布较为分散，也不会引起局部可见的积累效应。此外，部分设有自建污水处理设施的交通基础设施在污水处理达标后，中水一般多用于场地绿化及降尘，外排水较小</w:t>
      </w:r>
      <w:r>
        <w:rPr>
          <w:rFonts w:hint="eastAsia"/>
          <w:kern w:val="0"/>
          <w:sz w:val="24"/>
          <w:szCs w:val="24"/>
        </w:rPr>
        <w:t>。</w:t>
      </w:r>
    </w:p>
    <w:p>
      <w:pPr>
        <w:widowControl w:val="0"/>
        <w:spacing w:after="156" w:afterLines="50" w:line="360" w:lineRule="auto"/>
        <w:ind w:firstLine="482" w:firstLineChars="200"/>
        <w:jc w:val="both"/>
        <w:rPr>
          <w:rFonts w:ascii="宋体" w:hAnsi="宋体" w:eastAsia="宋体" w:cs="Times New Roman"/>
          <w:b/>
          <w:color w:val="000000"/>
          <w:kern w:val="0"/>
          <w:sz w:val="24"/>
          <w:szCs w:val="24"/>
          <w:lang w:val="en-US" w:eastAsia="zh-CN" w:bidi="ar-SA"/>
        </w:rPr>
      </w:pPr>
      <w:r>
        <w:rPr>
          <w:rFonts w:ascii="宋体" w:hAnsi="宋体" w:eastAsia="宋体" w:cs="Times New Roman"/>
          <w:b/>
          <w:color w:val="000000"/>
          <w:kern w:val="0"/>
          <w:sz w:val="24"/>
          <w:szCs w:val="24"/>
          <w:lang w:val="en-US" w:eastAsia="zh-CN" w:bidi="ar-SA"/>
        </w:rPr>
        <w:t>2</w:t>
      </w:r>
      <w:r>
        <w:rPr>
          <w:rFonts w:hint="eastAsia" w:ascii="宋体" w:hAnsi="宋体" w:eastAsia="宋体" w:cs="Times New Roman"/>
          <w:b/>
          <w:color w:val="000000"/>
          <w:kern w:val="0"/>
          <w:sz w:val="24"/>
          <w:szCs w:val="24"/>
          <w:lang w:val="en-US" w:eastAsia="zh-CN" w:bidi="ar-SA"/>
        </w:rPr>
        <w:t>、大气环境</w:t>
      </w:r>
      <w:r>
        <w:rPr>
          <w:rFonts w:ascii="宋体" w:hAnsi="宋体" w:eastAsia="宋体" w:cs="Times New Roman"/>
          <w:b/>
          <w:color w:val="000000"/>
          <w:kern w:val="0"/>
          <w:sz w:val="24"/>
          <w:szCs w:val="24"/>
          <w:lang w:val="en-US" w:eastAsia="zh-CN" w:bidi="ar-SA"/>
        </w:rPr>
        <w:t>影响</w:t>
      </w:r>
    </w:p>
    <w:p>
      <w:pPr>
        <w:widowControl/>
        <w:spacing w:after="156" w:afterLines="50" w:line="360" w:lineRule="auto"/>
        <w:ind w:firstLine="480" w:firstLineChars="200"/>
        <w:rPr>
          <w:rFonts w:hint="eastAsia"/>
          <w:kern w:val="0"/>
          <w:sz w:val="24"/>
          <w:szCs w:val="24"/>
        </w:rPr>
      </w:pPr>
      <w:r>
        <w:rPr>
          <w:rFonts w:hint="eastAsia"/>
          <w:kern w:val="0"/>
          <w:sz w:val="24"/>
          <w:szCs w:val="24"/>
        </w:rPr>
        <w:t>胡杨河市综合交通网络建设完成后，</w:t>
      </w:r>
      <w:r>
        <w:rPr>
          <w:rFonts w:hint="eastAsia"/>
          <w:kern w:val="0"/>
          <w:sz w:val="24"/>
          <w:szCs w:val="24"/>
          <w:lang w:eastAsia="zh-CN"/>
        </w:rPr>
        <w:t>七师</w:t>
      </w:r>
      <w:r>
        <w:rPr>
          <w:rFonts w:hint="eastAsia"/>
          <w:kern w:val="0"/>
          <w:sz w:val="24"/>
          <w:szCs w:val="24"/>
        </w:rPr>
        <w:t>综合立体交通网建设完成后，NOx、CO、HC、SO2、PM10和PM2.5等几种主要污染物排放量将分别达到</w:t>
      </w:r>
      <w:r>
        <w:rPr>
          <w:rFonts w:hint="eastAsia"/>
          <w:kern w:val="0"/>
          <w:sz w:val="24"/>
          <w:szCs w:val="24"/>
          <w:lang w:val="en-US" w:eastAsia="zh-CN"/>
        </w:rPr>
        <w:t>0.116</w:t>
      </w:r>
      <w:r>
        <w:rPr>
          <w:rFonts w:hint="eastAsia"/>
          <w:kern w:val="0"/>
          <w:sz w:val="24"/>
          <w:szCs w:val="24"/>
        </w:rPr>
        <w:t>万吨/年、</w:t>
      </w:r>
      <w:r>
        <w:rPr>
          <w:rFonts w:hint="eastAsia"/>
          <w:kern w:val="0"/>
          <w:sz w:val="24"/>
          <w:szCs w:val="24"/>
          <w:lang w:val="en-US" w:eastAsia="zh-CN"/>
        </w:rPr>
        <w:t>0.1598</w:t>
      </w:r>
      <w:r>
        <w:rPr>
          <w:rFonts w:hint="eastAsia"/>
          <w:kern w:val="0"/>
          <w:sz w:val="24"/>
          <w:szCs w:val="24"/>
        </w:rPr>
        <w:t>万吨/年、</w:t>
      </w:r>
      <w:r>
        <w:rPr>
          <w:rFonts w:hint="eastAsia"/>
          <w:kern w:val="0"/>
          <w:sz w:val="24"/>
          <w:szCs w:val="24"/>
          <w:lang w:val="en-US" w:eastAsia="zh-CN"/>
        </w:rPr>
        <w:t>127.3</w:t>
      </w:r>
      <w:r>
        <w:rPr>
          <w:rFonts w:hint="eastAsia"/>
          <w:kern w:val="0"/>
          <w:sz w:val="24"/>
          <w:szCs w:val="24"/>
        </w:rPr>
        <w:t>吨/年、</w:t>
      </w:r>
      <w:r>
        <w:rPr>
          <w:rFonts w:hint="eastAsia"/>
          <w:kern w:val="0"/>
          <w:sz w:val="24"/>
          <w:szCs w:val="24"/>
          <w:lang w:val="en-US" w:eastAsia="zh-CN"/>
        </w:rPr>
        <w:t>0.01</w:t>
      </w:r>
      <w:r>
        <w:rPr>
          <w:rFonts w:hint="eastAsia"/>
          <w:kern w:val="0"/>
          <w:sz w:val="24"/>
          <w:szCs w:val="24"/>
        </w:rPr>
        <w:t>吨/年、</w:t>
      </w:r>
      <w:r>
        <w:rPr>
          <w:rFonts w:hint="eastAsia"/>
          <w:kern w:val="0"/>
          <w:sz w:val="24"/>
          <w:szCs w:val="24"/>
          <w:lang w:val="en-US" w:eastAsia="zh-CN"/>
        </w:rPr>
        <w:t>31.72</w:t>
      </w:r>
      <w:r>
        <w:rPr>
          <w:rFonts w:hint="eastAsia"/>
          <w:kern w:val="0"/>
          <w:sz w:val="24"/>
          <w:szCs w:val="24"/>
        </w:rPr>
        <w:t>吨/年和</w:t>
      </w:r>
      <w:r>
        <w:rPr>
          <w:rFonts w:hint="eastAsia"/>
          <w:kern w:val="0"/>
          <w:sz w:val="24"/>
          <w:szCs w:val="24"/>
          <w:lang w:val="en-US" w:eastAsia="zh-CN"/>
        </w:rPr>
        <w:t>28.12</w:t>
      </w:r>
      <w:r>
        <w:rPr>
          <w:rFonts w:hint="eastAsia"/>
          <w:kern w:val="0"/>
          <w:sz w:val="24"/>
          <w:szCs w:val="24"/>
        </w:rPr>
        <w:t>吨/年。胡杨河市综合交通网规划实施后，增大了NOx、CO等污染物的浓度和排放量，但总体大气污染物排放总量比例较低。</w:t>
      </w:r>
    </w:p>
    <w:p>
      <w:pPr>
        <w:widowControl/>
        <w:spacing w:after="156" w:afterLines="50" w:line="360" w:lineRule="auto"/>
        <w:ind w:firstLine="480" w:firstLineChars="200"/>
        <w:rPr>
          <w:kern w:val="0"/>
          <w:sz w:val="24"/>
          <w:szCs w:val="24"/>
        </w:rPr>
      </w:pPr>
      <w:r>
        <w:rPr>
          <w:rFonts w:hint="eastAsia"/>
          <w:kern w:val="0"/>
          <w:sz w:val="24"/>
          <w:szCs w:val="24"/>
        </w:rPr>
        <w:t>公路方面，交通量较大的城镇路段尾气排放量较大，对沿线大气敏感目标会形成一定影响，其它路段污染影响相对较小。在项目环评过程中，应该对这些特殊路段大气环境影响进行重点关注，防止对沿线的特殊敏感大气功能区造成严重影响。同时，新疆维吾尔自治区政府正在积极推动汽车清洁能源化，随着清洁能源车占比越来越高，路网规划对空气质量的影响将逐渐减少。</w:t>
      </w:r>
    </w:p>
    <w:p>
      <w:pPr>
        <w:widowControl w:val="0"/>
        <w:spacing w:after="156" w:afterLines="50" w:line="360" w:lineRule="auto"/>
        <w:ind w:firstLine="482" w:firstLineChars="200"/>
        <w:jc w:val="both"/>
        <w:rPr>
          <w:rFonts w:ascii="宋体" w:hAnsi="宋体" w:eastAsia="宋体" w:cs="Times New Roman"/>
          <w:b/>
          <w:color w:val="000000"/>
          <w:kern w:val="0"/>
          <w:sz w:val="24"/>
          <w:szCs w:val="24"/>
          <w:lang w:val="en-US" w:eastAsia="zh-CN" w:bidi="ar-SA"/>
        </w:rPr>
      </w:pPr>
      <w:r>
        <w:rPr>
          <w:rFonts w:ascii="宋体" w:hAnsi="宋体" w:eastAsia="宋体" w:cs="Times New Roman"/>
          <w:b/>
          <w:color w:val="000000"/>
          <w:kern w:val="0"/>
          <w:sz w:val="24"/>
          <w:szCs w:val="24"/>
          <w:lang w:val="en-US" w:eastAsia="zh-CN" w:bidi="ar-SA"/>
        </w:rPr>
        <w:t>3</w:t>
      </w:r>
      <w:r>
        <w:rPr>
          <w:rFonts w:hint="eastAsia" w:ascii="宋体" w:hAnsi="宋体" w:eastAsia="宋体" w:cs="Times New Roman"/>
          <w:b/>
          <w:color w:val="000000"/>
          <w:kern w:val="0"/>
          <w:sz w:val="24"/>
          <w:szCs w:val="24"/>
          <w:lang w:val="en-US" w:eastAsia="zh-CN" w:bidi="ar-SA"/>
        </w:rPr>
        <w:t>、</w:t>
      </w:r>
      <w:r>
        <w:rPr>
          <w:rFonts w:ascii="宋体" w:hAnsi="宋体" w:eastAsia="宋体" w:cs="Times New Roman"/>
          <w:b/>
          <w:color w:val="000000"/>
          <w:kern w:val="0"/>
          <w:sz w:val="24"/>
          <w:szCs w:val="24"/>
          <w:lang w:val="en-US" w:eastAsia="zh-CN" w:bidi="ar-SA"/>
        </w:rPr>
        <w:t>声环境影响</w:t>
      </w:r>
    </w:p>
    <w:p>
      <w:pPr>
        <w:widowControl/>
        <w:spacing w:after="156" w:afterLines="50" w:line="360" w:lineRule="auto"/>
        <w:ind w:firstLine="480" w:firstLineChars="200"/>
        <w:jc w:val="both"/>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交通基础设施施工期噪声主要来源于施工机械和运输车辆辐射的噪声，对环境影响较大的是推土机、装载机、压路机、挖掘机、自卸卡车和摊铺机等施工机械。建设施工单位为保护沿线居民的正常生活和休息，应采取必要的噪声控制措施，在施工中做到定点定时的监测，尽可能的降低施工噪声对环境的影响。总体来讲，施工噪声对环境的不利影响是暂时的、短期的，随着工程竣工，施工噪声的影响也将消失。因此，本次重点评价公路、铁路、民航规划实施后的噪声环境影响。重点结合公路和铁路交通运输流量，机场流量等条件的变化情况，以重要交通运输枢纽为重点评价对象，预测规划新增交通运输基础设施建设运营的噪声产生的时空情况。在昼间车流量为10000pcu、夜间车流量为1000pcu的情况下，4a类区的昼间达标距离为19m，夜间达标距离为110m。2类区昼间的达标距离为175m，夜间达标距离为350m。</w:t>
      </w:r>
    </w:p>
    <w:p>
      <w:pPr>
        <w:widowControl/>
        <w:spacing w:after="156" w:afterLines="50" w:line="360" w:lineRule="auto"/>
        <w:ind w:firstLine="482" w:firstLineChars="200"/>
        <w:jc w:val="both"/>
        <w:rPr>
          <w:rFonts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4、</w:t>
      </w:r>
      <w:r>
        <w:rPr>
          <w:rFonts w:ascii="宋体" w:hAnsi="宋体" w:eastAsia="宋体" w:cs="Times New Roman"/>
          <w:b/>
          <w:color w:val="000000"/>
          <w:kern w:val="0"/>
          <w:sz w:val="24"/>
          <w:szCs w:val="24"/>
          <w:lang w:val="en-US" w:eastAsia="zh-CN" w:bidi="ar-SA"/>
        </w:rPr>
        <w:t>生态环境影响</w:t>
      </w:r>
    </w:p>
    <w:p>
      <w:pPr>
        <w:widowControl/>
        <w:spacing w:after="156" w:afterLines="50" w:line="360" w:lineRule="auto"/>
        <w:ind w:firstLine="480" w:firstLineChars="200"/>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七师胡杨河市“十四五”交通运输发展规划新增交通基础设施中可能有8个项目涉及各类保护区，其中可能涉及自然保护区的路段共有6处，涉及国家沙漠公园生态保育区1处，涉及国家湿地公园生态保育区1处。因规划阶段，新建项目暂无法明确具体线位，仅为大致线位走向，应在具体工程设计中，优化穿越和占用奎屯河流域湿地省级（兵团）自然保护区内工程项目选址选线，原则上，对自然保护区的核心区与缓冲区，应严格避绕；若无法避让实验区，则在项目选址选线阶段开展建设项目的专项生态环境影响评估，包括生态环境、生物多样性、野生动物保护、水资源保护、湿地保护等内容，依据评价结果确定工程是否实施，选址选线获得批准前不得开工。</w:t>
      </w:r>
    </w:p>
    <w:p>
      <w:pPr>
        <w:widowControl/>
        <w:spacing w:after="156" w:afterLines="50" w:line="360" w:lineRule="auto"/>
        <w:ind w:firstLine="480" w:firstLineChars="200"/>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（1）可能涉及自然保护区核心区与缓冲区的建设项目</w:t>
      </w:r>
    </w:p>
    <w:p>
      <w:pPr>
        <w:widowControl/>
        <w:spacing w:after="156" w:afterLines="50" w:line="360" w:lineRule="auto"/>
        <w:ind w:firstLine="480" w:firstLineChars="200"/>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128团（前山镇）-124团（高泉镇）公路、胡杨河市-胡杨河旅游风景区-车排子水库旅游公路以及青北公路（130团-123团-126团）可能影响到自然保护区的缓冲区、实验区，建议选线阶段避绕保护区缓冲区，尽量避绕实验区。</w:t>
      </w:r>
    </w:p>
    <w:p>
      <w:pPr>
        <w:widowControl/>
        <w:spacing w:after="156" w:afterLines="50" w:line="360" w:lineRule="auto"/>
        <w:ind w:firstLine="480" w:firstLineChars="200"/>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（2）可能涉及自然保护区实验区的建设项目</w:t>
      </w:r>
    </w:p>
    <w:p>
      <w:pPr>
        <w:widowControl/>
        <w:spacing w:after="156" w:afterLines="50" w:line="360" w:lineRule="auto"/>
        <w:ind w:firstLine="480" w:firstLineChars="200"/>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（1）胡杨河市-头台乡-前高公路、胡杨河市-乌苏通勤机场公路可能会影响到自然保护区实验区，建议通过优化选线，避绕自然保护区实验区；</w:t>
      </w:r>
    </w:p>
    <w:p>
      <w:pPr>
        <w:widowControl/>
        <w:spacing w:after="156" w:afterLines="50" w:line="360" w:lineRule="auto"/>
        <w:ind w:firstLine="480" w:firstLineChars="200"/>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胡杨河-S312奎下公路-天北新区（迎宾路）公路项目为改扩建项目，可能会影响到自然保护区实验区，涉及保护区路段尽量使用原有路基，应在自然保护区路段优化设计方案，避免在自然保护区核心区与缓冲区内开展工程建设，降低改扩建工程对实验区的影响。</w:t>
      </w:r>
    </w:p>
    <w:p>
      <w:pPr>
        <w:widowControl/>
        <w:spacing w:after="156" w:afterLines="50" w:line="360" w:lineRule="auto"/>
        <w:ind w:firstLine="480" w:firstLineChars="200"/>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（3）可能涉及沙漠公园的建设项目</w:t>
      </w:r>
    </w:p>
    <w:p>
      <w:pPr>
        <w:widowControl/>
        <w:spacing w:after="156" w:afterLines="50" w:line="360" w:lineRule="auto"/>
        <w:ind w:firstLine="480" w:firstLineChars="200"/>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128团（前山镇）-124团（高泉镇）公路可能占用新疆兵团第七师金丝滩国家沙漠公园生态保育区，建议通过优化选线，必须进行严格避让国家沙漠公园生态保育区，同时该项目还可能占用部分沙漠体验区，在符合沙漠公园管理规定的前提下，一定程度上能促进沙漠公园的发展。</w:t>
      </w:r>
    </w:p>
    <w:p>
      <w:pPr>
        <w:widowControl/>
        <w:spacing w:after="156" w:afterLines="50" w:line="360" w:lineRule="auto"/>
        <w:ind w:firstLine="480" w:firstLineChars="200"/>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（4）可能涉及湿地公园的建设项目</w:t>
      </w:r>
    </w:p>
    <w:p>
      <w:pPr>
        <w:widowControl/>
        <w:spacing w:after="156" w:afterLines="50" w:line="360" w:lineRule="auto"/>
        <w:ind w:firstLine="480" w:firstLineChars="200"/>
        <w:jc w:val="both"/>
        <w:rPr>
          <w:rFonts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胡杨河市-胡杨河旅游风景区-车排子水库旅游公路项目穿越胡杨河国家湿地公园的生态保育、恢复重建以及合理利用区。其中涉及生态保育区的影响长度为2.34公里，恢复重建区影响长度为1.20公里，合理利用区影响长度为0.36公里，该项目为旅游公路项目，将促进新疆兵团第七师旅游发展，可开展不损害湿地生态系统功能的生态体验及管理服务等活动。同时该项目涉及湿地公园生态保育区2.34公里，保育区内不得进行任何与湿地生态系统保护和管理无关的其他活动，必须进行严格避让</w:t>
      </w:r>
      <w:r>
        <w:rPr>
          <w:rFonts w:ascii="Times New Roman" w:hAnsi="Times New Roman" w:eastAsia="宋体" w:cs="宋体"/>
          <w:color w:val="000000"/>
          <w:kern w:val="0"/>
          <w:sz w:val="24"/>
          <w:szCs w:val="24"/>
          <w:lang w:val="en-US" w:eastAsia="zh-CN" w:bidi="ar-SA"/>
        </w:rPr>
        <w:t>。</w:t>
      </w:r>
    </w:p>
    <w:p>
      <w:pPr>
        <w:widowControl w:val="0"/>
        <w:spacing w:after="156" w:afterLines="50" w:line="360" w:lineRule="auto"/>
        <w:ind w:firstLine="482" w:firstLineChars="200"/>
        <w:jc w:val="both"/>
        <w:rPr>
          <w:rFonts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6、</w:t>
      </w:r>
      <w:r>
        <w:rPr>
          <w:rFonts w:ascii="宋体" w:hAnsi="宋体" w:eastAsia="宋体" w:cs="Times New Roman"/>
          <w:b/>
          <w:color w:val="000000"/>
          <w:kern w:val="0"/>
          <w:sz w:val="24"/>
          <w:szCs w:val="24"/>
          <w:lang w:val="en-US" w:eastAsia="zh-CN" w:bidi="ar-SA"/>
        </w:rPr>
        <w:t>环境风险</w:t>
      </w:r>
    </w:p>
    <w:p>
      <w:pPr>
        <w:widowControl w:val="0"/>
        <w:autoSpaceDE w:val="0"/>
        <w:autoSpaceDN w:val="0"/>
        <w:spacing w:after="156" w:afterLines="50" w:line="360" w:lineRule="auto"/>
        <w:ind w:firstLine="480" w:firstLineChars="20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（1）公路环境风险分析</w:t>
      </w:r>
    </w:p>
    <w:p>
      <w:pPr>
        <w:widowControl w:val="0"/>
        <w:autoSpaceDE w:val="0"/>
        <w:autoSpaceDN w:val="0"/>
        <w:spacing w:after="156" w:afterLines="50" w:line="360" w:lineRule="auto"/>
        <w:ind w:firstLine="480" w:firstLineChars="20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次规划新改建线路可能涉及水环境敏感目标，其中需要重点关注128团（前山镇）-124团（高泉镇）公路、胡杨河市-胡杨河旅游风景区-车排子水库旅游公路。评价建议在线路选线中尽量避绕地表水体，以降低环境风险；对难以避绕穿越水体的工程路段，需制定责任明确、内容详细的环境风险应急预案，强制设置事故应急水池、安装防撞护栏等风险防范措施，避免事故发生后的污染物泄露至水体中。</w:t>
      </w:r>
    </w:p>
    <w:p>
      <w:pPr>
        <w:widowControl w:val="0"/>
        <w:autoSpaceDE w:val="0"/>
        <w:autoSpaceDN w:val="0"/>
        <w:spacing w:after="156" w:afterLines="50" w:line="360" w:lineRule="auto"/>
        <w:ind w:firstLine="480" w:firstLineChars="20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对于有较高化学品运输车辆的公路，建议在项目环评阶段，重点</w:t>
      </w:r>
      <w:r>
        <w:rPr>
          <w:rFonts w:hint="eastAsia" w:cs="Times New Roman"/>
          <w:kern w:val="2"/>
          <w:sz w:val="24"/>
          <w:szCs w:val="24"/>
          <w:lang w:val="en-US" w:eastAsia="zh-CN" w:bidi="ar-SA"/>
        </w:rPr>
        <w:t>关注</w:t>
      </w:r>
      <w:r>
        <w:rPr>
          <w:rFonts w:hint="eastAsia" w:ascii="Times New Roman" w:hAnsi="Times New Roman" w:eastAsia="宋体" w:cs="Times New Roman"/>
          <w:kern w:val="2"/>
          <w:sz w:val="24"/>
          <w:szCs w:val="24"/>
          <w:lang w:val="en-US" w:eastAsia="zh-CN" w:bidi="ar-SA"/>
        </w:rPr>
        <w:t>通过空气传播的剧毒化学品公路运输风险评价，并加强工业园周边交通基础设施的运输车辆的检查与监管。</w:t>
      </w:r>
    </w:p>
    <w:p>
      <w:pPr>
        <w:widowControl w:val="0"/>
        <w:autoSpaceDE w:val="0"/>
        <w:autoSpaceDN w:val="0"/>
        <w:spacing w:after="156" w:afterLines="50" w:line="360" w:lineRule="auto"/>
        <w:ind w:firstLine="480" w:firstLineChars="20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（2）枢纽站场环境风险分析</w:t>
      </w:r>
    </w:p>
    <w:p>
      <w:pPr>
        <w:widowControl w:val="0"/>
        <w:autoSpaceDE w:val="0"/>
        <w:autoSpaceDN w:val="0"/>
        <w:spacing w:after="156" w:afterLines="50" w:line="360" w:lineRule="auto"/>
        <w:ind w:firstLine="480" w:firstLineChars="20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目前七师胡杨河市“十四五”综合交通运输体系发展规划中货运规划中对各物流中心仅提出的站场粗略位置、占地面积及投资额，对运输货种、运输方式、厂区布置等尚未明确，难以准确识别出其风险。</w:t>
      </w:r>
    </w:p>
    <w:p>
      <w:pPr>
        <w:widowControl w:val="0"/>
        <w:autoSpaceDE w:val="0"/>
        <w:autoSpaceDN w:val="0"/>
        <w:spacing w:after="156" w:afterLines="50" w:line="360" w:lineRule="auto"/>
        <w:ind w:firstLine="480" w:firstLineChars="200"/>
        <w:jc w:val="both"/>
        <w:rPr>
          <w:rFonts w:ascii="宋体" w:hAnsi="宋体" w:eastAsia="宋体" w:cs="宋体"/>
          <w:kern w:val="2"/>
          <w:sz w:val="24"/>
          <w:szCs w:val="24"/>
          <w:lang w:val="en-US" w:eastAsia="zh-CN" w:bidi="ar-SA"/>
        </w:rPr>
      </w:pPr>
      <w:r>
        <w:rPr>
          <w:rFonts w:hint="eastAsia" w:ascii="Times New Roman" w:hAnsi="Times New Roman" w:eastAsia="宋体" w:cs="Times New Roman"/>
          <w:kern w:val="2"/>
          <w:sz w:val="24"/>
          <w:szCs w:val="24"/>
          <w:lang w:val="en-US" w:eastAsia="zh-CN" w:bidi="ar-SA"/>
        </w:rPr>
        <w:t>风险事故重点防范站场：1）客运站场：胡杨河站综合客运枢纽为本次环境风险事故重点防范站场，重点预防风险事故为火灾、爆炸引起的油气挥发大气环境污染事故。2）货运站场：本次规划中五五工业园区物流园货运枢纽中可能涉及危险品运输的场站，一旦危险品发生火灾、泄露等事故，将产生生态破坏和环境污染，对项目所在地生态环境及人群健康产生影响和危害。</w:t>
      </w:r>
    </w:p>
    <w:p>
      <w:pPr>
        <w:widowControl w:val="0"/>
        <w:spacing w:after="156" w:afterLines="50" w:line="360" w:lineRule="auto"/>
        <w:ind w:firstLine="482" w:firstLineChars="200"/>
        <w:jc w:val="both"/>
        <w:outlineLvl w:val="0"/>
        <w:rPr>
          <w:rFonts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四、规划方案综合论证和优化调整建议</w:t>
      </w:r>
    </w:p>
    <w:p>
      <w:pPr>
        <w:widowControl w:val="0"/>
        <w:autoSpaceDE w:val="0"/>
        <w:autoSpaceDN w:val="0"/>
        <w:spacing w:after="156" w:afterLines="50" w:line="360" w:lineRule="auto"/>
        <w:ind w:firstLine="482" w:firstLineChars="200"/>
        <w:jc w:val="both"/>
        <w:rPr>
          <w:rFonts w:ascii="Times New Roman" w:hAnsi="Times New Roman" w:eastAsia="宋体" w:cs="Times New Roman"/>
          <w:b/>
          <w:bCs/>
          <w:kern w:val="2"/>
          <w:sz w:val="24"/>
          <w:szCs w:val="24"/>
          <w:lang w:val="en-US" w:eastAsia="zh-CN" w:bidi="ar-SA"/>
        </w:rPr>
      </w:pPr>
      <w:r>
        <w:rPr>
          <w:rFonts w:ascii="Times New Roman" w:hAnsi="Times New Roman" w:eastAsia="宋体" w:cs="Times New Roman"/>
          <w:b/>
          <w:bCs/>
          <w:kern w:val="2"/>
          <w:sz w:val="24"/>
          <w:szCs w:val="24"/>
          <w:lang w:val="en-US" w:eastAsia="zh-CN" w:bidi="ar-SA"/>
        </w:rPr>
        <w:t>1</w:t>
      </w:r>
      <w:r>
        <w:rPr>
          <w:rFonts w:hint="eastAsia" w:ascii="Times New Roman" w:hAnsi="Times New Roman" w:eastAsia="宋体" w:cs="Times New Roman"/>
          <w:b/>
          <w:bCs/>
          <w:kern w:val="2"/>
          <w:sz w:val="24"/>
          <w:szCs w:val="24"/>
          <w:lang w:val="en-US" w:eastAsia="zh-CN" w:bidi="ar-SA"/>
        </w:rPr>
        <w:t>、资源支撑能力分析</w:t>
      </w:r>
    </w:p>
    <w:p>
      <w:pPr>
        <w:widowControl w:val="0"/>
        <w:autoSpaceDE w:val="0"/>
        <w:autoSpaceDN w:val="0"/>
        <w:spacing w:after="156" w:afterLines="5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土地资源总量限制：根据《第七师胡杨河市“三线一单”（2018-2035年）》（征求意见稿），基本确定各团场土地资源利用上线管控指标，要求至2020年，建设用地总规模控制在37225.33公顷以内。目前，国土空间利用现状建设用地总面积19073.52公顷，规划实施后建设用地总规模达27271.82公顷，未突破建设用地总规模限制（37225.33公顷），规划与土地资源利用上线基本协调。</w:t>
      </w:r>
    </w:p>
    <w:p>
      <w:pPr>
        <w:widowControl w:val="0"/>
        <w:autoSpaceDE w:val="0"/>
        <w:autoSpaceDN w:val="0"/>
        <w:spacing w:after="156" w:afterLines="5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到2030年，第七师胡杨河市各团用水总量为54006万立方米，主要河流奎屯河控制断面生态需水量为老渠首5245m³/a、车排子水库2201m³/a。根据第七师胡杨河市现状用水及规划年用水总量控制指标综合确定，第七师胡杨河市123团、124团、128团、130团属于水资源分区重点管控区，其余团场属于一般管控区。交通基础设施项目主要用水分为项目建设期间的工程用水和生活用水及建成后运营期间的生活、服务用水。建设期间的用水包括：生石灰消解用水；材料的拌合用水和养护用水；工程施工期间施工人员的生活用水等。运营期间的用水包括：综合枢纽服务区、收费站、站场及养护工区的生活用水；取暖及环境卫生用水；车辆用水；冲洗水、绿化用水等。交通用水占比全师总用水量不高于0.5%，按2019年总用水量计，约0.04亿立方米，规划的实施对水资源的消耗量较小，不会对师市水资源平衡造成影响，与水资源利用上线无冲突。</w:t>
      </w:r>
    </w:p>
    <w:p>
      <w:pPr>
        <w:widowControl w:val="0"/>
        <w:autoSpaceDE w:val="0"/>
        <w:autoSpaceDN w:val="0"/>
        <w:spacing w:after="156" w:afterLines="5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到2020年，全师能源利用总量控制在331.64万吨标煤/年以内，煤炭消费量控制到208万吨标煤/年以下。因此，规划实施后，2025年公路运输能源消耗将占2020年能源消费总量控制规模的1.1%，占比较低，故能源不会成为制约因素。</w:t>
      </w:r>
    </w:p>
    <w:p>
      <w:pPr>
        <w:widowControl w:val="0"/>
        <w:autoSpaceDE w:val="0"/>
        <w:autoSpaceDN w:val="0"/>
        <w:spacing w:after="156" w:afterLines="50" w:line="360" w:lineRule="auto"/>
        <w:ind w:firstLine="482" w:firstLineChars="200"/>
        <w:jc w:val="both"/>
        <w:rPr>
          <w:rFonts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2、规划协调性分析</w:t>
      </w:r>
    </w:p>
    <w:p>
      <w:pPr>
        <w:widowControl w:val="0"/>
        <w:autoSpaceDE w:val="0"/>
        <w:autoSpaceDN w:val="0"/>
        <w:spacing w:after="156" w:afterLines="50" w:line="360" w:lineRule="auto"/>
        <w:ind w:firstLine="480" w:firstLineChars="20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七师胡杨河市“十四五”交通运输发展规划》基本符合区域性规划的要求，与上位规划在发展目标、重点任务及建设项目等方面基本一致。本次规划与大部分指导性规划、相关环境保护规划与区划基本相协调，但也存在一些问题需要与相关部门进行充分协调。</w:t>
      </w:r>
    </w:p>
    <w:p>
      <w:pPr>
        <w:widowControl w:val="0"/>
        <w:autoSpaceDE w:val="0"/>
        <w:autoSpaceDN w:val="0"/>
        <w:spacing w:after="156" w:afterLines="50" w:line="360" w:lineRule="auto"/>
        <w:ind w:firstLine="482" w:firstLineChars="200"/>
        <w:jc w:val="both"/>
        <w:rPr>
          <w:rFonts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4、规划环境合理性论证</w:t>
      </w:r>
    </w:p>
    <w:p>
      <w:pPr>
        <w:widowControl w:val="0"/>
        <w:autoSpaceDE w:val="0"/>
        <w:autoSpaceDN w:val="0"/>
        <w:spacing w:after="156" w:afterLines="50" w:line="360" w:lineRule="auto"/>
        <w:ind w:firstLine="480" w:firstLineChars="20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（1）发展目标的环境合理性</w:t>
      </w:r>
    </w:p>
    <w:p>
      <w:pPr>
        <w:widowControl w:val="0"/>
        <w:autoSpaceDE w:val="0"/>
        <w:autoSpaceDN w:val="0"/>
        <w:spacing w:after="156" w:afterLines="50" w:line="360" w:lineRule="auto"/>
        <w:ind w:firstLine="480" w:firstLineChars="20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次规划充分发挥公路、铁路、民航、枢纽各交通方式比较优势，统筹各运输方式间交通基础设施空间配置，强化各方式有机衔接、优势互补和融合发展，有助于资源节约使用和能源利用效率的提高，总体有助于改善环境质量，维护生态系统良性发展。</w:t>
      </w:r>
    </w:p>
    <w:p>
      <w:pPr>
        <w:widowControl w:val="0"/>
        <w:autoSpaceDE w:val="0"/>
        <w:autoSpaceDN w:val="0"/>
        <w:spacing w:after="156" w:afterLines="50" w:line="360" w:lineRule="auto"/>
        <w:ind w:firstLine="480" w:firstLineChars="20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（2）规模的环境合理性</w:t>
      </w:r>
    </w:p>
    <w:p>
      <w:pPr>
        <w:widowControl w:val="0"/>
        <w:autoSpaceDE w:val="0"/>
        <w:autoSpaceDN w:val="0"/>
        <w:spacing w:after="156" w:afterLines="50" w:line="360" w:lineRule="auto"/>
        <w:ind w:firstLine="480" w:firstLineChars="20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从规模的增量上看，本次规划共提出了约28个新建、改扩建、续建项目。具体而言，本规划新增干线公路837.5km；新增铁路货运专用线1条，铁路长度43.7公里；新增航空改扩建项目1个；新增枢纽站场2个。总体上，新增建设规模不大，考虑到胡杨河市现有的交通基础设施基础较为薄弱，规划实施后的整体规模体量也较小，规划设定的交通建设规模和运营不会对区域生态环境产生太大的压力，且该规划为五年规划，不存在建设时序安排的问题，且部分建设项目已经开展了前期论证研究，对必要的资源环境问题有了充分的考虑。因此，七师胡杨河市“十四五”交通运输发展规划具有较好的规模与建设时序合理性。</w:t>
      </w:r>
    </w:p>
    <w:p>
      <w:pPr>
        <w:widowControl w:val="0"/>
        <w:autoSpaceDE w:val="0"/>
        <w:autoSpaceDN w:val="0"/>
        <w:spacing w:after="156" w:afterLines="50" w:line="360" w:lineRule="auto"/>
        <w:ind w:firstLine="480" w:firstLineChars="20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（3）规划布局的环境合理性</w:t>
      </w:r>
    </w:p>
    <w:p>
      <w:pPr>
        <w:widowControl w:val="0"/>
        <w:autoSpaceDE w:val="0"/>
        <w:autoSpaceDN w:val="0"/>
        <w:spacing w:after="156" w:afterLines="50" w:line="360" w:lineRule="auto"/>
        <w:ind w:firstLine="480" w:firstLineChars="20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《第七师胡杨河市”十四五”综合交通运输体系发展规划》具</w:t>
      </w:r>
      <w:r>
        <w:rPr>
          <w:rFonts w:hint="eastAsia" w:cs="Times New Roman"/>
          <w:kern w:val="2"/>
          <w:sz w:val="24"/>
          <w:szCs w:val="24"/>
          <w:lang w:val="en-US" w:eastAsia="zh-CN" w:bidi="ar-SA"/>
        </w:rPr>
        <w:t>备</w:t>
      </w:r>
      <w:r>
        <w:rPr>
          <w:rFonts w:hint="eastAsia" w:ascii="Times New Roman" w:hAnsi="Times New Roman" w:eastAsia="宋体" w:cs="Times New Roman"/>
          <w:kern w:val="2"/>
          <w:sz w:val="24"/>
          <w:szCs w:val="24"/>
          <w:lang w:val="en-US" w:eastAsia="zh-CN" w:bidi="ar-SA"/>
        </w:rPr>
        <w:t>环境合理性。在采取一定措施后，规划实施不会对区域重要环境敏感目标和重要保护对象产生显著不可逆影响，规划布局方案不存在法律、法规障碍，且从环境风险角度，本规划涉及的水系敏感目标较少，大部分基础设施远离人群，为道路交通用地及仓储用地，环境风险较小。</w:t>
      </w:r>
    </w:p>
    <w:p>
      <w:pPr>
        <w:widowControl w:val="0"/>
        <w:autoSpaceDE w:val="0"/>
        <w:autoSpaceDN w:val="0"/>
        <w:spacing w:after="156" w:afterLines="50" w:line="360" w:lineRule="auto"/>
        <w:ind w:firstLine="482" w:firstLineChars="200"/>
        <w:jc w:val="both"/>
        <w:rPr>
          <w:rFonts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5、规划优化与</w:t>
      </w:r>
      <w:r>
        <w:rPr>
          <w:rFonts w:ascii="Times New Roman" w:hAnsi="Times New Roman" w:eastAsia="宋体" w:cs="Times New Roman"/>
          <w:b/>
          <w:bCs/>
          <w:kern w:val="2"/>
          <w:sz w:val="24"/>
          <w:szCs w:val="24"/>
          <w:lang w:val="en-US" w:eastAsia="zh-CN" w:bidi="ar-SA"/>
        </w:rPr>
        <w:t>实施</w:t>
      </w:r>
      <w:r>
        <w:rPr>
          <w:rFonts w:hint="eastAsia" w:ascii="Times New Roman" w:hAnsi="Times New Roman" w:eastAsia="宋体" w:cs="Times New Roman"/>
          <w:b/>
          <w:bCs/>
          <w:kern w:val="2"/>
          <w:sz w:val="24"/>
          <w:szCs w:val="24"/>
          <w:lang w:val="en-US" w:eastAsia="zh-CN" w:bidi="ar-SA"/>
        </w:rPr>
        <w:t>调整建议</w:t>
      </w:r>
    </w:p>
    <w:p>
      <w:pPr>
        <w:widowControl w:val="0"/>
        <w:autoSpaceDE w:val="0"/>
        <w:autoSpaceDN w:val="0"/>
        <w:spacing w:after="156" w:afterLines="50" w:line="360" w:lineRule="auto"/>
        <w:ind w:firstLine="480" w:firstLineChars="200"/>
        <w:jc w:val="both"/>
        <w:rPr>
          <w:rFonts w:hint="eastAsia"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rPr>
        <w:t>本次规划主要为线位规划，具体设计选线需要在工程设计阶段予以明确，按照规划节点间大致走向开展影响评价，识别出七师胡杨河市“十四五”交通运输发展规划新增交通基础设施中可能有8个项目涉及各类保护区，其中可能涉及自然保护区的路段共有6处，涉及国家沙漠公园生态保育区1处，涉及国家湿地公园生态保育区1处。经辨识确认，大部分可绕避，若在具体实施中因工程地质条件等因素，确实难以绕避的，可通过一跨而过的桥梁等“无害化”方式穿跨越。规划调整建议如表11.4-1所示。</w:t>
      </w:r>
    </w:p>
    <w:p>
      <w:pPr>
        <w:widowControl w:val="0"/>
        <w:autoSpaceDE w:val="0"/>
        <w:autoSpaceDN w:val="0"/>
        <w:spacing w:after="156" w:afterLines="50" w:line="360" w:lineRule="auto"/>
        <w:ind w:firstLine="480" w:firstLineChars="200"/>
        <w:jc w:val="both"/>
        <w:rPr>
          <w:rFonts w:hint="eastAsia"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rPr>
        <w:t>穿越大量基本农田的路段也可优化设计方案，缩短占用长度。另根据《基本农田保护条例》，占用基本农田必须经国务院批准后方可占用，且用单位应当按照占多少、垦多少的原则，负责开垦与所占基本农田的数量与质量相当的耕地；没有条件开垦或者开垦的耕地不符合要求的，应当按照省、自治区、直辖市的规定缴纳耕地开垦费，专款用于开垦新的耕地。</w:t>
      </w:r>
    </w:p>
    <w:p>
      <w:pPr>
        <w:widowControl/>
        <w:adjustRightInd w:val="0"/>
        <w:snapToGrid w:val="0"/>
        <w:spacing w:line="240" w:lineRule="auto"/>
        <w:ind w:firstLine="0" w:firstLineChars="0"/>
        <w:jc w:val="center"/>
        <w:rPr>
          <w:rFonts w:ascii="宋体" w:hAnsi="宋体" w:eastAsia="黑体" w:cs="Times New Roman"/>
          <w:kern w:val="0"/>
          <w:sz w:val="24"/>
          <w:szCs w:val="24"/>
          <w:highlight w:val="none"/>
        </w:rPr>
      </w:pPr>
      <w:r>
        <w:rPr>
          <w:rFonts w:ascii="宋体" w:hAnsi="宋体" w:eastAsia="黑体" w:cs="Times New Roman"/>
          <w:kern w:val="0"/>
          <w:sz w:val="24"/>
          <w:szCs w:val="24"/>
          <w:highlight w:val="none"/>
        </w:rPr>
        <w:t>表1规划线路布局调整及优化建议</w:t>
      </w:r>
    </w:p>
    <w:tbl>
      <w:tblPr>
        <w:tblStyle w:val="4"/>
        <w:tblW w:w="4768" w:type="pct"/>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81"/>
        <w:gridCol w:w="57"/>
        <w:gridCol w:w="2013"/>
        <w:gridCol w:w="2815"/>
        <w:gridCol w:w="3075"/>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394" w:type="pct"/>
            <w:vAlign w:val="center"/>
          </w:tcPr>
          <w:p>
            <w:pPr>
              <w:widowControl/>
              <w:spacing w:line="240" w:lineRule="auto"/>
              <w:ind w:firstLine="0" w:firstLineChars="0"/>
              <w:jc w:val="center"/>
              <w:outlineLvl w:val="4"/>
              <w:rPr>
                <w:rFonts w:ascii="宋体" w:hAnsi="宋体" w:eastAsia="宋体" w:cs="Times New Roman"/>
                <w:b/>
                <w:bCs/>
                <w:kern w:val="0"/>
                <w:sz w:val="24"/>
                <w:szCs w:val="21"/>
                <w:highlight w:val="none"/>
              </w:rPr>
            </w:pPr>
            <w:r>
              <w:rPr>
                <w:rFonts w:ascii="宋体" w:hAnsi="宋体" w:eastAsia="宋体" w:cs="Times New Roman"/>
                <w:b/>
                <w:bCs/>
                <w:kern w:val="0"/>
                <w:sz w:val="24"/>
                <w:szCs w:val="21"/>
                <w:highlight w:val="none"/>
              </w:rPr>
              <w:t>序号</w:t>
            </w:r>
          </w:p>
        </w:tc>
        <w:tc>
          <w:tcPr>
            <w:tcW w:w="1198" w:type="pct"/>
            <w:gridSpan w:val="2"/>
            <w:vAlign w:val="center"/>
          </w:tcPr>
          <w:p>
            <w:pPr>
              <w:widowControl/>
              <w:spacing w:line="240" w:lineRule="auto"/>
              <w:ind w:firstLine="0" w:firstLineChars="0"/>
              <w:jc w:val="center"/>
              <w:outlineLvl w:val="4"/>
              <w:rPr>
                <w:rFonts w:ascii="宋体" w:hAnsi="宋体" w:eastAsia="宋体" w:cs="Times New Roman"/>
                <w:b/>
                <w:kern w:val="0"/>
                <w:sz w:val="24"/>
                <w:szCs w:val="21"/>
                <w:highlight w:val="none"/>
              </w:rPr>
            </w:pPr>
            <w:r>
              <w:rPr>
                <w:rFonts w:hint="eastAsia" w:ascii="宋体" w:hAnsi="宋体" w:eastAsia="宋体" w:cs="Times New Roman"/>
                <w:b/>
                <w:bCs/>
                <w:kern w:val="0"/>
                <w:sz w:val="24"/>
                <w:szCs w:val="21"/>
                <w:highlight w:val="none"/>
              </w:rPr>
              <w:t>项目名称</w:t>
            </w:r>
          </w:p>
        </w:tc>
        <w:tc>
          <w:tcPr>
            <w:tcW w:w="1629" w:type="pct"/>
            <w:vAlign w:val="center"/>
          </w:tcPr>
          <w:p>
            <w:pPr>
              <w:widowControl/>
              <w:spacing w:line="240" w:lineRule="auto"/>
              <w:ind w:firstLine="0" w:firstLineChars="0"/>
              <w:jc w:val="center"/>
              <w:outlineLvl w:val="4"/>
              <w:rPr>
                <w:rFonts w:ascii="宋体" w:hAnsi="宋体" w:eastAsia="宋体" w:cs="Times New Roman"/>
                <w:b/>
                <w:kern w:val="0"/>
                <w:sz w:val="24"/>
                <w:szCs w:val="21"/>
                <w:highlight w:val="none"/>
              </w:rPr>
            </w:pPr>
            <w:r>
              <w:rPr>
                <w:rFonts w:ascii="宋体" w:hAnsi="宋体" w:eastAsia="宋体" w:cs="Times New Roman"/>
                <w:b/>
                <w:bCs/>
                <w:kern w:val="0"/>
                <w:sz w:val="24"/>
                <w:szCs w:val="21"/>
                <w:highlight w:val="none"/>
              </w:rPr>
              <w:t>关注原因</w:t>
            </w:r>
          </w:p>
        </w:tc>
        <w:tc>
          <w:tcPr>
            <w:tcW w:w="1779" w:type="pct"/>
            <w:vAlign w:val="center"/>
          </w:tcPr>
          <w:p>
            <w:pPr>
              <w:widowControl/>
              <w:spacing w:line="240" w:lineRule="auto"/>
              <w:ind w:firstLine="0" w:firstLineChars="0"/>
              <w:jc w:val="center"/>
              <w:outlineLvl w:val="4"/>
              <w:rPr>
                <w:rFonts w:ascii="宋体" w:hAnsi="宋体" w:eastAsia="宋体" w:cs="Times New Roman"/>
                <w:b/>
                <w:bCs/>
                <w:kern w:val="0"/>
                <w:sz w:val="24"/>
                <w:szCs w:val="21"/>
                <w:highlight w:val="none"/>
              </w:rPr>
            </w:pPr>
            <w:r>
              <w:rPr>
                <w:rFonts w:ascii="宋体" w:hAnsi="宋体" w:eastAsia="宋体" w:cs="Times New Roman"/>
                <w:b/>
                <w:bCs/>
                <w:kern w:val="0"/>
                <w:sz w:val="24"/>
                <w:szCs w:val="21"/>
                <w:highlight w:val="none"/>
              </w:rPr>
              <w:t>调整建议</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5000" w:type="pct"/>
            <w:gridSpan w:val="5"/>
            <w:vAlign w:val="center"/>
          </w:tcPr>
          <w:p>
            <w:pPr>
              <w:widowControl/>
              <w:spacing w:line="240" w:lineRule="auto"/>
              <w:ind w:firstLine="0" w:firstLineChars="0"/>
              <w:jc w:val="center"/>
              <w:outlineLvl w:val="4"/>
              <w:rPr>
                <w:rFonts w:ascii="宋体" w:hAnsi="宋体" w:eastAsia="宋体" w:cs="Times New Roman"/>
                <w:bCs/>
                <w:kern w:val="0"/>
                <w:sz w:val="24"/>
                <w:szCs w:val="21"/>
                <w:highlight w:val="none"/>
              </w:rPr>
            </w:pPr>
            <w:r>
              <w:rPr>
                <w:rFonts w:hint="eastAsia" w:ascii="宋体" w:hAnsi="宋体" w:eastAsia="宋体" w:cs="Times New Roman"/>
                <w:color w:val="000000"/>
                <w:kern w:val="0"/>
                <w:sz w:val="24"/>
                <w:szCs w:val="21"/>
                <w:highlight w:val="none"/>
              </w:rPr>
              <w:t>奎屯河流域湿地省级（兵团）自然保护区</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394" w:type="pct"/>
            <w:vAlign w:val="center"/>
          </w:tcPr>
          <w:p>
            <w:pPr>
              <w:widowControl/>
              <w:spacing w:line="240" w:lineRule="auto"/>
              <w:ind w:firstLine="0" w:firstLineChars="0"/>
              <w:jc w:val="center"/>
              <w:outlineLvl w:val="4"/>
              <w:rPr>
                <w:rFonts w:ascii="宋体" w:hAnsi="宋体" w:eastAsia="宋体" w:cs="Times New Roman"/>
                <w:bCs/>
                <w:kern w:val="0"/>
                <w:sz w:val="24"/>
                <w:szCs w:val="21"/>
                <w:highlight w:val="none"/>
              </w:rPr>
            </w:pPr>
            <w:r>
              <w:rPr>
                <w:rFonts w:ascii="宋体" w:hAnsi="宋体" w:eastAsia="宋体" w:cs="Times New Roman"/>
                <w:bCs/>
                <w:kern w:val="0"/>
                <w:sz w:val="24"/>
                <w:szCs w:val="21"/>
                <w:highlight w:val="none"/>
              </w:rPr>
              <w:t>1</w:t>
            </w:r>
          </w:p>
        </w:tc>
        <w:tc>
          <w:tcPr>
            <w:tcW w:w="1198" w:type="pct"/>
            <w:gridSpan w:val="2"/>
            <w:vAlign w:val="center"/>
          </w:tcPr>
          <w:p>
            <w:pPr>
              <w:widowControl/>
              <w:spacing w:line="240" w:lineRule="auto"/>
              <w:ind w:firstLine="0" w:firstLineChars="0"/>
              <w:jc w:val="center"/>
              <w:outlineLvl w:val="4"/>
              <w:rPr>
                <w:rFonts w:ascii="宋体" w:hAnsi="宋体" w:eastAsia="宋体" w:cs="Times New Roman"/>
                <w:bCs/>
                <w:kern w:val="0"/>
                <w:sz w:val="24"/>
                <w:szCs w:val="21"/>
                <w:highlight w:val="none"/>
              </w:rPr>
            </w:pPr>
            <w:r>
              <w:rPr>
                <w:rFonts w:hint="eastAsia" w:ascii="宋体" w:hAnsi="宋体" w:eastAsia="宋体" w:cs="Times New Roman"/>
                <w:bCs/>
                <w:kern w:val="0"/>
                <w:sz w:val="24"/>
                <w:szCs w:val="21"/>
                <w:highlight w:val="none"/>
              </w:rPr>
              <w:t>128团（前山镇）-124团（高泉镇）公路</w:t>
            </w:r>
          </w:p>
        </w:tc>
        <w:tc>
          <w:tcPr>
            <w:tcW w:w="1629" w:type="pct"/>
            <w:vAlign w:val="center"/>
          </w:tcPr>
          <w:p>
            <w:pPr>
              <w:widowControl/>
              <w:spacing w:line="240" w:lineRule="auto"/>
              <w:ind w:firstLine="0" w:firstLineChars="0"/>
              <w:jc w:val="center"/>
              <w:rPr>
                <w:rFonts w:ascii="宋体" w:hAnsi="宋体" w:eastAsia="宋体" w:cs="Times New Roman"/>
                <w:bCs/>
                <w:kern w:val="0"/>
                <w:sz w:val="24"/>
                <w:szCs w:val="21"/>
                <w:highlight w:val="none"/>
              </w:rPr>
            </w:pPr>
            <w:r>
              <w:rPr>
                <w:rFonts w:hint="eastAsia" w:ascii="宋体" w:hAnsi="宋体" w:eastAsia="宋体" w:cs="Times New Roman"/>
                <w:bCs/>
                <w:kern w:val="0"/>
                <w:sz w:val="24"/>
                <w:szCs w:val="21"/>
                <w:highlight w:val="none"/>
              </w:rPr>
              <w:t>穿越实验区、缓冲区</w:t>
            </w:r>
          </w:p>
        </w:tc>
        <w:tc>
          <w:tcPr>
            <w:tcW w:w="1779" w:type="pct"/>
            <w:vAlign w:val="center"/>
          </w:tcPr>
          <w:p>
            <w:pPr>
              <w:widowControl/>
              <w:spacing w:line="240" w:lineRule="auto"/>
              <w:ind w:firstLine="0" w:firstLineChars="0"/>
              <w:jc w:val="center"/>
              <w:rPr>
                <w:rFonts w:ascii="宋体" w:hAnsi="宋体" w:eastAsia="宋体" w:cs="Times New Roman"/>
                <w:bCs/>
                <w:kern w:val="0"/>
                <w:sz w:val="24"/>
                <w:szCs w:val="21"/>
                <w:highlight w:val="none"/>
              </w:rPr>
            </w:pPr>
            <w:r>
              <w:rPr>
                <w:rFonts w:hint="eastAsia" w:ascii="宋体" w:hAnsi="宋体" w:eastAsia="宋体" w:cs="Times New Roman"/>
                <w:color w:val="000000"/>
                <w:kern w:val="0"/>
                <w:sz w:val="24"/>
                <w:szCs w:val="21"/>
                <w:highlight w:val="none"/>
                <w:lang w:eastAsia="zh-CN"/>
              </w:rPr>
              <w:t>应</w:t>
            </w:r>
            <w:r>
              <w:rPr>
                <w:rFonts w:hint="eastAsia" w:ascii="宋体" w:hAnsi="宋体" w:eastAsia="宋体" w:cs="Times New Roman"/>
                <w:color w:val="000000"/>
                <w:kern w:val="0"/>
                <w:sz w:val="24"/>
                <w:szCs w:val="21"/>
                <w:highlight w:val="none"/>
              </w:rPr>
              <w:t>避绕自然保护区缓冲区，尽量避绕实验区</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394" w:type="pct"/>
            <w:vAlign w:val="center"/>
          </w:tcPr>
          <w:p>
            <w:pPr>
              <w:widowControl/>
              <w:spacing w:line="240" w:lineRule="auto"/>
              <w:ind w:firstLine="0" w:firstLineChars="0"/>
              <w:jc w:val="center"/>
              <w:outlineLvl w:val="4"/>
              <w:rPr>
                <w:rFonts w:ascii="宋体" w:hAnsi="宋体" w:eastAsia="宋体" w:cs="Times New Roman"/>
                <w:bCs/>
                <w:kern w:val="0"/>
                <w:sz w:val="24"/>
                <w:szCs w:val="21"/>
                <w:highlight w:val="none"/>
              </w:rPr>
            </w:pPr>
            <w:r>
              <w:rPr>
                <w:rFonts w:hint="eastAsia" w:ascii="宋体" w:hAnsi="宋体" w:eastAsia="宋体" w:cs="Times New Roman"/>
                <w:bCs/>
                <w:kern w:val="0"/>
                <w:sz w:val="24"/>
                <w:szCs w:val="21"/>
                <w:highlight w:val="none"/>
              </w:rPr>
              <w:t>2</w:t>
            </w:r>
          </w:p>
        </w:tc>
        <w:tc>
          <w:tcPr>
            <w:tcW w:w="1198" w:type="pct"/>
            <w:gridSpan w:val="2"/>
            <w:vAlign w:val="center"/>
          </w:tcPr>
          <w:p>
            <w:pPr>
              <w:widowControl/>
              <w:spacing w:line="240" w:lineRule="auto"/>
              <w:ind w:firstLine="0" w:firstLineChars="0"/>
              <w:jc w:val="center"/>
              <w:outlineLvl w:val="4"/>
              <w:rPr>
                <w:rFonts w:ascii="宋体" w:hAnsi="宋体" w:eastAsia="宋体" w:cs="Times New Roman"/>
                <w:bCs/>
                <w:kern w:val="0"/>
                <w:sz w:val="24"/>
                <w:szCs w:val="21"/>
                <w:highlight w:val="none"/>
              </w:rPr>
            </w:pPr>
            <w:r>
              <w:rPr>
                <w:rFonts w:hint="eastAsia" w:ascii="宋体" w:hAnsi="宋体" w:eastAsia="宋体" w:cs="宋体"/>
                <w:color w:val="000000"/>
                <w:kern w:val="0"/>
                <w:sz w:val="22"/>
                <w:szCs w:val="24"/>
                <w:highlight w:val="none"/>
              </w:rPr>
              <w:t>胡杨河市-头台乡-前高公路</w:t>
            </w:r>
          </w:p>
        </w:tc>
        <w:tc>
          <w:tcPr>
            <w:tcW w:w="1629" w:type="pct"/>
            <w:vAlign w:val="center"/>
          </w:tcPr>
          <w:p>
            <w:pPr>
              <w:widowControl/>
              <w:spacing w:line="240" w:lineRule="auto"/>
              <w:ind w:firstLine="0" w:firstLineChars="0"/>
              <w:jc w:val="center"/>
              <w:rPr>
                <w:rFonts w:ascii="宋体" w:hAnsi="宋体" w:eastAsia="宋体" w:cs="Times New Roman"/>
                <w:bCs/>
                <w:kern w:val="0"/>
                <w:sz w:val="24"/>
                <w:szCs w:val="21"/>
                <w:highlight w:val="none"/>
              </w:rPr>
            </w:pPr>
            <w:r>
              <w:rPr>
                <w:rFonts w:hint="eastAsia" w:ascii="宋体" w:hAnsi="宋体" w:eastAsia="宋体" w:cs="Times New Roman"/>
                <w:kern w:val="0"/>
                <w:sz w:val="24"/>
                <w:szCs w:val="20"/>
                <w:highlight w:val="none"/>
              </w:rPr>
              <w:t>穿越实验区</w:t>
            </w:r>
          </w:p>
        </w:tc>
        <w:tc>
          <w:tcPr>
            <w:tcW w:w="1779" w:type="pct"/>
            <w:vAlign w:val="center"/>
          </w:tcPr>
          <w:p>
            <w:pPr>
              <w:widowControl/>
              <w:spacing w:line="240" w:lineRule="auto"/>
              <w:ind w:firstLine="0" w:firstLineChars="0"/>
              <w:jc w:val="center"/>
              <w:rPr>
                <w:rFonts w:ascii="宋体" w:hAnsi="宋体" w:eastAsia="宋体" w:cs="Times New Roman"/>
                <w:bCs/>
                <w:kern w:val="0"/>
                <w:sz w:val="24"/>
                <w:szCs w:val="21"/>
                <w:highlight w:val="none"/>
              </w:rPr>
            </w:pPr>
            <w:r>
              <w:rPr>
                <w:rFonts w:hint="eastAsia" w:ascii="宋体" w:hAnsi="宋体" w:eastAsia="宋体" w:cs="Times New Roman"/>
                <w:color w:val="000000"/>
                <w:kern w:val="0"/>
                <w:sz w:val="24"/>
                <w:szCs w:val="21"/>
                <w:highlight w:val="none"/>
              </w:rPr>
              <w:t>尽量避绕实验区</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394" w:type="pct"/>
            <w:vAlign w:val="center"/>
          </w:tcPr>
          <w:p>
            <w:pPr>
              <w:widowControl/>
              <w:spacing w:line="240" w:lineRule="auto"/>
              <w:ind w:firstLine="0" w:firstLineChars="0"/>
              <w:jc w:val="center"/>
              <w:outlineLvl w:val="4"/>
              <w:rPr>
                <w:rFonts w:ascii="宋体" w:hAnsi="宋体" w:eastAsia="宋体" w:cs="Times New Roman"/>
                <w:bCs/>
                <w:kern w:val="0"/>
                <w:sz w:val="24"/>
                <w:szCs w:val="21"/>
                <w:highlight w:val="none"/>
              </w:rPr>
            </w:pPr>
            <w:r>
              <w:rPr>
                <w:rFonts w:hint="eastAsia" w:ascii="宋体" w:hAnsi="宋体" w:eastAsia="宋体" w:cs="Times New Roman"/>
                <w:bCs/>
                <w:kern w:val="0"/>
                <w:sz w:val="24"/>
                <w:szCs w:val="21"/>
                <w:highlight w:val="none"/>
              </w:rPr>
              <w:t>3</w:t>
            </w:r>
          </w:p>
        </w:tc>
        <w:tc>
          <w:tcPr>
            <w:tcW w:w="1198" w:type="pct"/>
            <w:gridSpan w:val="2"/>
            <w:vAlign w:val="center"/>
          </w:tcPr>
          <w:p>
            <w:pPr>
              <w:widowControl/>
              <w:spacing w:line="240" w:lineRule="auto"/>
              <w:ind w:firstLine="0" w:firstLineChars="0"/>
              <w:jc w:val="center"/>
              <w:outlineLvl w:val="4"/>
              <w:rPr>
                <w:rFonts w:ascii="宋体" w:hAnsi="宋体" w:eastAsia="宋体" w:cs="Times New Roman"/>
                <w:bCs/>
                <w:kern w:val="0"/>
                <w:sz w:val="24"/>
                <w:szCs w:val="21"/>
                <w:highlight w:val="none"/>
              </w:rPr>
            </w:pPr>
            <w:r>
              <w:rPr>
                <w:rFonts w:hint="eastAsia" w:ascii="宋体" w:hAnsi="宋体" w:eastAsia="宋体" w:cs="Times New Roman"/>
                <w:color w:val="000000"/>
                <w:kern w:val="0"/>
                <w:sz w:val="24"/>
                <w:szCs w:val="21"/>
                <w:highlight w:val="none"/>
              </w:rPr>
              <w:t>胡杨河市-胡杨河旅游风景区-车排子水库旅游公路</w:t>
            </w:r>
          </w:p>
        </w:tc>
        <w:tc>
          <w:tcPr>
            <w:tcW w:w="1629" w:type="pct"/>
            <w:vAlign w:val="center"/>
          </w:tcPr>
          <w:p>
            <w:pPr>
              <w:widowControl/>
              <w:spacing w:line="240" w:lineRule="auto"/>
              <w:ind w:firstLine="0" w:firstLineChars="0"/>
              <w:jc w:val="center"/>
              <w:rPr>
                <w:rFonts w:ascii="宋体" w:hAnsi="宋体" w:eastAsia="宋体" w:cs="Times New Roman"/>
                <w:bCs/>
                <w:kern w:val="0"/>
                <w:sz w:val="24"/>
                <w:szCs w:val="21"/>
                <w:highlight w:val="none"/>
              </w:rPr>
            </w:pPr>
            <w:r>
              <w:rPr>
                <w:rFonts w:hint="eastAsia" w:ascii="宋体" w:hAnsi="宋体" w:eastAsia="宋体" w:cs="Times New Roman"/>
                <w:bCs/>
                <w:kern w:val="0"/>
                <w:sz w:val="24"/>
                <w:szCs w:val="21"/>
                <w:highlight w:val="none"/>
              </w:rPr>
              <w:t>穿越实验区、缓冲区</w:t>
            </w:r>
          </w:p>
        </w:tc>
        <w:tc>
          <w:tcPr>
            <w:tcW w:w="1779" w:type="pct"/>
            <w:vAlign w:val="center"/>
          </w:tcPr>
          <w:p>
            <w:pPr>
              <w:widowControl/>
              <w:spacing w:line="240" w:lineRule="auto"/>
              <w:ind w:firstLine="0" w:firstLineChars="0"/>
              <w:jc w:val="center"/>
              <w:rPr>
                <w:rFonts w:ascii="宋体" w:hAnsi="宋体" w:eastAsia="宋体" w:cs="Times New Roman"/>
                <w:bCs/>
                <w:kern w:val="0"/>
                <w:sz w:val="24"/>
                <w:szCs w:val="21"/>
                <w:highlight w:val="none"/>
              </w:rPr>
            </w:pPr>
            <w:r>
              <w:rPr>
                <w:rFonts w:hint="eastAsia" w:ascii="宋体" w:hAnsi="宋体" w:eastAsia="宋体" w:cs="Times New Roman"/>
                <w:color w:val="000000"/>
                <w:kern w:val="0"/>
                <w:sz w:val="24"/>
                <w:szCs w:val="21"/>
                <w:highlight w:val="none"/>
              </w:rPr>
              <w:t>避绕自然保护区缓冲区，尽量避绕实验区</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394" w:type="pct"/>
            <w:vAlign w:val="center"/>
          </w:tcPr>
          <w:p>
            <w:pPr>
              <w:widowControl/>
              <w:spacing w:line="240" w:lineRule="auto"/>
              <w:ind w:firstLine="0" w:firstLineChars="0"/>
              <w:jc w:val="center"/>
              <w:outlineLvl w:val="4"/>
              <w:rPr>
                <w:rFonts w:ascii="宋体" w:hAnsi="宋体" w:eastAsia="宋体" w:cs="Times New Roman"/>
                <w:bCs/>
                <w:kern w:val="0"/>
                <w:sz w:val="24"/>
                <w:szCs w:val="21"/>
                <w:highlight w:val="none"/>
              </w:rPr>
            </w:pPr>
            <w:r>
              <w:rPr>
                <w:rFonts w:hint="eastAsia" w:ascii="宋体" w:hAnsi="宋体" w:eastAsia="宋体" w:cs="Times New Roman"/>
                <w:bCs/>
                <w:kern w:val="0"/>
                <w:sz w:val="24"/>
                <w:szCs w:val="21"/>
                <w:highlight w:val="none"/>
              </w:rPr>
              <w:t>4</w:t>
            </w:r>
          </w:p>
        </w:tc>
        <w:tc>
          <w:tcPr>
            <w:tcW w:w="1198" w:type="pct"/>
            <w:gridSpan w:val="2"/>
            <w:vAlign w:val="center"/>
          </w:tcPr>
          <w:p>
            <w:pPr>
              <w:widowControl/>
              <w:spacing w:line="240" w:lineRule="auto"/>
              <w:ind w:firstLine="0" w:firstLineChars="0"/>
              <w:jc w:val="center"/>
              <w:outlineLvl w:val="4"/>
              <w:rPr>
                <w:rFonts w:ascii="宋体" w:hAnsi="宋体" w:eastAsia="宋体" w:cs="Times New Roman"/>
                <w:bCs/>
                <w:kern w:val="0"/>
                <w:sz w:val="24"/>
                <w:szCs w:val="21"/>
                <w:highlight w:val="none"/>
              </w:rPr>
            </w:pPr>
            <w:r>
              <w:rPr>
                <w:rFonts w:hint="eastAsia" w:ascii="宋体" w:hAnsi="宋体" w:eastAsia="宋体" w:cs="宋体"/>
                <w:color w:val="000000"/>
                <w:kern w:val="0"/>
                <w:sz w:val="22"/>
                <w:szCs w:val="24"/>
                <w:highlight w:val="none"/>
              </w:rPr>
              <w:t>胡杨河-S312奎下公路-天北新区（迎宾路）公路</w:t>
            </w:r>
          </w:p>
        </w:tc>
        <w:tc>
          <w:tcPr>
            <w:tcW w:w="1629" w:type="pct"/>
            <w:vAlign w:val="center"/>
          </w:tcPr>
          <w:p>
            <w:pPr>
              <w:widowControl/>
              <w:spacing w:line="240" w:lineRule="auto"/>
              <w:ind w:firstLine="0" w:firstLineChars="0"/>
              <w:jc w:val="center"/>
              <w:rPr>
                <w:rFonts w:ascii="宋体" w:hAnsi="宋体" w:eastAsia="宋体" w:cs="Times New Roman"/>
                <w:bCs/>
                <w:kern w:val="0"/>
                <w:sz w:val="24"/>
                <w:szCs w:val="21"/>
                <w:highlight w:val="none"/>
              </w:rPr>
            </w:pPr>
            <w:r>
              <w:rPr>
                <w:rFonts w:hint="eastAsia" w:ascii="宋体" w:hAnsi="宋体" w:eastAsia="宋体" w:cs="Times New Roman"/>
                <w:kern w:val="0"/>
                <w:sz w:val="24"/>
                <w:szCs w:val="20"/>
                <w:highlight w:val="none"/>
              </w:rPr>
              <w:t>穿越实验区</w:t>
            </w:r>
          </w:p>
        </w:tc>
        <w:tc>
          <w:tcPr>
            <w:tcW w:w="1779" w:type="pct"/>
            <w:vAlign w:val="center"/>
          </w:tcPr>
          <w:p>
            <w:pPr>
              <w:widowControl/>
              <w:spacing w:line="240" w:lineRule="auto"/>
              <w:ind w:firstLine="0" w:firstLineChars="0"/>
              <w:jc w:val="center"/>
              <w:rPr>
                <w:rFonts w:ascii="宋体" w:hAnsi="宋体" w:eastAsia="宋体" w:cs="Times New Roman"/>
                <w:bCs/>
                <w:kern w:val="0"/>
                <w:sz w:val="24"/>
                <w:szCs w:val="21"/>
                <w:highlight w:val="none"/>
              </w:rPr>
            </w:pPr>
            <w:r>
              <w:rPr>
                <w:rFonts w:hint="eastAsia" w:ascii="宋体" w:hAnsi="宋体" w:eastAsia="宋体" w:cs="Times New Roman"/>
                <w:bCs/>
                <w:kern w:val="0"/>
                <w:sz w:val="24"/>
                <w:szCs w:val="21"/>
                <w:highlight w:val="none"/>
              </w:rPr>
              <w:t>涉及保护区路段尽量使用原有路基，尽量避绕自然保护区实验区</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394" w:type="pct"/>
            <w:vAlign w:val="center"/>
          </w:tcPr>
          <w:p>
            <w:pPr>
              <w:widowControl/>
              <w:spacing w:line="240" w:lineRule="auto"/>
              <w:ind w:firstLine="0" w:firstLineChars="0"/>
              <w:jc w:val="center"/>
              <w:outlineLvl w:val="4"/>
              <w:rPr>
                <w:rFonts w:ascii="宋体" w:hAnsi="宋体" w:eastAsia="宋体" w:cs="Times New Roman"/>
                <w:bCs/>
                <w:kern w:val="0"/>
                <w:sz w:val="24"/>
                <w:szCs w:val="21"/>
                <w:highlight w:val="none"/>
              </w:rPr>
            </w:pPr>
            <w:r>
              <w:rPr>
                <w:rFonts w:hint="eastAsia" w:ascii="宋体" w:hAnsi="宋体" w:eastAsia="宋体" w:cs="Times New Roman"/>
                <w:bCs/>
                <w:kern w:val="0"/>
                <w:sz w:val="24"/>
                <w:szCs w:val="21"/>
                <w:highlight w:val="none"/>
              </w:rPr>
              <w:t>5</w:t>
            </w:r>
          </w:p>
        </w:tc>
        <w:tc>
          <w:tcPr>
            <w:tcW w:w="1198" w:type="pct"/>
            <w:gridSpan w:val="2"/>
            <w:vAlign w:val="center"/>
          </w:tcPr>
          <w:p>
            <w:pPr>
              <w:widowControl/>
              <w:adjustRightInd w:val="0"/>
              <w:snapToGrid w:val="0"/>
              <w:spacing w:line="240" w:lineRule="auto"/>
              <w:ind w:firstLine="0" w:firstLineChars="0"/>
              <w:jc w:val="center"/>
              <w:rPr>
                <w:rFonts w:ascii="宋体" w:hAnsi="宋体" w:eastAsia="宋体" w:cs="Times New Roman"/>
                <w:color w:val="000000"/>
                <w:kern w:val="0"/>
                <w:sz w:val="24"/>
                <w:szCs w:val="21"/>
                <w:highlight w:val="none"/>
              </w:rPr>
            </w:pPr>
            <w:r>
              <w:rPr>
                <w:rFonts w:hint="eastAsia" w:ascii="宋体" w:hAnsi="宋体" w:eastAsia="宋体" w:cs="宋体"/>
                <w:color w:val="000000"/>
                <w:kern w:val="0"/>
                <w:sz w:val="22"/>
                <w:szCs w:val="24"/>
                <w:highlight w:val="none"/>
              </w:rPr>
              <w:t>胡杨河市-乌苏通勤机场公路</w:t>
            </w:r>
          </w:p>
        </w:tc>
        <w:tc>
          <w:tcPr>
            <w:tcW w:w="1629" w:type="pct"/>
            <w:vAlign w:val="center"/>
          </w:tcPr>
          <w:p>
            <w:pPr>
              <w:widowControl/>
              <w:spacing w:line="240" w:lineRule="auto"/>
              <w:ind w:firstLine="0" w:firstLineChars="0"/>
              <w:jc w:val="center"/>
              <w:rPr>
                <w:rFonts w:ascii="宋体" w:hAnsi="宋体" w:eastAsia="宋体" w:cs="Times New Roman"/>
                <w:bCs/>
                <w:kern w:val="0"/>
                <w:sz w:val="24"/>
                <w:szCs w:val="21"/>
                <w:highlight w:val="none"/>
              </w:rPr>
            </w:pPr>
            <w:r>
              <w:rPr>
                <w:rFonts w:hint="eastAsia" w:ascii="宋体" w:hAnsi="宋体" w:eastAsia="宋体" w:cs="Times New Roman"/>
                <w:kern w:val="0"/>
                <w:sz w:val="24"/>
                <w:szCs w:val="20"/>
                <w:highlight w:val="none"/>
              </w:rPr>
              <w:t>穿越实验区</w:t>
            </w:r>
          </w:p>
        </w:tc>
        <w:tc>
          <w:tcPr>
            <w:tcW w:w="1779" w:type="pct"/>
            <w:vAlign w:val="center"/>
          </w:tcPr>
          <w:p>
            <w:pPr>
              <w:widowControl/>
              <w:spacing w:line="240" w:lineRule="auto"/>
              <w:ind w:firstLine="0" w:firstLineChars="0"/>
              <w:jc w:val="center"/>
              <w:rPr>
                <w:rFonts w:ascii="宋体" w:hAnsi="宋体" w:eastAsia="宋体" w:cs="Times New Roman"/>
                <w:bCs/>
                <w:kern w:val="0"/>
                <w:sz w:val="24"/>
                <w:szCs w:val="21"/>
                <w:highlight w:val="none"/>
              </w:rPr>
            </w:pPr>
            <w:r>
              <w:rPr>
                <w:rFonts w:hint="eastAsia" w:ascii="宋体" w:hAnsi="宋体" w:eastAsia="宋体" w:cs="Times New Roman"/>
                <w:color w:val="000000"/>
                <w:kern w:val="0"/>
                <w:sz w:val="24"/>
                <w:szCs w:val="21"/>
                <w:highlight w:val="none"/>
              </w:rPr>
              <w:t>尽量避绕实验区</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394" w:type="pct"/>
            <w:vAlign w:val="center"/>
          </w:tcPr>
          <w:p>
            <w:pPr>
              <w:widowControl/>
              <w:spacing w:line="240" w:lineRule="auto"/>
              <w:ind w:firstLine="0" w:firstLineChars="0"/>
              <w:jc w:val="center"/>
              <w:outlineLvl w:val="4"/>
              <w:rPr>
                <w:rFonts w:ascii="宋体" w:hAnsi="宋体" w:eastAsia="宋体" w:cs="Times New Roman"/>
                <w:bCs/>
                <w:kern w:val="0"/>
                <w:sz w:val="24"/>
                <w:szCs w:val="21"/>
                <w:highlight w:val="none"/>
              </w:rPr>
            </w:pPr>
            <w:r>
              <w:rPr>
                <w:rFonts w:hint="eastAsia" w:ascii="宋体" w:hAnsi="宋体" w:eastAsia="宋体" w:cs="Times New Roman"/>
                <w:bCs/>
                <w:kern w:val="0"/>
                <w:sz w:val="24"/>
                <w:szCs w:val="21"/>
                <w:highlight w:val="none"/>
              </w:rPr>
              <w:t>6</w:t>
            </w:r>
          </w:p>
        </w:tc>
        <w:tc>
          <w:tcPr>
            <w:tcW w:w="1198" w:type="pct"/>
            <w:gridSpan w:val="2"/>
            <w:vAlign w:val="center"/>
          </w:tcPr>
          <w:p>
            <w:pPr>
              <w:widowControl/>
              <w:adjustRightInd w:val="0"/>
              <w:snapToGrid w:val="0"/>
              <w:spacing w:line="240" w:lineRule="auto"/>
              <w:ind w:firstLine="0" w:firstLineChars="0"/>
              <w:jc w:val="center"/>
              <w:rPr>
                <w:rFonts w:ascii="宋体" w:hAnsi="宋体" w:eastAsia="宋体" w:cs="Times New Roman"/>
                <w:color w:val="000000"/>
                <w:kern w:val="0"/>
                <w:sz w:val="24"/>
                <w:szCs w:val="21"/>
                <w:highlight w:val="none"/>
              </w:rPr>
            </w:pPr>
            <w:r>
              <w:rPr>
                <w:rFonts w:hint="eastAsia" w:ascii="宋体" w:hAnsi="宋体" w:eastAsia="宋体" w:cs="宋体"/>
                <w:color w:val="000000"/>
                <w:kern w:val="0"/>
                <w:sz w:val="22"/>
                <w:szCs w:val="24"/>
                <w:highlight w:val="none"/>
              </w:rPr>
              <w:t>青北公路（130团-123团-126团）</w:t>
            </w:r>
          </w:p>
        </w:tc>
        <w:tc>
          <w:tcPr>
            <w:tcW w:w="1629" w:type="pct"/>
            <w:vAlign w:val="center"/>
          </w:tcPr>
          <w:p>
            <w:pPr>
              <w:widowControl/>
              <w:spacing w:line="240" w:lineRule="auto"/>
              <w:ind w:firstLine="0" w:firstLineChars="0"/>
              <w:jc w:val="center"/>
              <w:rPr>
                <w:rFonts w:ascii="宋体" w:hAnsi="宋体" w:eastAsia="宋体" w:cs="Times New Roman"/>
                <w:bCs/>
                <w:kern w:val="0"/>
                <w:sz w:val="24"/>
                <w:szCs w:val="21"/>
                <w:highlight w:val="none"/>
              </w:rPr>
            </w:pPr>
            <w:r>
              <w:rPr>
                <w:rFonts w:hint="eastAsia" w:ascii="宋体" w:hAnsi="宋体" w:eastAsia="宋体" w:cs="宋体"/>
                <w:color w:val="000000"/>
                <w:kern w:val="0"/>
                <w:sz w:val="22"/>
                <w:szCs w:val="24"/>
                <w:highlight w:val="none"/>
              </w:rPr>
              <w:t>缓冲区</w:t>
            </w:r>
          </w:p>
        </w:tc>
        <w:tc>
          <w:tcPr>
            <w:tcW w:w="1779" w:type="pct"/>
            <w:vAlign w:val="center"/>
          </w:tcPr>
          <w:p>
            <w:pPr>
              <w:widowControl/>
              <w:spacing w:line="240" w:lineRule="auto"/>
              <w:ind w:firstLine="0" w:firstLineChars="0"/>
              <w:jc w:val="center"/>
              <w:rPr>
                <w:rFonts w:ascii="宋体" w:hAnsi="宋体" w:eastAsia="宋体" w:cs="Times New Roman"/>
                <w:bCs/>
                <w:kern w:val="0"/>
                <w:sz w:val="24"/>
                <w:szCs w:val="21"/>
                <w:highlight w:val="none"/>
              </w:rPr>
            </w:pPr>
            <w:r>
              <w:rPr>
                <w:rFonts w:hint="eastAsia" w:ascii="宋体" w:hAnsi="宋体" w:eastAsia="宋体" w:cs="Times New Roman"/>
                <w:color w:val="000000"/>
                <w:kern w:val="0"/>
                <w:sz w:val="24"/>
                <w:szCs w:val="21"/>
                <w:highlight w:val="none"/>
                <w:lang w:eastAsia="zh-CN"/>
              </w:rPr>
              <w:t>应</w:t>
            </w:r>
            <w:r>
              <w:rPr>
                <w:rFonts w:hint="eastAsia" w:ascii="宋体" w:hAnsi="宋体" w:eastAsia="宋体" w:cs="Times New Roman"/>
                <w:color w:val="000000"/>
                <w:kern w:val="0"/>
                <w:sz w:val="24"/>
                <w:szCs w:val="21"/>
                <w:highlight w:val="none"/>
              </w:rPr>
              <w:t>避绕自然保护区缓冲区</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5000" w:type="pct"/>
            <w:gridSpan w:val="5"/>
            <w:vAlign w:val="center"/>
          </w:tcPr>
          <w:p>
            <w:pPr>
              <w:widowControl/>
              <w:spacing w:line="240" w:lineRule="auto"/>
              <w:ind w:firstLine="0" w:firstLineChars="0"/>
              <w:jc w:val="center"/>
              <w:rPr>
                <w:rFonts w:ascii="宋体" w:hAnsi="宋体" w:eastAsia="宋体" w:cs="Times New Roman"/>
                <w:bCs/>
                <w:kern w:val="0"/>
                <w:sz w:val="24"/>
                <w:szCs w:val="21"/>
                <w:highlight w:val="none"/>
              </w:rPr>
            </w:pPr>
            <w:r>
              <w:rPr>
                <w:rFonts w:hint="eastAsia" w:ascii="宋体" w:hAnsi="宋体" w:eastAsia="宋体" w:cs="Times New Roman"/>
                <w:bCs/>
                <w:kern w:val="0"/>
                <w:sz w:val="24"/>
                <w:szCs w:val="21"/>
                <w:highlight w:val="none"/>
              </w:rPr>
              <w:t>新疆兵团第七师金丝滩国家沙漠公园</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394" w:type="pct"/>
            <w:vAlign w:val="center"/>
          </w:tcPr>
          <w:p>
            <w:pPr>
              <w:widowControl/>
              <w:spacing w:line="240" w:lineRule="auto"/>
              <w:ind w:firstLine="0" w:firstLineChars="0"/>
              <w:jc w:val="center"/>
              <w:outlineLvl w:val="4"/>
              <w:rPr>
                <w:rFonts w:ascii="宋体" w:hAnsi="宋体" w:eastAsia="宋体" w:cs="Times New Roman"/>
                <w:bCs/>
                <w:kern w:val="0"/>
                <w:sz w:val="24"/>
                <w:szCs w:val="21"/>
                <w:highlight w:val="none"/>
              </w:rPr>
            </w:pPr>
            <w:r>
              <w:rPr>
                <w:rFonts w:ascii="宋体" w:hAnsi="宋体" w:eastAsia="宋体" w:cs="Times New Roman"/>
                <w:bCs/>
                <w:kern w:val="0"/>
                <w:sz w:val="24"/>
                <w:szCs w:val="21"/>
                <w:highlight w:val="none"/>
              </w:rPr>
              <w:t>7</w:t>
            </w:r>
          </w:p>
        </w:tc>
        <w:tc>
          <w:tcPr>
            <w:tcW w:w="1198" w:type="pct"/>
            <w:gridSpan w:val="2"/>
            <w:vAlign w:val="center"/>
          </w:tcPr>
          <w:p>
            <w:pPr>
              <w:widowControl/>
              <w:spacing w:line="240" w:lineRule="auto"/>
              <w:ind w:firstLine="0" w:firstLineChars="0"/>
              <w:jc w:val="center"/>
              <w:outlineLvl w:val="4"/>
              <w:rPr>
                <w:rFonts w:ascii="宋体" w:hAnsi="宋体" w:eastAsia="宋体" w:cs="Times New Roman"/>
                <w:color w:val="000000"/>
                <w:kern w:val="0"/>
                <w:sz w:val="24"/>
                <w:szCs w:val="21"/>
                <w:highlight w:val="none"/>
              </w:rPr>
            </w:pPr>
            <w:r>
              <w:rPr>
                <w:rFonts w:hint="eastAsia" w:ascii="宋体" w:hAnsi="宋体" w:eastAsia="宋体" w:cs="宋体"/>
                <w:color w:val="000000"/>
                <w:kern w:val="0"/>
                <w:sz w:val="22"/>
                <w:szCs w:val="24"/>
                <w:highlight w:val="none"/>
              </w:rPr>
              <w:t>128团（前山镇）-124团（高泉镇）公路</w:t>
            </w:r>
          </w:p>
        </w:tc>
        <w:tc>
          <w:tcPr>
            <w:tcW w:w="1629" w:type="pct"/>
            <w:vAlign w:val="center"/>
          </w:tcPr>
          <w:p>
            <w:pPr>
              <w:widowControl/>
              <w:spacing w:line="240" w:lineRule="auto"/>
              <w:ind w:firstLine="0" w:firstLineChars="0"/>
              <w:jc w:val="center"/>
              <w:rPr>
                <w:rFonts w:ascii="宋体" w:hAnsi="宋体" w:eastAsia="宋体" w:cs="Times New Roman"/>
                <w:kern w:val="0"/>
                <w:sz w:val="24"/>
                <w:szCs w:val="20"/>
                <w:highlight w:val="none"/>
              </w:rPr>
            </w:pPr>
            <w:r>
              <w:rPr>
                <w:rFonts w:hint="eastAsia" w:ascii="宋体" w:hAnsi="宋体" w:eastAsia="宋体" w:cs="宋体"/>
                <w:kern w:val="0"/>
                <w:sz w:val="24"/>
                <w:szCs w:val="24"/>
                <w:highlight w:val="none"/>
              </w:rPr>
              <w:t>穿越生态保育区</w:t>
            </w:r>
          </w:p>
        </w:tc>
        <w:tc>
          <w:tcPr>
            <w:tcW w:w="1779" w:type="pct"/>
            <w:vAlign w:val="center"/>
          </w:tcPr>
          <w:p>
            <w:pPr>
              <w:widowControl/>
              <w:spacing w:line="240" w:lineRule="auto"/>
              <w:ind w:firstLine="0" w:firstLineChars="0"/>
              <w:jc w:val="center"/>
              <w:rPr>
                <w:rFonts w:ascii="宋体" w:hAnsi="宋体" w:eastAsia="宋体" w:cs="Times New Roman"/>
                <w:bCs/>
                <w:kern w:val="0"/>
                <w:sz w:val="24"/>
                <w:szCs w:val="21"/>
                <w:highlight w:val="none"/>
              </w:rPr>
            </w:pPr>
            <w:r>
              <w:rPr>
                <w:rFonts w:hint="eastAsia" w:ascii="宋体" w:hAnsi="宋体" w:eastAsia="宋体" w:cs="Times New Roman"/>
                <w:bCs/>
                <w:kern w:val="0"/>
                <w:sz w:val="24"/>
                <w:szCs w:val="21"/>
                <w:highlight w:val="none"/>
                <w:lang w:eastAsia="zh-CN"/>
              </w:rPr>
              <w:t>应</w:t>
            </w:r>
            <w:r>
              <w:rPr>
                <w:rFonts w:hint="eastAsia" w:ascii="宋体" w:hAnsi="宋体" w:eastAsia="宋体" w:cs="Times New Roman"/>
                <w:bCs/>
                <w:kern w:val="0"/>
                <w:sz w:val="24"/>
                <w:szCs w:val="21"/>
                <w:highlight w:val="none"/>
              </w:rPr>
              <w:t>避绕国家沙漠公园生态保育区</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5000" w:type="pct"/>
            <w:gridSpan w:val="5"/>
            <w:vAlign w:val="center"/>
          </w:tcPr>
          <w:p>
            <w:pPr>
              <w:widowControl/>
              <w:spacing w:line="240" w:lineRule="auto"/>
              <w:ind w:firstLine="0" w:firstLineChars="0"/>
              <w:jc w:val="center"/>
              <w:rPr>
                <w:rFonts w:ascii="宋体" w:hAnsi="宋体" w:eastAsia="宋体" w:cs="Times New Roman"/>
                <w:bCs/>
                <w:kern w:val="0"/>
                <w:sz w:val="24"/>
                <w:szCs w:val="21"/>
                <w:highlight w:val="none"/>
              </w:rPr>
            </w:pPr>
            <w:r>
              <w:rPr>
                <w:rFonts w:hint="eastAsia" w:ascii="宋体" w:hAnsi="宋体" w:eastAsia="宋体" w:cs="Times New Roman"/>
                <w:bCs/>
                <w:kern w:val="0"/>
                <w:sz w:val="24"/>
                <w:szCs w:val="21"/>
                <w:highlight w:val="none"/>
              </w:rPr>
              <w:t>新疆生产建设兵团胡杨河国家湿地公园</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427" w:type="pct"/>
            <w:gridSpan w:val="2"/>
            <w:vAlign w:val="center"/>
          </w:tcPr>
          <w:p>
            <w:pPr>
              <w:widowControl/>
              <w:spacing w:line="240" w:lineRule="auto"/>
              <w:ind w:firstLine="0" w:firstLineChars="0"/>
              <w:jc w:val="center"/>
              <w:rPr>
                <w:rFonts w:ascii="宋体" w:hAnsi="宋体" w:eastAsia="宋体" w:cs="Times New Roman"/>
                <w:bCs/>
                <w:kern w:val="0"/>
                <w:sz w:val="24"/>
                <w:szCs w:val="21"/>
                <w:highlight w:val="none"/>
              </w:rPr>
            </w:pPr>
            <w:r>
              <w:rPr>
                <w:rFonts w:hint="eastAsia" w:ascii="宋体" w:hAnsi="宋体" w:eastAsia="宋体" w:cs="Times New Roman"/>
                <w:bCs/>
                <w:kern w:val="0"/>
                <w:sz w:val="24"/>
                <w:szCs w:val="21"/>
                <w:highlight w:val="none"/>
              </w:rPr>
              <w:t>8</w:t>
            </w:r>
          </w:p>
        </w:tc>
        <w:tc>
          <w:tcPr>
            <w:tcW w:w="1165" w:type="pct"/>
            <w:vAlign w:val="center"/>
          </w:tcPr>
          <w:p>
            <w:pPr>
              <w:widowControl/>
              <w:spacing w:line="240" w:lineRule="auto"/>
              <w:ind w:firstLine="0" w:firstLineChars="0"/>
              <w:jc w:val="center"/>
              <w:rPr>
                <w:rFonts w:ascii="宋体" w:hAnsi="宋体" w:eastAsia="宋体" w:cs="Times New Roman"/>
                <w:bCs/>
                <w:kern w:val="0"/>
                <w:sz w:val="24"/>
                <w:szCs w:val="21"/>
                <w:highlight w:val="none"/>
              </w:rPr>
            </w:pPr>
            <w:r>
              <w:rPr>
                <w:rFonts w:hint="eastAsia" w:ascii="宋体" w:hAnsi="宋体" w:eastAsia="宋体" w:cs="宋体"/>
                <w:kern w:val="0"/>
                <w:sz w:val="24"/>
                <w:szCs w:val="24"/>
                <w:highlight w:val="none"/>
              </w:rPr>
              <w:t>胡杨河市-胡杨河旅游风景区-车排子水库旅游公路</w:t>
            </w:r>
          </w:p>
        </w:tc>
        <w:tc>
          <w:tcPr>
            <w:tcW w:w="1629" w:type="pct"/>
            <w:vAlign w:val="center"/>
          </w:tcPr>
          <w:p>
            <w:pPr>
              <w:widowControl/>
              <w:spacing w:line="240" w:lineRule="auto"/>
              <w:ind w:firstLine="0" w:firstLineChars="0"/>
              <w:jc w:val="center"/>
              <w:rPr>
                <w:rFonts w:ascii="宋体" w:hAnsi="宋体" w:eastAsia="宋体" w:cs="Times New Roman"/>
                <w:bCs/>
                <w:kern w:val="0"/>
                <w:sz w:val="24"/>
                <w:szCs w:val="21"/>
                <w:highlight w:val="none"/>
              </w:rPr>
            </w:pPr>
            <w:r>
              <w:rPr>
                <w:rFonts w:hint="eastAsia" w:ascii="宋体" w:hAnsi="宋体" w:eastAsia="宋体" w:cs="Times New Roman"/>
                <w:bCs/>
                <w:kern w:val="0"/>
                <w:sz w:val="24"/>
                <w:szCs w:val="21"/>
                <w:highlight w:val="none"/>
              </w:rPr>
              <w:t>穿越</w:t>
            </w:r>
            <w:r>
              <w:rPr>
                <w:rFonts w:hint="eastAsia" w:ascii="宋体" w:hAnsi="宋体" w:eastAsia="宋体" w:cs="宋体"/>
                <w:kern w:val="0"/>
                <w:sz w:val="24"/>
                <w:szCs w:val="24"/>
                <w:highlight w:val="none"/>
              </w:rPr>
              <w:t>生态保育区、恢复重建区</w:t>
            </w:r>
          </w:p>
        </w:tc>
        <w:tc>
          <w:tcPr>
            <w:tcW w:w="1779" w:type="pct"/>
            <w:vAlign w:val="center"/>
          </w:tcPr>
          <w:p>
            <w:pPr>
              <w:widowControl/>
              <w:spacing w:line="240" w:lineRule="auto"/>
              <w:ind w:firstLine="0" w:firstLineChars="0"/>
              <w:jc w:val="center"/>
              <w:rPr>
                <w:rFonts w:ascii="宋体" w:hAnsi="宋体" w:eastAsia="宋体" w:cs="Times New Roman"/>
                <w:bCs/>
                <w:kern w:val="0"/>
                <w:sz w:val="24"/>
                <w:szCs w:val="21"/>
                <w:highlight w:val="none"/>
              </w:rPr>
            </w:pPr>
            <w:r>
              <w:rPr>
                <w:rFonts w:hint="eastAsia" w:ascii="宋体" w:hAnsi="宋体" w:eastAsia="宋体" w:cs="Times New Roman"/>
                <w:bCs/>
                <w:kern w:val="0"/>
                <w:sz w:val="24"/>
                <w:szCs w:val="21"/>
                <w:highlight w:val="none"/>
                <w:lang w:eastAsia="zh-CN"/>
              </w:rPr>
              <w:t>应</w:t>
            </w:r>
            <w:r>
              <w:rPr>
                <w:rFonts w:hint="eastAsia" w:ascii="宋体" w:hAnsi="宋体" w:eastAsia="宋体" w:cs="Times New Roman"/>
                <w:bCs/>
                <w:kern w:val="0"/>
                <w:sz w:val="24"/>
                <w:szCs w:val="21"/>
                <w:highlight w:val="none"/>
              </w:rPr>
              <w:t>避绕国家湿地公园生态保育区、</w:t>
            </w:r>
            <w:r>
              <w:rPr>
                <w:rFonts w:hint="eastAsia" w:ascii="宋体" w:hAnsi="宋体" w:eastAsia="宋体" w:cs="Times New Roman"/>
                <w:bCs/>
                <w:kern w:val="0"/>
                <w:sz w:val="24"/>
                <w:szCs w:val="21"/>
                <w:highlight w:val="none"/>
                <w:lang w:eastAsia="zh-CN"/>
              </w:rPr>
              <w:t>避免或减少占用</w:t>
            </w:r>
            <w:r>
              <w:rPr>
                <w:rFonts w:hint="eastAsia" w:ascii="宋体" w:hAnsi="宋体" w:eastAsia="宋体" w:cs="Times New Roman"/>
                <w:bCs/>
                <w:kern w:val="0"/>
                <w:sz w:val="24"/>
                <w:szCs w:val="21"/>
                <w:highlight w:val="none"/>
              </w:rPr>
              <w:t>恢复重建区</w:t>
            </w:r>
          </w:p>
        </w:tc>
      </w:tr>
    </w:tbl>
    <w:p>
      <w:pPr>
        <w:widowControl w:val="0"/>
        <w:autoSpaceDE w:val="0"/>
        <w:autoSpaceDN w:val="0"/>
        <w:spacing w:after="156" w:afterLines="50" w:line="360" w:lineRule="auto"/>
        <w:ind w:firstLine="480" w:firstLineChars="200"/>
        <w:jc w:val="both"/>
        <w:rPr>
          <w:rFonts w:ascii="宋体" w:hAnsi="宋体" w:eastAsia="宋体" w:cs="宋体"/>
          <w:color w:val="36363D"/>
          <w:kern w:val="0"/>
          <w:sz w:val="24"/>
          <w:szCs w:val="21"/>
          <w:lang w:val="en-US" w:eastAsia="zh-CN" w:bidi="ar-SA"/>
        </w:rPr>
      </w:pPr>
    </w:p>
    <w:p>
      <w:pPr>
        <w:widowControl w:val="0"/>
        <w:spacing w:after="156" w:afterLines="50" w:line="360" w:lineRule="auto"/>
        <w:ind w:firstLine="0" w:firstLineChars="0"/>
        <w:jc w:val="both"/>
        <w:outlineLvl w:val="0"/>
        <w:rPr>
          <w:rFonts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五</w:t>
      </w:r>
      <w:r>
        <w:rPr>
          <w:rFonts w:ascii="宋体" w:hAnsi="宋体" w:eastAsia="宋体" w:cs="Times New Roman"/>
          <w:b/>
          <w:color w:val="000000"/>
          <w:kern w:val="0"/>
          <w:sz w:val="24"/>
          <w:szCs w:val="24"/>
          <w:lang w:val="en-US" w:eastAsia="zh-CN" w:bidi="ar-SA"/>
        </w:rPr>
        <w:t>、</w:t>
      </w:r>
      <w:r>
        <w:rPr>
          <w:rFonts w:hint="eastAsia" w:ascii="宋体" w:hAnsi="宋体" w:eastAsia="宋体" w:cs="Times New Roman"/>
          <w:b/>
          <w:color w:val="000000"/>
          <w:kern w:val="0"/>
          <w:sz w:val="24"/>
          <w:szCs w:val="24"/>
          <w:lang w:val="en-US" w:eastAsia="zh-CN" w:bidi="ar-SA"/>
        </w:rPr>
        <w:t>环境保护</w:t>
      </w:r>
      <w:r>
        <w:rPr>
          <w:rFonts w:ascii="宋体" w:hAnsi="宋体" w:eastAsia="宋体" w:cs="Times New Roman"/>
          <w:b/>
          <w:color w:val="000000"/>
          <w:kern w:val="0"/>
          <w:sz w:val="24"/>
          <w:szCs w:val="24"/>
          <w:lang w:val="en-US" w:eastAsia="zh-CN" w:bidi="ar-SA"/>
        </w:rPr>
        <w:t>对策</w:t>
      </w:r>
    </w:p>
    <w:p>
      <w:pPr>
        <w:widowControl w:val="0"/>
        <w:spacing w:after="156" w:afterLines="50" w:line="360" w:lineRule="auto"/>
        <w:ind w:firstLine="482" w:firstLineChars="200"/>
        <w:jc w:val="both"/>
        <w:rPr>
          <w:rFonts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1、</w:t>
      </w:r>
      <w:r>
        <w:rPr>
          <w:rFonts w:ascii="宋体" w:hAnsi="宋体" w:eastAsia="宋体" w:cs="Times New Roman"/>
          <w:b/>
          <w:color w:val="000000"/>
          <w:kern w:val="0"/>
          <w:sz w:val="24"/>
          <w:szCs w:val="24"/>
          <w:lang w:val="en-US" w:eastAsia="zh-CN" w:bidi="ar-SA"/>
        </w:rPr>
        <w:t>环境</w:t>
      </w:r>
      <w:bookmarkStart w:id="12" w:name="_Hlk60844600"/>
      <w:r>
        <w:rPr>
          <w:rFonts w:ascii="宋体" w:hAnsi="宋体" w:eastAsia="宋体" w:cs="Times New Roman"/>
          <w:b/>
          <w:color w:val="000000"/>
          <w:kern w:val="0"/>
          <w:sz w:val="24"/>
          <w:szCs w:val="24"/>
          <w:lang w:val="en-US" w:eastAsia="zh-CN" w:bidi="ar-SA"/>
        </w:rPr>
        <w:t>保护措施</w:t>
      </w:r>
      <w:bookmarkEnd w:id="12"/>
    </w:p>
    <w:p>
      <w:pPr>
        <w:widowControl w:val="0"/>
        <w:spacing w:after="156" w:afterLines="5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宋体"/>
          <w:kern w:val="2"/>
          <w:sz w:val="24"/>
          <w:szCs w:val="24"/>
          <w:lang w:val="en-US" w:eastAsia="zh-CN" w:bidi="ar-SA"/>
        </w:rPr>
        <w:t>（1）</w:t>
      </w:r>
      <w:r>
        <w:rPr>
          <w:rFonts w:ascii="Times New Roman" w:hAnsi="Times New Roman" w:eastAsia="宋体" w:cs="宋体"/>
          <w:kern w:val="2"/>
          <w:sz w:val="24"/>
          <w:szCs w:val="24"/>
          <w:lang w:val="en-US" w:eastAsia="zh-CN" w:bidi="ar-SA"/>
        </w:rPr>
        <w:t>水环境</w:t>
      </w:r>
      <w:r>
        <w:rPr>
          <w:rFonts w:hint="eastAsia" w:ascii="Times New Roman" w:hAnsi="Times New Roman" w:eastAsia="宋体" w:cs="宋体"/>
          <w:kern w:val="2"/>
          <w:sz w:val="24"/>
          <w:szCs w:val="24"/>
          <w:lang w:val="en-US" w:eastAsia="zh-CN" w:bidi="ar-SA"/>
        </w:rPr>
        <w:t>保护措施</w:t>
      </w:r>
    </w:p>
    <w:p>
      <w:pPr>
        <w:widowControl w:val="0"/>
        <w:spacing w:after="156" w:afterLines="5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水环境影响减缓措施包括注意合理选线，选线应尽量避让水源保护区、水库及河流；防治施工期水污染，加强污水处理，禁止直排污水；控制路面径流，在路面设置沉淀池、集水池等；建设公路附属设施生活污水处理。</w:t>
      </w:r>
    </w:p>
    <w:p>
      <w:pPr>
        <w:spacing w:after="156" w:afterLines="50" w:line="360" w:lineRule="auto"/>
        <w:ind w:firstLine="480" w:firstLineChars="200"/>
        <w:contextualSpacing/>
        <w:rPr>
          <w:color w:val="000000"/>
          <w:sz w:val="24"/>
          <w:szCs w:val="24"/>
        </w:rPr>
      </w:pPr>
      <w:r>
        <w:rPr>
          <w:rFonts w:hint="eastAsia"/>
          <w:color w:val="000000"/>
          <w:sz w:val="24"/>
          <w:szCs w:val="24"/>
        </w:rPr>
        <w:t>（2）</w:t>
      </w:r>
      <w:r>
        <w:rPr>
          <w:color w:val="000000"/>
          <w:sz w:val="24"/>
          <w:szCs w:val="24"/>
        </w:rPr>
        <w:t>大气环境</w:t>
      </w:r>
      <w:r>
        <w:rPr>
          <w:rFonts w:hint="eastAsia"/>
          <w:color w:val="000000"/>
          <w:sz w:val="24"/>
          <w:szCs w:val="24"/>
        </w:rPr>
        <w:t>保护措施</w:t>
      </w:r>
    </w:p>
    <w:p>
      <w:pPr>
        <w:spacing w:after="156" w:afterLines="50" w:line="360" w:lineRule="auto"/>
        <w:ind w:firstLine="480" w:firstLineChars="200"/>
        <w:rPr>
          <w:rFonts w:hint="eastAsia"/>
          <w:color w:val="000000"/>
          <w:sz w:val="24"/>
          <w:szCs w:val="24"/>
        </w:rPr>
      </w:pPr>
      <w:r>
        <w:rPr>
          <w:rFonts w:hint="eastAsia"/>
          <w:color w:val="000000"/>
          <w:sz w:val="24"/>
          <w:szCs w:val="24"/>
        </w:rPr>
        <w:t>规划的实施虽然会导致道路周边区域大气污染物浓度增高，但不会造成周边环境空气质量的明显恶化。控制重点公路建设项目的环境空气影响是减少“十二五”规划公路建设大气环境影响的关键。在规划实施过程中应严格落实项目环境影响报告书提出的各项措施建议，在大气环境敏感点附近预留防护距离并做好道路沿线绿化工作，同时应协同有关部门加强机动车尾气污染物排放综合治理以减少交通运输的大气污染物排放量。</w:t>
      </w:r>
    </w:p>
    <w:p>
      <w:pPr>
        <w:spacing w:after="156" w:afterLines="50" w:line="360" w:lineRule="auto"/>
        <w:ind w:firstLine="480" w:firstLineChars="200"/>
        <w:rPr>
          <w:color w:val="000000"/>
          <w:sz w:val="24"/>
          <w:szCs w:val="24"/>
        </w:rPr>
      </w:pPr>
      <w:r>
        <w:rPr>
          <w:rFonts w:hint="eastAsia"/>
          <w:color w:val="000000"/>
          <w:sz w:val="24"/>
          <w:szCs w:val="24"/>
        </w:rPr>
        <w:t>（3）</w:t>
      </w:r>
      <w:r>
        <w:rPr>
          <w:color w:val="000000"/>
          <w:sz w:val="24"/>
          <w:szCs w:val="24"/>
        </w:rPr>
        <w:t>声环境</w:t>
      </w:r>
      <w:r>
        <w:rPr>
          <w:rFonts w:hint="eastAsia"/>
          <w:color w:val="000000"/>
          <w:sz w:val="24"/>
          <w:szCs w:val="24"/>
        </w:rPr>
        <w:t>保护措施</w:t>
      </w:r>
    </w:p>
    <w:p>
      <w:pPr>
        <w:spacing w:after="156" w:afterLines="50" w:line="360" w:lineRule="auto"/>
        <w:ind w:firstLine="480" w:firstLineChars="200"/>
        <w:rPr>
          <w:rFonts w:hint="eastAsia"/>
          <w:color w:val="000000"/>
          <w:sz w:val="24"/>
          <w:szCs w:val="24"/>
        </w:rPr>
      </w:pPr>
      <w:r>
        <w:rPr>
          <w:rFonts w:hint="eastAsia"/>
          <w:color w:val="000000"/>
          <w:sz w:val="24"/>
          <w:szCs w:val="24"/>
        </w:rPr>
        <w:t>规划路网施工噪声和道路交通噪声对周边区域声环境质量影响较小，规划实施过程中可以达标控制距离预测结果为布线依据，做好噪声敏感点调查，在涉及噪声敏感点的路段预留出足够的空间距离，在施工期内针对夜间施工噪声加以适当防护，应基本可以满足控制声环境影响的要求。</w:t>
      </w:r>
    </w:p>
    <w:p>
      <w:pPr>
        <w:spacing w:after="156" w:afterLines="50" w:line="360" w:lineRule="auto"/>
        <w:ind w:firstLine="480" w:firstLineChars="200"/>
        <w:rPr>
          <w:color w:val="000000"/>
          <w:sz w:val="24"/>
          <w:szCs w:val="24"/>
        </w:rPr>
      </w:pPr>
      <w:r>
        <w:rPr>
          <w:rFonts w:hint="eastAsia"/>
          <w:color w:val="000000"/>
          <w:sz w:val="24"/>
          <w:szCs w:val="24"/>
        </w:rPr>
        <w:t>（4）</w:t>
      </w:r>
      <w:r>
        <w:rPr>
          <w:color w:val="000000"/>
          <w:sz w:val="24"/>
          <w:szCs w:val="24"/>
        </w:rPr>
        <w:t>固体废物</w:t>
      </w:r>
      <w:r>
        <w:rPr>
          <w:rFonts w:hint="eastAsia"/>
          <w:color w:val="000000"/>
          <w:sz w:val="24"/>
          <w:szCs w:val="24"/>
        </w:rPr>
        <w:t>收集处理措施</w:t>
      </w:r>
    </w:p>
    <w:p>
      <w:pPr>
        <w:spacing w:after="156" w:afterLines="50" w:line="360" w:lineRule="auto"/>
        <w:ind w:firstLine="480" w:firstLineChars="200"/>
        <w:rPr>
          <w:rFonts w:hint="eastAsia"/>
          <w:color w:val="000000"/>
          <w:sz w:val="24"/>
          <w:szCs w:val="24"/>
        </w:rPr>
      </w:pPr>
      <w:r>
        <w:rPr>
          <w:rFonts w:hint="eastAsia"/>
          <w:color w:val="000000"/>
          <w:sz w:val="24"/>
          <w:szCs w:val="24"/>
        </w:rPr>
        <w:t>固体废物主要包括生活垃圾和施工垃圾。对于生活垃圾必须定点收集，及时清运或处理；对于施工垃圾可回收利用的尽量回用，不能回用的应按有关规定由环卫部门统一收集处理，或送往当地划定的垃圾场填埋。</w:t>
      </w:r>
    </w:p>
    <w:p>
      <w:pPr>
        <w:spacing w:after="156" w:afterLines="50" w:line="360" w:lineRule="auto"/>
        <w:ind w:firstLine="480" w:firstLineChars="200"/>
        <w:rPr>
          <w:color w:val="000000"/>
          <w:sz w:val="24"/>
          <w:szCs w:val="24"/>
        </w:rPr>
      </w:pPr>
      <w:r>
        <w:rPr>
          <w:rFonts w:hint="eastAsia"/>
          <w:color w:val="000000"/>
          <w:sz w:val="24"/>
          <w:szCs w:val="24"/>
        </w:rPr>
        <w:t>（5）</w:t>
      </w:r>
      <w:r>
        <w:rPr>
          <w:rFonts w:hint="eastAsia"/>
          <w:color w:val="000000"/>
          <w:sz w:val="24"/>
          <w:szCs w:val="24"/>
          <w:lang w:eastAsia="zh-CN"/>
        </w:rPr>
        <w:t>生态保护</w:t>
      </w:r>
      <w:r>
        <w:rPr>
          <w:rFonts w:hint="eastAsia"/>
          <w:color w:val="000000"/>
          <w:sz w:val="24"/>
          <w:szCs w:val="24"/>
        </w:rPr>
        <w:t>措施</w:t>
      </w:r>
    </w:p>
    <w:p>
      <w:pPr>
        <w:spacing w:after="156" w:afterLines="50" w:line="360" w:lineRule="auto"/>
        <w:ind w:firstLine="480" w:firstLineChars="200"/>
        <w:rPr>
          <w:color w:val="000000"/>
          <w:sz w:val="24"/>
          <w:szCs w:val="24"/>
        </w:rPr>
      </w:pPr>
      <w:r>
        <w:rPr>
          <w:rFonts w:hint="eastAsia"/>
          <w:color w:val="000000"/>
          <w:sz w:val="24"/>
          <w:szCs w:val="24"/>
        </w:rPr>
        <w:t>根据保护地内具体对象的保护要求，采取避让、架桥等方式来减少对保护对象的影响。对取弃土场、路基边坡、施工便道以及临时营地等，应采取相应的技术措施，并逐步建立影响地形、地貌恢复等相关技术规范。</w:t>
      </w:r>
    </w:p>
    <w:p>
      <w:pPr>
        <w:widowControl w:val="0"/>
        <w:spacing w:after="156" w:afterLines="50" w:line="360" w:lineRule="auto"/>
        <w:ind w:firstLine="482" w:firstLineChars="200"/>
        <w:jc w:val="both"/>
        <w:outlineLvl w:val="0"/>
        <w:rPr>
          <w:rFonts w:ascii="宋体" w:hAnsi="宋体" w:eastAsia="宋体" w:cs="Times New Roman"/>
          <w:b/>
          <w:color w:val="000000"/>
          <w:kern w:val="0"/>
          <w:sz w:val="24"/>
          <w:szCs w:val="24"/>
          <w:lang w:val="en-US" w:eastAsia="zh-CN" w:bidi="ar-SA"/>
        </w:rPr>
      </w:pPr>
      <w:bookmarkStart w:id="13" w:name="_Toc452062296"/>
      <w:bookmarkStart w:id="14" w:name="_Toc486400705"/>
      <w:r>
        <w:rPr>
          <w:rFonts w:hint="eastAsia" w:ascii="宋体" w:hAnsi="宋体" w:eastAsia="宋体" w:cs="Times New Roman"/>
          <w:b/>
          <w:color w:val="000000"/>
          <w:kern w:val="0"/>
          <w:sz w:val="24"/>
          <w:szCs w:val="24"/>
          <w:lang w:val="en-US" w:eastAsia="zh-CN" w:bidi="ar-SA"/>
        </w:rPr>
        <w:t>六、评价总结论</w:t>
      </w:r>
      <w:bookmarkEnd w:id="13"/>
      <w:bookmarkEnd w:id="14"/>
    </w:p>
    <w:p>
      <w:pPr>
        <w:widowControl w:val="0"/>
        <w:spacing w:after="156" w:afterLines="50" w:line="360" w:lineRule="auto"/>
        <w:ind w:firstLine="480" w:firstLineChars="200"/>
        <w:jc w:val="both"/>
        <w:outlineLvl w:val="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第七师胡杨河市”十四五”综合交通运输体系发展规划》立足于七师胡杨河市经济社会、交通发展的实际需要，充分体现了生态文明理念和区域长期持续发展的基本要求，提出建设““突出重点、加快发展，内联外通、开放发展，兵地共建、融合发展，服务大局、安全发展”的综合立体交通体系。七师胡杨河市“十四五”综合交通运输体系发展规划与《第七师胡杨河市新型城镇化发展规划（2021-2035年）》等提出的发展目标和空间布局要求基本一致，规划实施能推动区域综合交通运输体系的进一步完善，也可进一步推进一带一路沿线城市化、工业化战略格局的形成。</w:t>
      </w:r>
    </w:p>
    <w:p>
      <w:pPr>
        <w:widowControl w:val="0"/>
        <w:spacing w:after="156" w:afterLines="50" w:line="360" w:lineRule="auto"/>
        <w:ind w:firstLine="480" w:firstLineChars="200"/>
        <w:jc w:val="both"/>
        <w:outlineLvl w:val="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规划实施可能会对部分区域生态环境产生影响，主要体现在资源占用、生态影响和污染排放三个方面。一是需要消耗一定的土地、通道资源，消耗能源并产生碳排放；二是可能对局部陆生和水生生态产生一定影响，特别是与部分沙漠公园、湿地公园、基本农田等环境敏感目标，以及生态保护红线存在空间冲突；三是产生的废气、污水、噪声等污染物，特别是汽车尾气产生的大气污染和危化品车辆泄露风险，如未得到妥善处理，可能对环境和人群健康带来一定损害。规划最大限度最大限度的利用现有廊道，最大程度的避免了工程影响新的生态敏感区和环境保护目标；规划重点项目部分已经纳入现有专项规划或开展了前期研究，其设计和规划已较好的考虑了生态保护和污染防治等问题。经综合论证，规划的目标、规模、布局等环境合理性较充分，资源能源消耗、生态影响和环境影响总体符合“生态保护红线、资源利用上线、环境质量底线、环境准入清单”的基本要求，重点项目安排合理。通过严格实施规划和建设项目环境影响评价制度，落实“三线一单”要求，加强交通基础设施节能环保和风险防控能力，规划实施产生的不利环境影响总体可控。在严格落实本评价提出的各项环境保护措施，集约利用资源，最大限度避让环境敏感区，严格控制环境污染的前提下，规划实施不存在重大资源环境制约因素。从环境保护角度考虑，《第七师胡杨河市”十四五”综合交通运输体系发展规划》可行。</w:t>
      </w:r>
    </w:p>
    <w:p>
      <w:pPr>
        <w:widowControl w:val="0"/>
        <w:spacing w:after="156" w:afterLines="50" w:line="360" w:lineRule="auto"/>
        <w:ind w:firstLine="480" w:firstLineChars="200"/>
        <w:jc w:val="both"/>
        <w:outlineLvl w:val="0"/>
        <w:rPr>
          <w:rFonts w:hint="eastAsia" w:ascii="Times New Roman" w:hAnsi="Times New Roman" w:eastAsia="宋体" w:cs="宋体"/>
          <w:kern w:val="2"/>
          <w:sz w:val="24"/>
          <w:szCs w:val="24"/>
          <w:lang w:val="en-US" w:eastAsia="zh-CN" w:bidi="ar-SA"/>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MDAwZTA4MTgxNjFjOTI2N2UyMThlMTMwYzlmZWQifQ=="/>
  </w:docVars>
  <w:rsids>
    <w:rsidRoot w:val="043802F2"/>
    <w:rsid w:val="043802F2"/>
    <w:rsid w:val="04543CA7"/>
    <w:rsid w:val="38BD701D"/>
    <w:rsid w:val="47156A9A"/>
    <w:rsid w:val="4EE91D9E"/>
    <w:rsid w:val="50CE2655"/>
    <w:rsid w:val="6EBA3E17"/>
    <w:rsid w:val="72730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样式1"/>
    <w:basedOn w:val="1"/>
    <w:qFormat/>
    <w:uiPriority w:val="0"/>
    <w:pPr>
      <w:widowControl/>
      <w:spacing w:after="120" w:line="360" w:lineRule="auto"/>
      <w:ind w:firstLine="480" w:firstLineChars="200"/>
    </w:pPr>
    <w:rPr>
      <w:rFonts w:cs="宋体"/>
      <w:color w:val="000000"/>
      <w:kern w:val="0"/>
      <w:sz w:val="24"/>
    </w:rPr>
  </w:style>
  <w:style w:type="paragraph" w:customStyle="1" w:styleId="7">
    <w:name w:val="样式 小四 段后: 6 磅 行距: 1.5 倍行距"/>
    <w:basedOn w:val="1"/>
    <w:qFormat/>
    <w:uiPriority w:val="0"/>
    <w:pPr>
      <w:spacing w:after="80" w:line="360" w:lineRule="auto"/>
      <w:ind w:firstLine="200" w:firstLineChars="200"/>
    </w:pPr>
    <w:rPr>
      <w:rFonts w:cs="宋体"/>
      <w:sz w:val="24"/>
    </w:rPr>
  </w:style>
  <w:style w:type="paragraph" w:customStyle="1" w:styleId="8">
    <w:name w:val="样式 报告正文 + 首行缩进:  2 字符"/>
    <w:basedOn w:val="1"/>
    <w:semiHidden/>
    <w:qFormat/>
    <w:uiPriority w:val="0"/>
    <w:pPr>
      <w:autoSpaceDE w:val="0"/>
      <w:autoSpaceDN w:val="0"/>
      <w:spacing w:line="360" w:lineRule="auto"/>
      <w:ind w:firstLine="20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9467</Words>
  <Characters>10114</Characters>
  <Lines>0</Lines>
  <Paragraphs>0</Paragraphs>
  <TotalTime>12</TotalTime>
  <ScaleCrop>false</ScaleCrop>
  <LinksUpToDate>false</LinksUpToDate>
  <CharactersWithSpaces>10117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2022-09-30T01:11:00Z</dcterms:created>
  <dc:creator>演示人</dc:creator>
  <cp:lastModifiedBy>慧</cp:lastModifiedBy>
  <dcterms:modified xsi:type="dcterms:W3CDTF">2022-09-30T05:11:35Z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C6C67851808B4BA99C9E4434B676C5AF</vt:lpwstr>
  </property>
</Properties>
</file>