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outlineLvl w:val="1"/>
        <w:rPr>
          <w:rFonts w:ascii="黑体" w:hAnsi="黑体" w:eastAsia="黑体"/>
          <w:bCs/>
          <w:szCs w:val="32"/>
        </w:rPr>
      </w:pPr>
      <w:r>
        <w:rPr>
          <w:rFonts w:hint="eastAsia" w:ascii="黑体" w:hAnsi="黑体" w:eastAsia="黑体"/>
          <w:bCs/>
          <w:szCs w:val="32"/>
        </w:rPr>
        <w:t>附件6</w:t>
      </w:r>
    </w:p>
    <w:p>
      <w:pPr>
        <w:keepNext/>
        <w:keepLines/>
        <w:spacing w:line="600" w:lineRule="exact"/>
        <w:jc w:val="center"/>
        <w:outlineLvl w:val="0"/>
        <w:rPr>
          <w:rFonts w:hint="eastAsia" w:ascii="方正小标宋简体" w:hAnsi="宋体" w:eastAsia="方正小标宋简体"/>
          <w:bCs/>
          <w:spacing w:val="-20"/>
          <w:kern w:val="44"/>
          <w:sz w:val="44"/>
          <w:szCs w:val="44"/>
        </w:rPr>
      </w:pPr>
      <w:r>
        <w:rPr>
          <w:rFonts w:hint="eastAsia" w:ascii="方正小标宋简体" w:hAnsi="宋体" w:eastAsia="方正小标宋简体"/>
          <w:bCs/>
          <w:spacing w:val="-20"/>
          <w:kern w:val="44"/>
          <w:sz w:val="44"/>
          <w:szCs w:val="44"/>
        </w:rPr>
        <w:t>群众信访举报转办和边督边改公开情况一览表</w:t>
      </w:r>
    </w:p>
    <w:p>
      <w:pPr>
        <w:wordWrap w:val="0"/>
        <w:spacing w:line="600" w:lineRule="exact"/>
        <w:jc w:val="right"/>
        <w:rPr>
          <w:rFonts w:ascii="Times New Roman" w:hAnsi="Times New Roman" w:eastAsia="华文中宋"/>
          <w:sz w:val="21"/>
          <w:szCs w:val="32"/>
        </w:rPr>
      </w:pPr>
      <w:r>
        <w:rPr>
          <w:rFonts w:ascii="Times New Roman" w:hAnsi="Times New Roman" w:eastAsia="宋体"/>
          <w:sz w:val="28"/>
          <w:szCs w:val="28"/>
        </w:rPr>
        <w:t>（第</w:t>
      </w:r>
      <w:r>
        <w:rPr>
          <w:rFonts w:hint="eastAsia" w:ascii="Times New Roman" w:hAnsi="Times New Roman" w:eastAsia="宋体"/>
          <w:sz w:val="28"/>
          <w:szCs w:val="28"/>
          <w:u w:val="single"/>
          <w:lang w:eastAsia="zh-CN"/>
        </w:rPr>
        <w:t>十一</w:t>
      </w:r>
      <w:r>
        <w:rPr>
          <w:rFonts w:ascii="Times New Roman" w:hAnsi="Times New Roman" w:eastAsia="宋体"/>
          <w:sz w:val="28"/>
          <w:szCs w:val="28"/>
          <w:u w:val="single"/>
        </w:rPr>
        <w:t xml:space="preserve"> </w:t>
      </w:r>
      <w:r>
        <w:rPr>
          <w:rFonts w:ascii="Times New Roman" w:hAnsi="Times New Roman" w:eastAsia="宋体"/>
          <w:sz w:val="28"/>
          <w:szCs w:val="28"/>
        </w:rPr>
        <w:t>批</w:t>
      </w:r>
      <w:r>
        <w:rPr>
          <w:rFonts w:ascii="Times New Roman" w:hAnsi="Times New Roman" w:eastAsia="宋体"/>
          <w:sz w:val="28"/>
          <w:szCs w:val="28"/>
          <w:u w:val="single"/>
        </w:rPr>
        <w:t xml:space="preserve"> </w:t>
      </w:r>
      <w:r>
        <w:rPr>
          <w:rFonts w:hint="eastAsia" w:ascii="Times New Roman" w:hAnsi="Times New Roman" w:eastAsia="宋体"/>
          <w:sz w:val="28"/>
          <w:szCs w:val="28"/>
          <w:u w:val="single"/>
          <w:lang w:val="en-US" w:eastAsia="zh-CN"/>
        </w:rPr>
        <w:t xml:space="preserve">2022 </w:t>
      </w:r>
      <w:r>
        <w:rPr>
          <w:rFonts w:ascii="Times New Roman" w:hAnsi="Times New Roman" w:eastAsia="宋体"/>
          <w:sz w:val="28"/>
          <w:szCs w:val="28"/>
        </w:rPr>
        <w:t>年</w:t>
      </w:r>
      <w:r>
        <w:rPr>
          <w:rFonts w:hint="eastAsia" w:ascii="Times New Roman" w:hAnsi="Times New Roman" w:eastAsia="宋体"/>
          <w:sz w:val="28"/>
          <w:szCs w:val="28"/>
          <w:u w:val="single"/>
          <w:lang w:val="en-US" w:eastAsia="zh-CN"/>
        </w:rPr>
        <w:t xml:space="preserve"> 4</w:t>
      </w:r>
      <w:r>
        <w:rPr>
          <w:rFonts w:ascii="Times New Roman" w:hAnsi="Times New Roman" w:eastAsia="宋体"/>
          <w:sz w:val="28"/>
          <w:szCs w:val="28"/>
        </w:rPr>
        <w:t>月</w:t>
      </w:r>
      <w:r>
        <w:rPr>
          <w:rFonts w:hint="eastAsia" w:ascii="Times New Roman" w:hAnsi="Times New Roman" w:eastAsia="宋体"/>
          <w:sz w:val="28"/>
          <w:szCs w:val="28"/>
          <w:u w:val="single"/>
          <w:lang w:val="en-US" w:eastAsia="zh-CN"/>
        </w:rPr>
        <w:t xml:space="preserve"> 10</w:t>
      </w:r>
      <w:r>
        <w:rPr>
          <w:rFonts w:ascii="Times New Roman" w:hAnsi="Times New Roman" w:eastAsia="宋体"/>
          <w:sz w:val="28"/>
          <w:szCs w:val="28"/>
        </w:rPr>
        <w:t>日）</w:t>
      </w:r>
    </w:p>
    <w:tbl>
      <w:tblPr>
        <w:tblStyle w:val="4"/>
        <w:tblW w:w="154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0"/>
        <w:gridCol w:w="1134"/>
        <w:gridCol w:w="2268"/>
        <w:gridCol w:w="1134"/>
        <w:gridCol w:w="1276"/>
        <w:gridCol w:w="2587"/>
        <w:gridCol w:w="1125"/>
        <w:gridCol w:w="2040"/>
        <w:gridCol w:w="1598"/>
        <w:gridCol w:w="159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10" w:type="dxa"/>
            <w:vAlign w:val="center"/>
          </w:tcPr>
          <w:p>
            <w:pPr>
              <w:spacing w:line="400" w:lineRule="exact"/>
              <w:jc w:val="center"/>
              <w:rPr>
                <w:rFonts w:ascii="宋体" w:hAnsi="宋体" w:eastAsia="宋体"/>
                <w:b/>
                <w:sz w:val="21"/>
                <w:szCs w:val="21"/>
              </w:rPr>
            </w:pPr>
            <w:r>
              <w:rPr>
                <w:rFonts w:ascii="宋体" w:hAnsi="宋体" w:eastAsia="宋体"/>
                <w:b/>
                <w:sz w:val="21"/>
                <w:szCs w:val="21"/>
              </w:rPr>
              <w:t>序号</w:t>
            </w:r>
          </w:p>
        </w:tc>
        <w:tc>
          <w:tcPr>
            <w:tcW w:w="1134" w:type="dxa"/>
            <w:vAlign w:val="center"/>
          </w:tcPr>
          <w:p>
            <w:pPr>
              <w:spacing w:line="400" w:lineRule="exact"/>
              <w:jc w:val="center"/>
              <w:rPr>
                <w:rFonts w:ascii="宋体" w:hAnsi="宋体" w:eastAsia="宋体"/>
                <w:b/>
                <w:sz w:val="21"/>
                <w:szCs w:val="21"/>
              </w:rPr>
            </w:pPr>
            <w:r>
              <w:rPr>
                <w:rFonts w:ascii="宋体" w:hAnsi="宋体" w:eastAsia="宋体"/>
                <w:b/>
                <w:sz w:val="21"/>
                <w:szCs w:val="21"/>
              </w:rPr>
              <w:t>受理编号</w:t>
            </w:r>
          </w:p>
        </w:tc>
        <w:tc>
          <w:tcPr>
            <w:tcW w:w="2268" w:type="dxa"/>
            <w:vAlign w:val="center"/>
          </w:tcPr>
          <w:p>
            <w:pPr>
              <w:spacing w:line="400" w:lineRule="exact"/>
              <w:jc w:val="center"/>
              <w:rPr>
                <w:rFonts w:ascii="宋体" w:hAnsi="宋体" w:eastAsia="宋体"/>
                <w:b/>
                <w:sz w:val="21"/>
                <w:szCs w:val="21"/>
              </w:rPr>
            </w:pPr>
            <w:r>
              <w:rPr>
                <w:rFonts w:ascii="宋体" w:hAnsi="宋体" w:eastAsia="宋体"/>
                <w:b/>
                <w:sz w:val="21"/>
                <w:szCs w:val="21"/>
              </w:rPr>
              <w:t>交办问题基本情况</w:t>
            </w:r>
          </w:p>
        </w:tc>
        <w:tc>
          <w:tcPr>
            <w:tcW w:w="1134" w:type="dxa"/>
            <w:vAlign w:val="center"/>
          </w:tcPr>
          <w:p>
            <w:pPr>
              <w:spacing w:line="400" w:lineRule="exact"/>
              <w:jc w:val="center"/>
              <w:rPr>
                <w:rFonts w:ascii="宋体" w:hAnsi="宋体" w:eastAsia="宋体"/>
                <w:b/>
                <w:sz w:val="21"/>
                <w:szCs w:val="21"/>
              </w:rPr>
            </w:pPr>
            <w:r>
              <w:rPr>
                <w:rFonts w:ascii="宋体" w:hAnsi="宋体" w:eastAsia="宋体"/>
                <w:b/>
                <w:sz w:val="21"/>
                <w:szCs w:val="21"/>
              </w:rPr>
              <w:t>行政区域</w:t>
            </w:r>
          </w:p>
        </w:tc>
        <w:tc>
          <w:tcPr>
            <w:tcW w:w="1276" w:type="dxa"/>
            <w:vAlign w:val="center"/>
          </w:tcPr>
          <w:p>
            <w:pPr>
              <w:spacing w:line="400" w:lineRule="exact"/>
              <w:jc w:val="center"/>
              <w:rPr>
                <w:rFonts w:ascii="宋体" w:hAnsi="宋体" w:eastAsia="宋体"/>
                <w:b/>
                <w:sz w:val="21"/>
                <w:szCs w:val="21"/>
              </w:rPr>
            </w:pPr>
            <w:r>
              <w:rPr>
                <w:rFonts w:ascii="宋体" w:hAnsi="宋体" w:eastAsia="宋体"/>
                <w:b/>
                <w:sz w:val="21"/>
                <w:szCs w:val="21"/>
              </w:rPr>
              <w:t>污染类型</w:t>
            </w:r>
          </w:p>
        </w:tc>
        <w:tc>
          <w:tcPr>
            <w:tcW w:w="2587" w:type="dxa"/>
            <w:vAlign w:val="center"/>
          </w:tcPr>
          <w:p>
            <w:pPr>
              <w:spacing w:line="400" w:lineRule="exact"/>
              <w:jc w:val="center"/>
              <w:rPr>
                <w:rFonts w:ascii="宋体" w:hAnsi="宋体" w:eastAsia="宋体"/>
                <w:b/>
                <w:sz w:val="21"/>
                <w:szCs w:val="21"/>
              </w:rPr>
            </w:pPr>
            <w:r>
              <w:rPr>
                <w:rFonts w:ascii="宋体" w:hAnsi="宋体" w:eastAsia="宋体"/>
                <w:b/>
                <w:sz w:val="21"/>
                <w:szCs w:val="21"/>
              </w:rPr>
              <w:t>调查核实情况</w:t>
            </w:r>
          </w:p>
        </w:tc>
        <w:tc>
          <w:tcPr>
            <w:tcW w:w="1125" w:type="dxa"/>
            <w:vAlign w:val="center"/>
          </w:tcPr>
          <w:p>
            <w:pPr>
              <w:spacing w:line="400" w:lineRule="exact"/>
              <w:jc w:val="center"/>
              <w:rPr>
                <w:rFonts w:ascii="宋体" w:hAnsi="宋体" w:eastAsia="宋体"/>
                <w:b/>
                <w:sz w:val="21"/>
                <w:szCs w:val="21"/>
              </w:rPr>
            </w:pPr>
            <w:r>
              <w:rPr>
                <w:rFonts w:ascii="宋体" w:hAnsi="宋体" w:eastAsia="宋体"/>
                <w:b/>
                <w:sz w:val="21"/>
                <w:szCs w:val="21"/>
              </w:rPr>
              <w:t>是否属实</w:t>
            </w:r>
          </w:p>
        </w:tc>
        <w:tc>
          <w:tcPr>
            <w:tcW w:w="2040" w:type="dxa"/>
            <w:vAlign w:val="center"/>
          </w:tcPr>
          <w:p>
            <w:pPr>
              <w:spacing w:line="400" w:lineRule="exact"/>
              <w:jc w:val="center"/>
              <w:rPr>
                <w:rFonts w:ascii="宋体" w:hAnsi="宋体" w:eastAsia="宋体"/>
                <w:b/>
                <w:sz w:val="21"/>
                <w:szCs w:val="21"/>
              </w:rPr>
            </w:pPr>
            <w:r>
              <w:rPr>
                <w:rFonts w:ascii="宋体" w:hAnsi="宋体" w:eastAsia="宋体"/>
                <w:b/>
                <w:sz w:val="21"/>
                <w:szCs w:val="21"/>
              </w:rPr>
              <w:t>处理和整改情况</w:t>
            </w:r>
          </w:p>
        </w:tc>
        <w:tc>
          <w:tcPr>
            <w:tcW w:w="1598" w:type="dxa"/>
            <w:vAlign w:val="center"/>
          </w:tcPr>
          <w:p>
            <w:pPr>
              <w:spacing w:line="400" w:lineRule="exact"/>
              <w:jc w:val="center"/>
              <w:rPr>
                <w:rFonts w:ascii="宋体" w:hAnsi="宋体" w:eastAsia="宋体"/>
                <w:b/>
                <w:sz w:val="21"/>
                <w:szCs w:val="21"/>
              </w:rPr>
            </w:pPr>
            <w:r>
              <w:rPr>
                <w:rFonts w:hint="eastAsia" w:ascii="宋体" w:hAnsi="宋体" w:eastAsia="宋体"/>
                <w:b/>
                <w:sz w:val="21"/>
                <w:szCs w:val="21"/>
              </w:rPr>
              <w:t>是否办结</w:t>
            </w:r>
          </w:p>
        </w:tc>
        <w:tc>
          <w:tcPr>
            <w:tcW w:w="1598" w:type="dxa"/>
            <w:vAlign w:val="center"/>
          </w:tcPr>
          <w:p>
            <w:pPr>
              <w:spacing w:line="400" w:lineRule="exact"/>
              <w:jc w:val="center"/>
              <w:rPr>
                <w:rFonts w:ascii="宋体" w:hAnsi="宋体" w:eastAsia="宋体"/>
                <w:b/>
                <w:sz w:val="21"/>
                <w:szCs w:val="21"/>
              </w:rPr>
            </w:pPr>
            <w:r>
              <w:rPr>
                <w:rFonts w:ascii="宋体" w:hAnsi="宋体" w:eastAsia="宋体"/>
                <w:b/>
                <w:sz w:val="21"/>
                <w:szCs w:val="21"/>
              </w:rPr>
              <w:t>责任人被处理情况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jc w:val="center"/>
        </w:trPr>
        <w:tc>
          <w:tcPr>
            <w:tcW w:w="710" w:type="dxa"/>
            <w:vAlign w:val="center"/>
          </w:tcPr>
          <w:p>
            <w:pPr>
              <w:spacing w:line="400" w:lineRule="exact"/>
              <w:jc w:val="center"/>
              <w:rPr>
                <w:rFonts w:ascii="宋体" w:hAnsi="宋体" w:eastAsia="宋体"/>
                <w:sz w:val="21"/>
                <w:szCs w:val="21"/>
              </w:rPr>
            </w:pPr>
            <w:r>
              <w:rPr>
                <w:rFonts w:ascii="宋体" w:hAnsi="宋体" w:eastAsia="宋体"/>
                <w:sz w:val="21"/>
                <w:szCs w:val="21"/>
              </w:rPr>
              <w:t>1</w:t>
            </w:r>
          </w:p>
        </w:tc>
        <w:tc>
          <w:tcPr>
            <w:tcW w:w="1134" w:type="dxa"/>
            <w:vAlign w:val="center"/>
          </w:tcPr>
          <w:p>
            <w:pPr>
              <w:spacing w:line="400" w:lineRule="exact"/>
              <w:jc w:val="center"/>
              <w:rPr>
                <w:rFonts w:ascii="宋体" w:hAnsi="宋体" w:eastAsia="宋体"/>
                <w:sz w:val="21"/>
                <w:szCs w:val="21"/>
              </w:rPr>
            </w:pPr>
            <w:r>
              <w:rPr>
                <w:rFonts w:hint="eastAsia" w:ascii="宋体" w:hAnsi="宋体" w:eastAsia="宋体"/>
                <w:sz w:val="21"/>
                <w:szCs w:val="21"/>
              </w:rPr>
              <w:t>X2XJ202204050001</w:t>
            </w:r>
          </w:p>
        </w:tc>
        <w:tc>
          <w:tcPr>
            <w:tcW w:w="2268"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both"/>
              <w:textAlignment w:val="auto"/>
              <w:rPr>
                <w:rFonts w:ascii="宋体" w:hAnsi="宋体" w:eastAsia="宋体"/>
                <w:sz w:val="18"/>
                <w:szCs w:val="18"/>
              </w:rPr>
            </w:pPr>
            <w:r>
              <w:rPr>
                <w:rFonts w:hint="eastAsia" w:ascii="宋体" w:hAnsi="宋体" w:eastAsia="宋体"/>
                <w:sz w:val="18"/>
                <w:szCs w:val="18"/>
              </w:rPr>
              <w:t>克拉玛依疆润化工材料有限公司，生产污水通过渗透地下的方法违法偷排，污染土壤和地下水；加工过程中的强酸废水没有经过污水处理设施，部分废水用车辆偷运到别处倾倒；生产过程中产生的刺鼻气味几公里外都能闻到；生产后产生的废水含有大量硫酸银，工厂污水处理工艺不能达到国家标准，无法有效处置。</w:t>
            </w:r>
          </w:p>
        </w:tc>
        <w:tc>
          <w:tcPr>
            <w:tcW w:w="1134"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center"/>
              <w:textAlignment w:val="auto"/>
              <w:rPr>
                <w:rFonts w:hint="eastAsia" w:ascii="宋体" w:hAnsi="宋体" w:eastAsia="宋体"/>
                <w:sz w:val="18"/>
                <w:szCs w:val="18"/>
                <w:lang w:eastAsia="zh-CN"/>
              </w:rPr>
            </w:pPr>
            <w:r>
              <w:rPr>
                <w:rFonts w:hint="eastAsia" w:ascii="宋体" w:hAnsi="宋体" w:eastAsia="宋体"/>
                <w:sz w:val="18"/>
                <w:szCs w:val="18"/>
                <w:lang w:eastAsia="zh-CN"/>
              </w:rPr>
              <w:t>胡杨河经开区</w:t>
            </w:r>
          </w:p>
        </w:tc>
        <w:tc>
          <w:tcPr>
            <w:tcW w:w="1276"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center"/>
              <w:textAlignment w:val="auto"/>
              <w:rPr>
                <w:rFonts w:hint="eastAsia" w:ascii="宋体" w:hAnsi="宋体" w:eastAsia="宋体"/>
                <w:sz w:val="18"/>
                <w:szCs w:val="18"/>
                <w:lang w:eastAsia="zh-CN"/>
              </w:rPr>
            </w:pPr>
            <w:r>
              <w:rPr>
                <w:rFonts w:hint="eastAsia" w:ascii="宋体" w:hAnsi="宋体" w:eastAsia="宋体"/>
                <w:sz w:val="18"/>
                <w:szCs w:val="18"/>
                <w:lang w:eastAsia="zh-CN"/>
              </w:rPr>
              <w:t>水</w:t>
            </w:r>
          </w:p>
        </w:tc>
        <w:tc>
          <w:tcPr>
            <w:tcW w:w="2587"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both"/>
              <w:textAlignment w:val="auto"/>
              <w:rPr>
                <w:rFonts w:ascii="宋体" w:hAnsi="宋体" w:eastAsia="宋体"/>
                <w:sz w:val="18"/>
                <w:szCs w:val="18"/>
              </w:rPr>
            </w:pPr>
            <w:r>
              <w:rPr>
                <w:rFonts w:hint="eastAsia" w:ascii="宋体" w:hAnsi="宋体" w:eastAsia="宋体"/>
                <w:sz w:val="18"/>
                <w:szCs w:val="18"/>
              </w:rPr>
              <w:t>经核实：一是经现场调查厂区现状，未发现私设深井和其他渗坑等方式排放污水的情况；二是由于该公司污水处理设施尚未建成，故试生产期间产生的废水临时贮存在了隔油池中没有处理，且未发现罐车运送含酸废水的情况。三是企业建设的各项废气处理设施均与环评及批复要求一致，2021年净化车间改造后，去除异味效果明显。四是该企业生产工艺原料不涉含银物质，废水里不含有硫酸银，已建设的污水处理站的处理工艺与批复要求一致，但还未正式投入使用，因此废水暂时储存在厂区内污水处理工段的3座隔油池、1座混合池内。</w:t>
            </w: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center"/>
              <w:textAlignment w:val="auto"/>
              <w:rPr>
                <w:rFonts w:hint="eastAsia" w:ascii="宋体" w:hAnsi="宋体" w:eastAsia="宋体"/>
                <w:sz w:val="18"/>
                <w:szCs w:val="18"/>
                <w:lang w:eastAsia="zh-CN"/>
              </w:rPr>
            </w:pPr>
            <w:r>
              <w:rPr>
                <w:rFonts w:hint="eastAsia" w:ascii="宋体" w:hAnsi="宋体" w:eastAsia="宋体"/>
                <w:sz w:val="18"/>
                <w:szCs w:val="18"/>
                <w:lang w:eastAsia="zh-CN"/>
              </w:rPr>
              <w:t>部分属实</w:t>
            </w:r>
          </w:p>
        </w:tc>
        <w:tc>
          <w:tcPr>
            <w:tcW w:w="2040"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both"/>
              <w:textAlignment w:val="auto"/>
              <w:rPr>
                <w:rFonts w:ascii="宋体" w:hAnsi="宋体" w:eastAsia="宋体"/>
                <w:sz w:val="18"/>
                <w:szCs w:val="18"/>
              </w:rPr>
            </w:pPr>
            <w:r>
              <w:rPr>
                <w:rFonts w:hint="eastAsia" w:ascii="宋体" w:hAnsi="宋体" w:eastAsia="宋体"/>
                <w:sz w:val="18"/>
                <w:szCs w:val="18"/>
              </w:rPr>
              <w:t>一是待污水处理站完全建成投运后，实测废水处理达标情况。二是该公司存在违反建设项目环保“三同时”的行为，第七师生态环境局已立案调查，责令克拉玛依疆润化工材料有限公司改正违法行为，拟罚款25万元，正在履行行政处罚程序。</w:t>
            </w:r>
          </w:p>
        </w:tc>
        <w:tc>
          <w:tcPr>
            <w:tcW w:w="1598"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center"/>
              <w:textAlignment w:val="auto"/>
              <w:rPr>
                <w:rFonts w:hint="eastAsia" w:ascii="宋体" w:hAnsi="宋体" w:eastAsia="宋体"/>
                <w:sz w:val="18"/>
                <w:szCs w:val="18"/>
                <w:lang w:eastAsia="zh-CN"/>
              </w:rPr>
            </w:pPr>
            <w:r>
              <w:rPr>
                <w:rFonts w:hint="eastAsia" w:ascii="宋体" w:hAnsi="宋体" w:eastAsia="宋体"/>
                <w:sz w:val="18"/>
                <w:szCs w:val="18"/>
                <w:lang w:eastAsia="zh-CN"/>
              </w:rPr>
              <w:t>已办结</w:t>
            </w:r>
          </w:p>
        </w:tc>
        <w:tc>
          <w:tcPr>
            <w:tcW w:w="1598"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center"/>
              <w:textAlignment w:val="auto"/>
              <w:rPr>
                <w:rFonts w:hint="eastAsia" w:ascii="宋体" w:hAnsi="宋体" w:eastAsia="宋体"/>
                <w:sz w:val="18"/>
                <w:szCs w:val="18"/>
                <w:lang w:eastAsia="zh-CN"/>
              </w:rPr>
            </w:pPr>
            <w:r>
              <w:rPr>
                <w:rFonts w:hint="eastAsia" w:ascii="宋体" w:hAnsi="宋体" w:eastAsia="宋体"/>
                <w:sz w:val="18"/>
                <w:szCs w:val="18"/>
                <w:lang w:eastAsia="zh-CN"/>
              </w:rPr>
              <w:t>无</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0" w:hRule="atLeast"/>
          <w:jc w:val="center"/>
        </w:trPr>
        <w:tc>
          <w:tcPr>
            <w:tcW w:w="710" w:type="dxa"/>
            <w:vAlign w:val="center"/>
          </w:tcPr>
          <w:p>
            <w:pPr>
              <w:keepNext w:val="0"/>
              <w:keepLines w:val="0"/>
              <w:pageBreakBefore w:val="0"/>
              <w:kinsoku/>
              <w:wordWrap/>
              <w:overflowPunct/>
              <w:topLinePunct w:val="0"/>
              <w:autoSpaceDE/>
              <w:autoSpaceDN/>
              <w:bidi w:val="0"/>
              <w:adjustRightInd/>
              <w:snapToGrid/>
              <w:spacing w:line="160" w:lineRule="atLeast"/>
              <w:jc w:val="center"/>
              <w:rPr>
                <w:rFonts w:ascii="宋体" w:hAnsi="宋体" w:eastAsia="宋体"/>
                <w:sz w:val="18"/>
                <w:szCs w:val="18"/>
              </w:rPr>
            </w:pPr>
            <w:r>
              <w:rPr>
                <w:rFonts w:ascii="宋体" w:hAnsi="宋体" w:eastAsia="宋体"/>
                <w:sz w:val="18"/>
                <w:szCs w:val="18"/>
              </w:rPr>
              <w:t>2</w:t>
            </w:r>
          </w:p>
        </w:tc>
        <w:tc>
          <w:tcPr>
            <w:tcW w:w="1134" w:type="dxa"/>
            <w:vAlign w:val="center"/>
          </w:tcPr>
          <w:p>
            <w:pPr>
              <w:keepNext w:val="0"/>
              <w:keepLines w:val="0"/>
              <w:pageBreakBefore w:val="0"/>
              <w:widowControl/>
              <w:suppressLineNumbers w:val="0"/>
              <w:kinsoku/>
              <w:wordWrap/>
              <w:overflowPunct/>
              <w:topLinePunct w:val="0"/>
              <w:autoSpaceDE/>
              <w:autoSpaceDN/>
              <w:bidi w:val="0"/>
              <w:adjustRightInd/>
              <w:snapToGrid/>
              <w:spacing w:line="160" w:lineRule="atLeast"/>
              <w:jc w:val="center"/>
              <w:textAlignment w:val="center"/>
              <w:rPr>
                <w:rFonts w:ascii="Arial" w:hAnsi="Arial" w:eastAsia="宋体" w:cs="Arial"/>
                <w:i w:val="0"/>
                <w:iCs w:val="0"/>
                <w:color w:val="000000"/>
                <w:kern w:val="2"/>
                <w:sz w:val="18"/>
                <w:szCs w:val="18"/>
                <w:u w:val="none"/>
                <w:lang w:val="en-US" w:eastAsia="zh-CN" w:bidi="ar-SA"/>
              </w:rPr>
            </w:pPr>
            <w:r>
              <w:rPr>
                <w:rFonts w:hint="default" w:ascii="Arial" w:hAnsi="Arial" w:eastAsia="宋体" w:cs="Arial"/>
                <w:i w:val="0"/>
                <w:iCs w:val="0"/>
                <w:color w:val="000000"/>
                <w:kern w:val="0"/>
                <w:sz w:val="18"/>
                <w:szCs w:val="18"/>
                <w:u w:val="none"/>
                <w:lang w:val="en-US" w:eastAsia="zh-CN" w:bidi="ar"/>
              </w:rPr>
              <w:t>X2XJ20220405000</w:t>
            </w:r>
            <w:r>
              <w:rPr>
                <w:rFonts w:hint="eastAsia" w:ascii="Arial" w:hAnsi="Arial" w:eastAsia="宋体" w:cs="Arial"/>
                <w:i w:val="0"/>
                <w:iCs w:val="0"/>
                <w:color w:val="000000"/>
                <w:kern w:val="0"/>
                <w:sz w:val="18"/>
                <w:szCs w:val="18"/>
                <w:u w:val="none"/>
                <w:lang w:val="en-US" w:eastAsia="zh-CN" w:bidi="ar"/>
              </w:rPr>
              <w:t>2</w:t>
            </w:r>
          </w:p>
        </w:tc>
        <w:tc>
          <w:tcPr>
            <w:tcW w:w="2268" w:type="dxa"/>
            <w:vAlign w:val="center"/>
          </w:tcPr>
          <w:p>
            <w:pPr>
              <w:keepNext w:val="0"/>
              <w:keepLines w:val="0"/>
              <w:pageBreakBefore w:val="0"/>
              <w:widowControl w:val="0"/>
              <w:kinsoku/>
              <w:wordWrap/>
              <w:overflowPunct/>
              <w:topLinePunct w:val="0"/>
              <w:autoSpaceDE/>
              <w:autoSpaceDN/>
              <w:bidi w:val="0"/>
              <w:adjustRightInd/>
              <w:snapToGrid/>
              <w:spacing w:line="160" w:lineRule="atLeast"/>
              <w:jc w:val="both"/>
              <w:textAlignment w:val="auto"/>
              <w:rPr>
                <w:rFonts w:ascii="宋体" w:hAnsi="宋体" w:eastAsia="宋体"/>
                <w:sz w:val="18"/>
                <w:szCs w:val="18"/>
              </w:rPr>
            </w:pPr>
            <w:r>
              <w:rPr>
                <w:rFonts w:hint="eastAsia" w:ascii="宋体" w:hAnsi="宋体" w:eastAsia="宋体"/>
                <w:sz w:val="18"/>
                <w:szCs w:val="18"/>
              </w:rPr>
              <w:t>五五工业园污水处理厂得不到五五工业园区管委会的支持，工作停滞且混乱，遇到上级部门检查时才会以罚代管，今年已罚款上百万。</w:t>
            </w:r>
          </w:p>
        </w:tc>
        <w:tc>
          <w:tcPr>
            <w:tcW w:w="1134" w:type="dxa"/>
            <w:vAlign w:val="center"/>
          </w:tcPr>
          <w:p>
            <w:pPr>
              <w:keepNext w:val="0"/>
              <w:keepLines w:val="0"/>
              <w:pageBreakBefore w:val="0"/>
              <w:kinsoku/>
              <w:wordWrap/>
              <w:overflowPunct/>
              <w:topLinePunct w:val="0"/>
              <w:autoSpaceDE/>
              <w:autoSpaceDN/>
              <w:bidi w:val="0"/>
              <w:adjustRightInd/>
              <w:snapToGrid/>
              <w:spacing w:line="160" w:lineRule="atLeast"/>
              <w:jc w:val="center"/>
              <w:rPr>
                <w:rFonts w:ascii="宋体" w:hAnsi="宋体" w:eastAsia="宋体"/>
                <w:sz w:val="18"/>
                <w:szCs w:val="18"/>
              </w:rPr>
            </w:pPr>
            <w:r>
              <w:rPr>
                <w:rFonts w:hint="eastAsia" w:ascii="宋体" w:hAnsi="宋体" w:eastAsia="宋体"/>
                <w:sz w:val="18"/>
                <w:szCs w:val="18"/>
                <w:lang w:eastAsia="zh-CN"/>
              </w:rPr>
              <w:t>胡杨河经开区</w:t>
            </w:r>
          </w:p>
        </w:tc>
        <w:tc>
          <w:tcPr>
            <w:tcW w:w="1276" w:type="dxa"/>
            <w:vAlign w:val="center"/>
          </w:tcPr>
          <w:p>
            <w:pPr>
              <w:keepNext w:val="0"/>
              <w:keepLines w:val="0"/>
              <w:pageBreakBefore w:val="0"/>
              <w:kinsoku/>
              <w:wordWrap/>
              <w:overflowPunct/>
              <w:topLinePunct w:val="0"/>
              <w:autoSpaceDE/>
              <w:autoSpaceDN/>
              <w:bidi w:val="0"/>
              <w:adjustRightInd/>
              <w:snapToGrid/>
              <w:spacing w:line="160" w:lineRule="atLeast"/>
              <w:jc w:val="center"/>
              <w:rPr>
                <w:rFonts w:hint="eastAsia" w:ascii="宋体" w:hAnsi="宋体" w:eastAsia="宋体"/>
                <w:sz w:val="18"/>
                <w:szCs w:val="18"/>
                <w:lang w:eastAsia="zh-CN"/>
              </w:rPr>
            </w:pPr>
            <w:r>
              <w:rPr>
                <w:rFonts w:hint="eastAsia" w:ascii="宋体" w:hAnsi="宋体" w:eastAsia="宋体"/>
                <w:sz w:val="18"/>
                <w:szCs w:val="18"/>
                <w:lang w:eastAsia="zh-CN"/>
              </w:rPr>
              <w:t>其他污染</w:t>
            </w:r>
          </w:p>
        </w:tc>
        <w:tc>
          <w:tcPr>
            <w:tcW w:w="2587" w:type="dxa"/>
            <w:vAlign w:val="center"/>
          </w:tcPr>
          <w:p>
            <w:pPr>
              <w:keepNext w:val="0"/>
              <w:keepLines w:val="0"/>
              <w:pageBreakBefore w:val="0"/>
              <w:kinsoku/>
              <w:wordWrap/>
              <w:overflowPunct/>
              <w:topLinePunct w:val="0"/>
              <w:autoSpaceDE/>
              <w:autoSpaceDN/>
              <w:bidi w:val="0"/>
              <w:adjustRightInd/>
              <w:snapToGrid/>
              <w:spacing w:line="160" w:lineRule="atLeast"/>
              <w:jc w:val="both"/>
              <w:rPr>
                <w:rFonts w:ascii="宋体" w:hAnsi="宋体" w:eastAsia="宋体"/>
                <w:sz w:val="18"/>
                <w:szCs w:val="18"/>
              </w:rPr>
            </w:pPr>
            <w:r>
              <w:rPr>
                <w:rFonts w:hint="eastAsia" w:ascii="宋体" w:hAnsi="宋体" w:eastAsia="宋体"/>
                <w:sz w:val="18"/>
                <w:szCs w:val="18"/>
              </w:rPr>
              <w:t>经核实：一是胡杨河经开区为确保污水处理厂正常运行，累计投入1150万元，并就克拉玛依浩瑞水务有限公司目前运行存在的问题、后续商业运营、费用结算等事宜多次召开专题会议。二是未按照可研批复内容建设预处理调节池，企业人员流动性大和内部管理混乱等问题，实际污水处理能力远低于设计处理能力。三是胡杨河经开区对其存在的各类环境问题不定期开展检查及问题帮扶指导工作，多次聘请环保专家一对一对帮扶指导企业整改隐患问题，2022年以来师市生态环境局先后两次对克拉玛依浩瑞水务有限公司关于废水超标排放违法问题进行调查处理，并给予行政处罚。</w:t>
            </w:r>
          </w:p>
        </w:tc>
        <w:tc>
          <w:tcPr>
            <w:tcW w:w="1125" w:type="dxa"/>
            <w:vAlign w:val="center"/>
          </w:tcPr>
          <w:p>
            <w:pPr>
              <w:spacing w:line="400" w:lineRule="exact"/>
              <w:jc w:val="center"/>
              <w:rPr>
                <w:rFonts w:hint="eastAsia" w:ascii="宋体" w:hAnsi="宋体" w:eastAsia="宋体"/>
                <w:sz w:val="18"/>
                <w:szCs w:val="18"/>
                <w:lang w:eastAsia="zh-CN"/>
              </w:rPr>
            </w:pPr>
            <w:r>
              <w:rPr>
                <w:rFonts w:hint="eastAsia" w:ascii="宋体" w:hAnsi="宋体" w:eastAsia="宋体"/>
                <w:sz w:val="18"/>
                <w:szCs w:val="18"/>
                <w:lang w:eastAsia="zh-CN"/>
              </w:rPr>
              <w:t>部分属实</w:t>
            </w:r>
          </w:p>
        </w:tc>
        <w:tc>
          <w:tcPr>
            <w:tcW w:w="2040" w:type="dxa"/>
            <w:vAlign w:val="center"/>
          </w:tcPr>
          <w:p>
            <w:pPr>
              <w:spacing w:line="400" w:lineRule="exact"/>
              <w:jc w:val="both"/>
              <w:rPr>
                <w:rFonts w:ascii="宋体" w:hAnsi="宋体" w:eastAsia="宋体"/>
                <w:sz w:val="18"/>
                <w:szCs w:val="18"/>
              </w:rPr>
            </w:pPr>
            <w:r>
              <w:rPr>
                <w:rFonts w:hint="eastAsia" w:ascii="宋体" w:hAnsi="宋体" w:eastAsia="宋体"/>
                <w:sz w:val="18"/>
                <w:szCs w:val="18"/>
              </w:rPr>
              <w:t>胡杨河经济技术开发区管委会尽最大努力支持污水处理厂正常运行，并与云南水务密切协调沟通，共同梳理并及时解决污水处理厂在运营过程中存在的问题。</w:t>
            </w:r>
          </w:p>
        </w:tc>
        <w:tc>
          <w:tcPr>
            <w:tcW w:w="1598" w:type="dxa"/>
            <w:vAlign w:val="center"/>
          </w:tcPr>
          <w:p>
            <w:pPr>
              <w:spacing w:line="400" w:lineRule="exact"/>
              <w:jc w:val="center"/>
              <w:rPr>
                <w:rFonts w:hint="eastAsia" w:ascii="宋体" w:hAnsi="宋体" w:eastAsia="宋体"/>
                <w:sz w:val="18"/>
                <w:szCs w:val="18"/>
                <w:lang w:eastAsia="zh-CN"/>
              </w:rPr>
            </w:pPr>
            <w:r>
              <w:rPr>
                <w:rFonts w:hint="eastAsia" w:ascii="宋体" w:hAnsi="宋体" w:eastAsia="宋体"/>
                <w:sz w:val="18"/>
                <w:szCs w:val="18"/>
                <w:lang w:eastAsia="zh-CN"/>
              </w:rPr>
              <w:t>已办结</w:t>
            </w:r>
          </w:p>
        </w:tc>
        <w:tc>
          <w:tcPr>
            <w:tcW w:w="1598" w:type="dxa"/>
            <w:vAlign w:val="center"/>
          </w:tcPr>
          <w:p>
            <w:pPr>
              <w:spacing w:line="400" w:lineRule="exact"/>
              <w:jc w:val="center"/>
              <w:rPr>
                <w:rFonts w:hint="eastAsia" w:ascii="宋体" w:hAnsi="宋体" w:eastAsia="宋体"/>
                <w:sz w:val="18"/>
                <w:szCs w:val="18"/>
                <w:lang w:eastAsia="zh-CN"/>
              </w:rPr>
            </w:pPr>
            <w:r>
              <w:rPr>
                <w:rFonts w:hint="eastAsia" w:ascii="宋体" w:hAnsi="宋体" w:eastAsia="宋体"/>
                <w:sz w:val="18"/>
                <w:szCs w:val="18"/>
                <w:lang w:eastAsia="zh-CN"/>
              </w:rPr>
              <w:t>无</w:t>
            </w:r>
          </w:p>
        </w:tc>
      </w:tr>
    </w:tbl>
    <w:p>
      <w:pPr>
        <w:spacing w:line="600" w:lineRule="exact"/>
        <w:ind w:firstLine="640" w:firstLineChars="200"/>
        <w:rPr>
          <w:rFonts w:ascii="仿宋_GB2312" w:hAnsi="Times New Roman"/>
          <w:szCs w:val="32"/>
        </w:rPr>
      </w:pPr>
      <w:r>
        <w:rPr>
          <w:rFonts w:hint="eastAsia" w:ascii="仿宋_GB2312" w:hAnsi="Times New Roman"/>
          <w:szCs w:val="32"/>
        </w:rPr>
        <mc:AlternateContent>
          <mc:Choice Requires="wps">
            <w:drawing>
              <wp:anchor distT="0" distB="0" distL="114300" distR="114300" simplePos="0" relativeHeight="251659264" behindDoc="0" locked="0" layoutInCell="1" allowOverlap="1">
                <wp:simplePos x="0" y="0"/>
                <wp:positionH relativeFrom="column">
                  <wp:posOffset>3981450</wp:posOffset>
                </wp:positionH>
                <wp:positionV relativeFrom="paragraph">
                  <wp:posOffset>768985</wp:posOffset>
                </wp:positionV>
                <wp:extent cx="1771650" cy="466725"/>
                <wp:effectExtent l="0" t="0" r="19050" b="28575"/>
                <wp:wrapNone/>
                <wp:docPr id="1" name="文本框 1"/>
                <wp:cNvGraphicFramePr/>
                <a:graphic xmlns:a="http://schemas.openxmlformats.org/drawingml/2006/main">
                  <a:graphicData uri="http://schemas.microsoft.com/office/word/2010/wordprocessingShape">
                    <wps:wsp>
                      <wps:cNvSpPr txBox="1"/>
                      <wps:spPr>
                        <a:xfrm>
                          <a:off x="0" y="0"/>
                          <a:ext cx="1771650" cy="4667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ajorEastAsia" w:hAnsiTheme="majorEastAsia" w:eastAsiaTheme="majorEastAsia"/>
                                <w:sz w:val="28"/>
                                <w:szCs w:val="28"/>
                              </w:rPr>
                            </w:pPr>
                            <w:r>
                              <w:rPr>
                                <w:rFonts w:hint="eastAsia" w:asciiTheme="majorEastAsia" w:hAnsiTheme="majorEastAsia" w:eastAsiaTheme="majorEastAsia"/>
                                <w:sz w:val="28"/>
                                <w:szCs w:val="28"/>
                              </w:rPr>
                              <w:t>— 1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3.5pt;margin-top:60.55pt;height:36.75pt;width:139.5pt;z-index:251659264;mso-width-relative:page;mso-height-relative:page;" fillcolor="#CCE8CF [3201]" filled="t" stroked="t" coordsize="21600,21600" o:gfxdata="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PKXmi1wAAAAsB&#10;AAAPAAAAAAAAAAEAIAAAACIAAABkcnMvZG93bnJldi54bWxQSwECFAAUAAAACACHTuJAihJpKlUC&#10;AADGBAAADgAAAAAAAAABACAAAAAmAQAAZHJzL2Uyb0RvYy54bWxQSwUGAAAAAAYABgBZAQAA7QUA&#10;AAAA&#10;">
                <v:fill on="t" focussize="0,0"/>
                <v:stroke weight="0.5pt" color="#CCE8CF [3212]" joinstyle="round"/>
                <v:imagedata o:title=""/>
                <o:lock v:ext="edit" aspectratio="f"/>
                <v:textbox>
                  <w:txbxContent>
                    <w:p>
                      <w:pPr>
                        <w:rPr>
                          <w:rFonts w:asciiTheme="majorEastAsia" w:hAnsiTheme="majorEastAsia" w:eastAsiaTheme="majorEastAsia"/>
                          <w:sz w:val="28"/>
                          <w:szCs w:val="28"/>
                        </w:rPr>
                      </w:pPr>
                      <w:r>
                        <w:rPr>
                          <w:rFonts w:hint="eastAsia" w:asciiTheme="majorEastAsia" w:hAnsiTheme="majorEastAsia" w:eastAsiaTheme="majorEastAsia"/>
                          <w:sz w:val="28"/>
                          <w:szCs w:val="28"/>
                        </w:rPr>
                        <w:t>— 1 —</w:t>
                      </w:r>
                    </w:p>
                  </w:txbxContent>
                </v:textbox>
              </v:shape>
            </w:pict>
          </mc:Fallback>
        </mc:AlternateContent>
      </w:r>
      <w:r>
        <w:rPr>
          <w:rFonts w:hint="eastAsia" w:ascii="仿宋_GB2312" w:hAnsi="Times New Roman"/>
          <w:szCs w:val="32"/>
        </w:rPr>
        <w:t>注：</w:t>
      </w:r>
      <w:r>
        <w:rPr>
          <w:rFonts w:hint="eastAsia" w:ascii="Times New Roman" w:hAnsi="Times New Roman"/>
          <w:szCs w:val="32"/>
        </w:rPr>
        <w:t>从督察进驻后第1天开始填报，每5天填报一次。</w:t>
      </w:r>
    </w:p>
    <w:sectPr>
      <w:pgSz w:w="16838" w:h="11906" w:orient="landscape"/>
      <w:pgMar w:top="1344" w:right="1440" w:bottom="1400" w:left="1440" w:header="851" w:footer="992" w:gutter="0"/>
      <w:cols w:space="0" w:num="1"/>
      <w:rtlGutter w:val="0"/>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16D6"/>
    <w:rsid w:val="00043F7B"/>
    <w:rsid w:val="0015165E"/>
    <w:rsid w:val="00285BB4"/>
    <w:rsid w:val="002D4886"/>
    <w:rsid w:val="00594D1F"/>
    <w:rsid w:val="007758B0"/>
    <w:rsid w:val="00976050"/>
    <w:rsid w:val="00AB7337"/>
    <w:rsid w:val="00B216D6"/>
    <w:rsid w:val="00B85636"/>
    <w:rsid w:val="00BE789A"/>
    <w:rsid w:val="00CC72EA"/>
    <w:rsid w:val="00D2123E"/>
    <w:rsid w:val="00E652C7"/>
    <w:rsid w:val="00E760D4"/>
    <w:rsid w:val="00EF7C4D"/>
    <w:rsid w:val="00F20D68"/>
    <w:rsid w:val="00FB0CD4"/>
    <w:rsid w:val="17013AE2"/>
    <w:rsid w:val="1A82318C"/>
    <w:rsid w:val="283A6E54"/>
    <w:rsid w:val="28D62D62"/>
    <w:rsid w:val="442E38B9"/>
    <w:rsid w:val="61BF1B9C"/>
    <w:rsid w:val="63ED253C"/>
    <w:rsid w:val="676C290C"/>
    <w:rsid w:val="697351A8"/>
    <w:rsid w:val="75DC4673"/>
    <w:rsid w:val="79705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Arial" w:hAnsi="Arial" w:eastAsia="仿宋_GB2312" w:cs="Times New Roman"/>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1010</Words>
  <Characters>1054</Characters>
  <Lines>1</Lines>
  <Paragraphs>1</Paragraphs>
  <TotalTime>2</TotalTime>
  <ScaleCrop>false</ScaleCrop>
  <LinksUpToDate>false</LinksUpToDate>
  <CharactersWithSpaces>1059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2021-04-05T10:41:00Z</dcterms:created>
  <dc:creator>guoqin</dc:creator>
  <cp:lastModifiedBy>刘彦辰</cp:lastModifiedBy>
  <dcterms:modified xsi:type="dcterms:W3CDTF">2022-04-12T02:29:04Z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7D3B1BE3FE6C411B8B544D4F87783E6D</vt:lpwstr>
  </property>
</Properties>
</file>