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r>
        <w:rPr>
          <w:rFonts w:ascii="黑体" w:hAnsi="Times New Roman" w:eastAsia="黑体" w:cs="黑体"/>
          <w:color w:val="000000"/>
        </w:rPr>
        <w:t>`</w:t>
      </w:r>
    </w:p>
    <w:p>
      <w:pPr>
        <w:jc w:val="center"/>
        <w:rPr>
          <w:rFonts w:ascii="黑体" w:hAnsi="Times New Roman" w:eastAsia="黑体" w:cs="黑体"/>
          <w:color w:val="000000" w:themeColor="text1"/>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131</w:t>
      </w:r>
      <w:r>
        <w:rPr>
          <w:rFonts w:hint="eastAsia" w:ascii="方正小标宋简体" w:hAnsi="方正小标宋简体" w:eastAsia="方正小标宋简体" w:cs="方正小标宋简体"/>
          <w:color w:val="000000"/>
          <w:sz w:val="44"/>
          <w:szCs w:val="44"/>
        </w:rPr>
        <w:t>团疾控中心2018年度部门决算报表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公开</w:t>
      </w:r>
      <w:r>
        <w:rPr>
          <w:rFonts w:hint="eastAsia" w:ascii="方正小标宋简体" w:hAnsi="方正小标宋简体" w:eastAsia="方正小标宋简体" w:cs="方正小标宋简体"/>
          <w:color w:val="000000"/>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一、决算信息来源说明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cs="仿宋"/>
          <w:bCs/>
          <w:color w:val="0C0C0C" w:themeColor="text1" w:themeTint="F2"/>
          <w:sz w:val="32"/>
          <w:szCs w:val="32"/>
          <w:highlight w:val="none"/>
        </w:rPr>
        <w:t>本套决算依据本单位登记完整、核对无误的账簿记录和其他有关会计核算资料编制，账证相符、账实相符、账表相符、表表相符，真实、准确、完整地反映了本单位预算执行结果和财务状况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黑体"/>
          <w:color w:val="000000"/>
          <w:sz w:val="32"/>
          <w:szCs w:val="32"/>
        </w:rPr>
      </w:pPr>
      <w:r>
        <w:rPr>
          <w:rFonts w:hint="eastAsia" w:ascii="仿宋_GB2312" w:hAnsi="仿宋" w:eastAsia="仿宋_GB2312"/>
          <w:sz w:val="32"/>
          <w:szCs w:val="32"/>
          <w:highlight w:val="none"/>
        </w:rPr>
        <w:t>（一）本套决算主表决算数据主要依据本单位会计账簿总账及明细账数据填列，预算数据依据本单位预、决算批复</w:t>
      </w:r>
      <w:r>
        <w:rPr>
          <w:rFonts w:hint="eastAsia" w:ascii="仿宋_GB2312" w:hAnsi="仿宋" w:eastAsia="仿宋_GB2312"/>
          <w:sz w:val="32"/>
          <w:szCs w:val="32"/>
        </w:rPr>
        <w:t>文件及预算调整文件填列。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（二）本套决算附表数据主要依据本单位资产、人员台帐及相关统计资料填列，其中：“资产情况表”依据本单位资产相关会计账簿数据、</w:t>
      </w:r>
      <w:r>
        <w:rPr>
          <w:rFonts w:hint="eastAsia" w:ascii="仿宋_GB2312" w:hAnsi="仿宋" w:eastAsia="仿宋_GB2312"/>
          <w:b/>
          <w:bCs/>
          <w:sz w:val="32"/>
          <w:szCs w:val="32"/>
        </w:rPr>
        <w:t>固定资产管理系统相关数据</w:t>
      </w:r>
      <w:r>
        <w:rPr>
          <w:rFonts w:hint="eastAsia" w:ascii="仿宋_GB2312" w:hAnsi="仿宋" w:eastAsia="仿宋_GB2312"/>
          <w:sz w:val="32"/>
          <w:szCs w:val="32"/>
        </w:rPr>
        <w:t>及</w:t>
      </w:r>
      <w:r>
        <w:rPr>
          <w:rFonts w:hint="eastAsia" w:ascii="仿宋_GB2312" w:hAnsi="仿宋" w:eastAsia="仿宋_GB2312"/>
          <w:b/>
          <w:bCs/>
          <w:sz w:val="32"/>
          <w:szCs w:val="32"/>
        </w:rPr>
        <w:t>有关</w:t>
      </w:r>
      <w:r>
        <w:rPr>
          <w:rFonts w:hint="eastAsia" w:ascii="仿宋_GB2312" w:hAnsi="仿宋" w:eastAsia="仿宋_GB2312"/>
          <w:sz w:val="32"/>
          <w:szCs w:val="32"/>
        </w:rPr>
        <w:t>统计资料填列；“基本数据表”“机构人员情况表”依据本单位统计相关台相关帐资料填列。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二、决算</w:t>
      </w:r>
      <w:r>
        <w:rPr>
          <w:rFonts w:hint="eastAsia" w:ascii="黑体" w:hAnsi="黑体" w:eastAsia="黑体" w:cs="黑体"/>
          <w:sz w:val="32"/>
          <w:szCs w:val="32"/>
        </w:rPr>
        <w:t>编制</w:t>
      </w:r>
      <w:r>
        <w:rPr>
          <w:rFonts w:hint="eastAsia" w:ascii="黑体" w:hAnsi="黑体" w:eastAsia="黑体" w:cs="黑体"/>
          <w:color w:val="000000"/>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本单位预算为中央所属四级</w:t>
      </w:r>
      <w:r>
        <w:rPr>
          <w:rFonts w:hint="eastAsia" w:ascii="仿宋_GB2312" w:hAnsi="仿宋" w:eastAsia="仿宋_GB2312" w:cs="仿宋"/>
          <w:bCs/>
          <w:color w:val="000000"/>
          <w:spacing w:val="14"/>
          <w:sz w:val="32"/>
          <w:szCs w:val="32"/>
        </w:rPr>
        <w:t>预算单位，单位性质为</w:t>
      </w:r>
      <w:r>
        <w:rPr>
          <w:rFonts w:hint="eastAsia" w:ascii="仿宋_GB2312" w:hAnsi="仿宋" w:eastAsia="仿宋_GB2312" w:cs="仿宋"/>
          <w:bCs/>
          <w:color w:val="000000"/>
          <w:sz w:val="32"/>
          <w:szCs w:val="32"/>
        </w:rPr>
        <w:t>财政补助事业单位，决算编报类型为单户表，按照基层医疗会计制度填报决算数据。</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纳入本套决算编制范围的独立核算单位共</w:t>
      </w:r>
      <w:r>
        <w:rPr>
          <w:rFonts w:ascii="仿宋_GB2312" w:hAnsi="仿宋" w:eastAsia="仿宋_GB2312" w:cs="仿宋"/>
          <w:bCs/>
          <w:color w:val="000000"/>
          <w:sz w:val="32"/>
          <w:szCs w:val="32"/>
          <w:u w:val="single"/>
        </w:rPr>
        <w:t>1</w:t>
      </w:r>
      <w:r>
        <w:rPr>
          <w:rFonts w:hint="eastAsia" w:ascii="仿宋_GB2312" w:hAnsi="仿宋" w:eastAsia="仿宋_GB2312" w:cs="仿宋"/>
          <w:bCs/>
          <w:color w:val="000000"/>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Times New Roman"/>
          <w:b/>
          <w:color w:val="000000"/>
          <w:sz w:val="32"/>
          <w:szCs w:val="32"/>
        </w:rPr>
      </w:pPr>
      <w:r>
        <w:rPr>
          <w:rFonts w:ascii="仿宋_GB2312" w:hAnsi="仿宋" w:eastAsia="仿宋_GB2312" w:cs="仿宋"/>
          <w:b/>
          <w:color w:val="000000"/>
          <w:sz w:val="32"/>
          <w:szCs w:val="32"/>
        </w:rPr>
        <w:t>1</w:t>
      </w:r>
      <w:r>
        <w:rPr>
          <w:rFonts w:hint="eastAsia" w:ascii="仿宋_GB2312" w:hAnsi="仿宋" w:eastAsia="仿宋_GB2312" w:cs="仿宋"/>
          <w:b/>
          <w:color w:val="000000"/>
          <w:sz w:val="32"/>
          <w:szCs w:val="32"/>
        </w:rPr>
        <w:t>．财政拨款核对情况。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Times New Roman"/>
          <w:color w:val="000000"/>
          <w:sz w:val="32"/>
          <w:szCs w:val="32"/>
          <w:u w:val="single"/>
          <w:lang w:val="en-US" w:eastAsia="zh-CN"/>
        </w:rPr>
        <w:t>359.16</w:t>
      </w:r>
      <w:r>
        <w:rPr>
          <w:rFonts w:hint="eastAsia" w:ascii="仿宋_GB2312" w:hAnsi="仿宋" w:eastAsia="仿宋_GB2312" w:cs="仿宋"/>
          <w:color w:val="000000"/>
          <w:sz w:val="32"/>
          <w:szCs w:val="32"/>
        </w:rPr>
        <w:t>万元，财政部门拨款对账单</w:t>
      </w:r>
      <w:r>
        <w:rPr>
          <w:rFonts w:ascii="仿宋_GB2312" w:hAnsi="仿宋" w:eastAsia="仿宋_GB2312" w:cs="Times New Roman"/>
          <w:color w:val="000000"/>
          <w:sz w:val="32"/>
          <w:szCs w:val="32"/>
          <w:u w:val="single"/>
        </w:rPr>
        <w:t>312.23</w:t>
      </w:r>
      <w:r>
        <w:rPr>
          <w:rFonts w:hint="eastAsia" w:ascii="仿宋_GB2312" w:hAnsi="仿宋" w:eastAsia="仿宋_GB2312" w:cs="仿宋"/>
          <w:color w:val="000000"/>
          <w:sz w:val="32"/>
          <w:szCs w:val="32"/>
        </w:rPr>
        <w:t>万元，差额</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w:t>
      </w:r>
      <w:r>
        <w:rPr>
          <w:rFonts w:ascii="仿宋_GB2312" w:hAnsi="仿宋" w:eastAsia="仿宋_GB2312" w:cs="仿宋"/>
          <w:color w:val="000000"/>
          <w:sz w:val="32"/>
          <w:szCs w:val="32"/>
        </w:rPr>
        <w:t>2018</w:t>
      </w:r>
      <w:r>
        <w:rPr>
          <w:rFonts w:hint="eastAsia" w:ascii="仿宋_GB2312" w:hAnsi="仿宋" w:eastAsia="仿宋_GB2312" w:cs="仿宋"/>
          <w:color w:val="000000"/>
          <w:sz w:val="32"/>
          <w:szCs w:val="32"/>
        </w:rPr>
        <w:t>年重大卫生服务补助资金</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重大公共卫生服务资金</w:t>
      </w:r>
      <w:r>
        <w:rPr>
          <w:rFonts w:hint="eastAsia" w:ascii="仿宋_GB2312" w:hAnsi="仿宋" w:eastAsia="仿宋_GB2312" w:cs="仿宋"/>
          <w:color w:val="000000"/>
          <w:sz w:val="32"/>
          <w:szCs w:val="32"/>
          <w:lang w:val="en-US" w:eastAsia="zh-CN"/>
        </w:rPr>
        <w:t>66.66</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对账单下拨</w:t>
      </w:r>
      <w:r>
        <w:rPr>
          <w:rFonts w:hint="eastAsia" w:ascii="仿宋_GB2312" w:hAnsi="仿宋" w:eastAsia="仿宋_GB2312" w:cs="仿宋"/>
          <w:color w:val="000000"/>
          <w:sz w:val="32"/>
          <w:szCs w:val="32"/>
          <w:lang w:val="en-US" w:eastAsia="zh-CN"/>
        </w:rPr>
        <w:t>66.66</w:t>
      </w:r>
      <w:r>
        <w:rPr>
          <w:rFonts w:hint="eastAsia" w:ascii="仿宋_GB2312" w:hAnsi="仿宋" w:eastAsia="仿宋_GB2312" w:cs="仿宋"/>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）单位本年度政府性基金预算财政拨款收入</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万元，财政部门拨款对账单</w:t>
      </w:r>
      <w:r>
        <w:rPr>
          <w:rFonts w:ascii="仿宋_GB2312" w:eastAsia="仿宋_GB2312" w:cs="Times New Roman"/>
          <w:color w:val="000000"/>
          <w:sz w:val="32"/>
          <w:szCs w:val="32"/>
          <w:u w:val="single"/>
        </w:rPr>
        <w:t> 0</w:t>
      </w:r>
      <w:r>
        <w:rPr>
          <w:rFonts w:ascii="宋体" w:cs="宋体"/>
          <w:color w:val="000000"/>
          <w:sz w:val="32"/>
          <w:szCs w:val="32"/>
          <w:u w:val="single"/>
        </w:rPr>
        <w:t> </w:t>
      </w:r>
      <w:r>
        <w:rPr>
          <w:rFonts w:hint="eastAsia" w:ascii="仿宋_GB2312" w:hAnsi="仿宋" w:eastAsia="仿宋_GB2312" w:cs="仿宋"/>
          <w:color w:val="000000"/>
          <w:sz w:val="32"/>
          <w:szCs w:val="32"/>
        </w:rPr>
        <w:t>万元，差额</w:t>
      </w:r>
      <w:r>
        <w:rPr>
          <w:rFonts w:ascii="仿宋_GB2312" w:eastAsia="仿宋_GB2312" w:cs="Times New Roman"/>
          <w:color w:val="000000"/>
          <w:sz w:val="32"/>
          <w:szCs w:val="32"/>
          <w:u w:val="single"/>
        </w:rPr>
        <w:t> 0</w:t>
      </w:r>
      <w:r>
        <w:rPr>
          <w:rFonts w:hint="eastAsia" w:ascii="仿宋_GB2312" w:hAnsi="仿宋" w:eastAsia="仿宋_GB2312" w:cs="仿宋"/>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Times New Roman"/>
          <w:b/>
          <w:color w:val="000000"/>
          <w:sz w:val="32"/>
          <w:szCs w:val="32"/>
        </w:rPr>
      </w:pPr>
      <w:r>
        <w:rPr>
          <w:rFonts w:ascii="仿宋_GB2312" w:hAnsi="仿宋" w:eastAsia="仿宋_GB2312" w:cs="仿宋"/>
          <w:b/>
          <w:color w:val="000000"/>
          <w:sz w:val="32"/>
          <w:szCs w:val="32"/>
        </w:rPr>
        <w:t>2</w:t>
      </w:r>
      <w:r>
        <w:rPr>
          <w:rFonts w:hint="eastAsia" w:ascii="仿宋_GB2312" w:hAnsi="仿宋" w:eastAsia="仿宋_GB2312" w:cs="仿宋"/>
          <w:b/>
          <w:color w:val="000000"/>
          <w:sz w:val="32"/>
          <w:szCs w:val="32"/>
        </w:rPr>
        <w:t>．财政专户管理资金核对情况。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）单位本年度缴入财政专户</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万元，财政部门财政专户缴款对账单</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万元，差额</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）单位本年度财政专户</w:t>
      </w:r>
      <w:r>
        <w:rPr>
          <w:rFonts w:hint="eastAsia" w:ascii="仿宋_GB2312" w:hAnsi="仿宋" w:eastAsia="仿宋_GB2312" w:cs="仿宋"/>
          <w:bCs/>
          <w:color w:val="000000"/>
          <w:sz w:val="32"/>
          <w:szCs w:val="32"/>
        </w:rPr>
        <w:t>管理</w:t>
      </w:r>
      <w:r>
        <w:rPr>
          <w:rFonts w:hint="eastAsia" w:ascii="仿宋_GB2312" w:hAnsi="仿宋" w:eastAsia="仿宋_GB2312" w:cs="仿宋"/>
          <w:color w:val="000000"/>
          <w:sz w:val="32"/>
          <w:szCs w:val="32"/>
        </w:rPr>
        <w:t>资金收入</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万元，财政部门财政专户拨款对账单</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万元，差额</w:t>
      </w:r>
      <w:r>
        <w:rPr>
          <w:rFonts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Times New Roman"/>
          <w:b/>
          <w:color w:val="000000"/>
          <w:sz w:val="32"/>
          <w:szCs w:val="32"/>
        </w:rPr>
      </w:pPr>
      <w:r>
        <w:rPr>
          <w:rFonts w:ascii="仿宋_GB2312" w:hAnsi="仿宋" w:eastAsia="仿宋_GB2312" w:cs="仿宋"/>
          <w:b/>
          <w:color w:val="000000"/>
          <w:sz w:val="32"/>
          <w:szCs w:val="32"/>
        </w:rPr>
        <w:t>3</w:t>
      </w:r>
      <w:r>
        <w:rPr>
          <w:rFonts w:hint="eastAsia" w:ascii="仿宋_GB2312" w:hAnsi="仿宋" w:eastAsia="仿宋_GB2312" w:cs="仿宋"/>
          <w:b/>
          <w:color w:val="000000"/>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主要指标上下年变动幅度超过</w:t>
      </w:r>
      <w:r>
        <w:rPr>
          <w:rFonts w:ascii="仿宋_GB2312" w:hAnsi="仿宋" w:eastAsia="仿宋_GB2312" w:cs="仿宋"/>
          <w:color w:val="000000"/>
          <w:sz w:val="32"/>
          <w:szCs w:val="32"/>
        </w:rPr>
        <w:t>20%</w:t>
      </w:r>
      <w:r>
        <w:rPr>
          <w:rFonts w:hint="eastAsia" w:ascii="仿宋_GB2312" w:hAnsi="仿宋" w:eastAsia="仿宋_GB2312"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项目支出2018年比2017年项目支出多23万元</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rPr>
        <w:t>36.41</w:t>
      </w:r>
      <w:r>
        <w:rPr>
          <w:rFonts w:hint="eastAsia"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2018年比2017年项目</w:t>
      </w:r>
      <w:r>
        <w:rPr>
          <w:rFonts w:hint="eastAsia" w:ascii="仿宋_GB2312" w:hAnsi="仿宋" w:eastAsia="仿宋_GB2312" w:cs="仿宋"/>
          <w:color w:val="000000"/>
          <w:sz w:val="32"/>
          <w:szCs w:val="32"/>
          <w:lang w:val="en-US" w:eastAsia="zh-CN"/>
        </w:rPr>
        <w:t>年末结转和结余减少47万元，减少33.84%，往年基本公共卫生项目拨在疾控，2018年拨在医院。</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2018年比2017年</w:t>
      </w:r>
      <w:r>
        <w:rPr>
          <w:rFonts w:hint="eastAsia" w:ascii="仿宋_GB2312" w:hAnsi="仿宋" w:eastAsia="仿宋_GB2312" w:cs="仿宋"/>
          <w:color w:val="000000"/>
          <w:sz w:val="32"/>
          <w:szCs w:val="32"/>
          <w:lang w:val="en-US" w:eastAsia="zh-CN"/>
        </w:rPr>
        <w:t>资产</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140万元，</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66.64%，</w:t>
      </w:r>
      <w:r>
        <w:rPr>
          <w:rFonts w:hint="eastAsia" w:ascii="仿宋_GB2312" w:hAnsi="仿宋" w:eastAsia="仿宋_GB2312" w:cs="Times New Roman"/>
          <w:color w:val="000000"/>
          <w:sz w:val="32"/>
          <w:szCs w:val="32"/>
          <w:lang w:eastAsia="zh-CN"/>
        </w:rPr>
        <w:t>主要是</w:t>
      </w:r>
      <w:r>
        <w:rPr>
          <w:rFonts w:hint="eastAsia" w:ascii="仿宋_GB2312" w:hAnsi="仿宋" w:eastAsia="仿宋_GB2312" w:cs="Times New Roman"/>
          <w:color w:val="000000"/>
          <w:sz w:val="32"/>
          <w:szCs w:val="32"/>
        </w:rPr>
        <w:t>新增房屋172</w:t>
      </w:r>
      <w:r>
        <w:rPr>
          <w:rFonts w:hint="eastAsia" w:ascii="仿宋_GB2312" w:hAnsi="仿宋" w:eastAsia="仿宋_GB2312" w:cs="Times New Roman"/>
          <w:color w:val="000000"/>
          <w:sz w:val="32"/>
          <w:szCs w:val="32"/>
          <w:lang w:val="en-US" w:eastAsia="zh-CN"/>
        </w:rPr>
        <w:t>.</w:t>
      </w:r>
      <w:r>
        <w:rPr>
          <w:rFonts w:hint="eastAsia" w:ascii="仿宋_GB2312" w:hAnsi="仿宋" w:eastAsia="仿宋_GB2312" w:cs="Times New Roman"/>
          <w:color w:val="000000"/>
          <w:sz w:val="32"/>
          <w:szCs w:val="32"/>
        </w:rPr>
        <w:t>9</w:t>
      </w:r>
      <w:r>
        <w:rPr>
          <w:rFonts w:hint="eastAsia" w:ascii="仿宋_GB2312" w:hAnsi="仿宋" w:eastAsia="仿宋_GB2312" w:cs="Times New Roman"/>
          <w:color w:val="00000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仿宋"/>
          <w:color w:val="000000"/>
          <w:sz w:val="32"/>
          <w:szCs w:val="32"/>
        </w:rPr>
        <w:t>2018年比2017年</w:t>
      </w:r>
      <w:r>
        <w:rPr>
          <w:rFonts w:hint="eastAsia" w:ascii="仿宋_GB2312" w:hAnsi="仿宋" w:eastAsia="仿宋_GB2312" w:cs="仿宋"/>
          <w:color w:val="000000"/>
          <w:sz w:val="32"/>
          <w:szCs w:val="32"/>
          <w:lang w:val="en-US" w:eastAsia="zh-CN"/>
        </w:rPr>
        <w:t>负债</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4.1万元，年底计提的“工会经费”4.26万元。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仿宋_GB2312" w:hAnsi="仿宋" w:eastAsia="仿宋_GB2312" w:cs="仿宋"/>
          <w:color w:val="000000" w:themeColor="text1"/>
          <w:sz w:val="32"/>
          <w:szCs w:val="32"/>
          <w:lang w:val="en-US" w:eastAsia="zh-CN"/>
        </w:rPr>
      </w:pP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2018年比2017年</w:t>
      </w:r>
      <w:r>
        <w:rPr>
          <w:rFonts w:hint="eastAsia" w:ascii="仿宋_GB2312" w:hAnsi="仿宋" w:eastAsia="仿宋_GB2312" w:cs="仿宋"/>
          <w:color w:val="000000"/>
          <w:sz w:val="32"/>
          <w:szCs w:val="32"/>
          <w:lang w:val="en-US" w:eastAsia="zh-CN"/>
        </w:rPr>
        <w:t>净资产</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136万元，</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64.75%，</w:t>
      </w:r>
      <w:r>
        <w:rPr>
          <w:rFonts w:hint="eastAsia" w:ascii="仿宋_GB2312" w:hAnsi="仿宋" w:eastAsia="仿宋_GB2312" w:cs="仿宋"/>
          <w:color w:val="000000" w:themeColor="text1"/>
          <w:sz w:val="32"/>
          <w:szCs w:val="32"/>
          <w:lang w:val="en-US" w:eastAsia="zh-CN"/>
        </w:rPr>
        <w:t>主要由项目结转和结余减少47万元；非流动资产基金</w:t>
      </w:r>
      <w:r>
        <w:rPr>
          <w:rFonts w:hint="eastAsia" w:ascii="仿宋_GB2312" w:hAnsi="仿宋" w:eastAsia="仿宋_GB2312" w:cs="仿宋"/>
          <w:color w:val="000000" w:themeColor="text1"/>
          <w:sz w:val="32"/>
          <w:szCs w:val="32"/>
          <w:lang w:eastAsia="zh-CN"/>
        </w:rPr>
        <w:t>增加</w:t>
      </w:r>
      <w:r>
        <w:rPr>
          <w:rFonts w:hint="eastAsia" w:ascii="仿宋_GB2312" w:hAnsi="仿宋" w:eastAsia="仿宋_GB2312" w:cs="仿宋"/>
          <w:color w:val="000000" w:themeColor="text1"/>
          <w:sz w:val="32"/>
          <w:szCs w:val="32"/>
          <w:lang w:val="en-US" w:eastAsia="zh-CN"/>
        </w:rPr>
        <w:t>183万元（2018年新增房屋172.9万元）。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 四、报表审核情况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（一）审核情况。</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67" w:firstLineChars="21"/>
        <w:textAlignment w:val="auto"/>
        <w:rPr>
          <w:rFonts w:ascii="仿宋_GB2312" w:hAnsi="仿宋" w:eastAsia="仿宋_GB2312" w:cs="仿宋"/>
          <w:b/>
          <w:bCs/>
          <w:color w:val="000000" w:themeColor="text1"/>
          <w:sz w:val="32"/>
          <w:szCs w:val="32"/>
        </w:rPr>
      </w:pPr>
      <w:r>
        <w:rPr>
          <w:rFonts w:ascii="仿宋_GB2312" w:hAnsi="仿宋" w:eastAsia="仿宋_GB2312" w:cs="仿宋"/>
          <w:b/>
          <w:bCs/>
          <w:color w:val="000000" w:themeColor="text1"/>
          <w:sz w:val="32"/>
          <w:szCs w:val="32"/>
        </w:rPr>
        <w:t>1</w:t>
      </w:r>
      <w:r>
        <w:rPr>
          <w:rFonts w:hint="eastAsia" w:ascii="仿宋_GB2312" w:hAnsi="仿宋" w:eastAsia="仿宋_GB2312" w:cs="仿宋"/>
          <w:b/>
          <w:bCs/>
          <w:color w:val="000000" w:themeColor="text1"/>
          <w:sz w:val="32"/>
          <w:szCs w:val="32"/>
        </w:rPr>
        <w:t>、审核全部通过。</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五、决算数据其他需要说明的情况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仿宋"/>
          <w:color w:val="000000"/>
          <w:spacing w:val="6"/>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．“收入决算表”中</w:t>
      </w:r>
      <w:r>
        <w:rPr>
          <w:rFonts w:hint="eastAsia" w:ascii="仿宋_GB2312" w:hAnsi="仿宋" w:eastAsia="仿宋_GB2312" w:cs="仿宋"/>
          <w:color w:val="000000"/>
          <w:spacing w:val="6"/>
          <w:sz w:val="32"/>
          <w:szCs w:val="32"/>
        </w:rPr>
        <w:t>其他收入的具体构成：淮安援建</w:t>
      </w:r>
      <w:r>
        <w:rPr>
          <w:rFonts w:ascii="仿宋_GB2312" w:hAnsi="仿宋" w:eastAsia="仿宋_GB2312" w:cs="仿宋"/>
          <w:color w:val="000000"/>
          <w:spacing w:val="6"/>
          <w:sz w:val="32"/>
          <w:szCs w:val="32"/>
        </w:rPr>
        <w:t>126</w:t>
      </w:r>
      <w:r>
        <w:rPr>
          <w:rFonts w:hint="eastAsia" w:ascii="仿宋_GB2312" w:hAnsi="仿宋" w:eastAsia="仿宋_GB2312" w:cs="仿宋"/>
          <w:color w:val="000000"/>
          <w:spacing w:val="6"/>
          <w:sz w:val="32"/>
          <w:szCs w:val="32"/>
        </w:rPr>
        <w:t>团医院医疗设备款</w:t>
      </w:r>
      <w:r>
        <w:rPr>
          <w:rFonts w:ascii="仿宋_GB2312" w:hAnsi="仿宋" w:eastAsia="仿宋_GB2312" w:cs="仿宋"/>
          <w:color w:val="000000"/>
          <w:spacing w:val="6"/>
          <w:sz w:val="32"/>
          <w:szCs w:val="32"/>
        </w:rPr>
        <w:t>70.6</w:t>
      </w:r>
      <w:r>
        <w:rPr>
          <w:rFonts w:hint="eastAsia" w:ascii="仿宋_GB2312" w:hAnsi="仿宋" w:eastAsia="仿宋_GB2312" w:cs="仿宋"/>
          <w:color w:val="000000"/>
          <w:spacing w:val="6"/>
          <w:sz w:val="32"/>
          <w:szCs w:val="32"/>
        </w:rPr>
        <w:t>万元，其他收入共计</w:t>
      </w:r>
      <w:r>
        <w:rPr>
          <w:rFonts w:ascii="仿宋_GB2312" w:hAnsi="仿宋" w:eastAsia="仿宋_GB2312" w:cs="仿宋"/>
          <w:color w:val="000000"/>
          <w:spacing w:val="6"/>
          <w:sz w:val="32"/>
          <w:szCs w:val="32"/>
        </w:rPr>
        <w:t>8.23</w:t>
      </w:r>
      <w:r>
        <w:rPr>
          <w:rFonts w:hint="eastAsia" w:ascii="仿宋_GB2312" w:hAnsi="仿宋" w:eastAsia="仿宋_GB2312" w:cs="仿宋"/>
          <w:color w:val="000000"/>
          <w:spacing w:val="6"/>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Times New Roman"/>
          <w:color w:val="FF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“三公”经费中公务接待费开支情况：</w:t>
      </w:r>
      <w:r>
        <w:rPr>
          <w:rFonts w:ascii="仿宋_GB2312" w:hAnsi="仿宋" w:eastAsia="仿宋_GB2312" w:cs="仿宋"/>
          <w:color w:val="000000"/>
          <w:sz w:val="32"/>
          <w:szCs w:val="32"/>
        </w:rPr>
        <w:t>2018</w:t>
      </w:r>
      <w:r>
        <w:rPr>
          <w:rFonts w:hint="eastAsia" w:ascii="仿宋_GB2312" w:hAnsi="仿宋" w:eastAsia="仿宋_GB2312" w:cs="仿宋"/>
          <w:color w:val="000000"/>
          <w:sz w:val="32"/>
          <w:szCs w:val="32"/>
        </w:rPr>
        <w:t>年公务接待费预算数</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万元，实际开支</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万元，接待批次</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次，接待人数</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人，较去年略有下降。</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hint="eastAsia" w:ascii="仿宋_GB2312" w:hAnsi="仿宋" w:eastAsia="仿宋_GB2312" w:cs="仿宋"/>
          <w:bCs/>
          <w:color w:val="000000"/>
          <w:sz w:val="32"/>
          <w:szCs w:val="32"/>
          <w:lang w:eastAsia="zh-CN"/>
        </w:rPr>
      </w:pPr>
      <w:r>
        <w:rPr>
          <w:rFonts w:ascii="仿宋_GB2312" w:hAnsi="仿宋" w:eastAsia="仿宋_GB2312" w:cs="仿宋"/>
          <w:bCs/>
          <w:color w:val="000000"/>
          <w:sz w:val="32"/>
          <w:szCs w:val="32"/>
        </w:rPr>
        <w:t>3.1</w:t>
      </w:r>
      <w:r>
        <w:rPr>
          <w:rFonts w:hint="eastAsia" w:ascii="仿宋_GB2312" w:hAnsi="仿宋" w:eastAsia="仿宋_GB2312" w:cs="仿宋"/>
          <w:bCs/>
          <w:color w:val="000000"/>
          <w:sz w:val="32"/>
          <w:szCs w:val="32"/>
          <w:lang w:val="en-US" w:eastAsia="zh-CN"/>
        </w:rPr>
        <w:t>31</w:t>
      </w:r>
      <w:r>
        <w:rPr>
          <w:rFonts w:hint="eastAsia" w:ascii="仿宋_GB2312" w:hAnsi="仿宋" w:eastAsia="仿宋_GB2312" w:cs="仿宋"/>
          <w:bCs/>
          <w:color w:val="000000"/>
          <w:sz w:val="32"/>
          <w:szCs w:val="32"/>
        </w:rPr>
        <w:t>团</w:t>
      </w:r>
      <w:r>
        <w:rPr>
          <w:rFonts w:hint="eastAsia" w:ascii="仿宋_GB2312" w:hAnsi="仿宋" w:eastAsia="仿宋_GB2312" w:cs="仿宋"/>
          <w:bCs/>
          <w:color w:val="000000"/>
          <w:sz w:val="32"/>
          <w:szCs w:val="32"/>
          <w:lang w:eastAsia="zh-CN"/>
        </w:rPr>
        <w:t>疾控</w:t>
      </w:r>
      <w:r>
        <w:rPr>
          <w:rFonts w:hint="eastAsia" w:ascii="仿宋_GB2312" w:hAnsi="仿宋" w:eastAsia="仿宋_GB2312" w:cs="仿宋"/>
          <w:bCs/>
          <w:color w:val="000000"/>
          <w:sz w:val="32"/>
          <w:szCs w:val="32"/>
        </w:rPr>
        <w:t>财政拨款结转和结余情况：</w:t>
      </w:r>
      <w:r>
        <w:rPr>
          <w:rFonts w:ascii="仿宋_GB2312" w:hAnsi="仿宋" w:eastAsia="仿宋_GB2312" w:cs="仿宋"/>
          <w:bCs/>
          <w:color w:val="000000"/>
          <w:sz w:val="32"/>
          <w:szCs w:val="32"/>
        </w:rPr>
        <w:t>2018</w:t>
      </w:r>
      <w:r>
        <w:rPr>
          <w:rFonts w:hint="eastAsia" w:ascii="仿宋_GB2312" w:hAnsi="仿宋" w:eastAsia="仿宋_GB2312" w:cs="仿宋"/>
          <w:bCs/>
          <w:color w:val="000000"/>
          <w:sz w:val="32"/>
          <w:szCs w:val="32"/>
        </w:rPr>
        <w:t>年财政拨基本支出结余</w:t>
      </w:r>
      <w:r>
        <w:rPr>
          <w:rFonts w:hint="eastAsia" w:ascii="仿宋_GB2312" w:hAnsi="仿宋" w:eastAsia="仿宋_GB2312" w:cs="仿宋"/>
          <w:bCs/>
          <w:color w:val="000000"/>
          <w:sz w:val="32"/>
          <w:szCs w:val="32"/>
          <w:lang w:val="en-US" w:eastAsia="zh-CN"/>
        </w:rPr>
        <w:t>0</w:t>
      </w:r>
      <w:r>
        <w:rPr>
          <w:rFonts w:hint="eastAsia" w:ascii="仿宋_GB2312" w:hAnsi="仿宋" w:eastAsia="仿宋_GB2312" w:cs="仿宋"/>
          <w:bCs/>
          <w:color w:val="000000"/>
          <w:sz w:val="32"/>
          <w:szCs w:val="32"/>
        </w:rPr>
        <w:t>万元。项目支出结余</w:t>
      </w:r>
      <w:r>
        <w:rPr>
          <w:rFonts w:hint="eastAsia" w:ascii="仿宋_GB2312" w:hAnsi="仿宋" w:eastAsia="仿宋_GB2312" w:cs="仿宋"/>
          <w:bCs/>
          <w:color w:val="000000"/>
          <w:sz w:val="32"/>
          <w:szCs w:val="32"/>
          <w:lang w:val="en-US" w:eastAsia="zh-CN"/>
        </w:rPr>
        <w:t>91.9</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80" w:firstLine="709"/>
        <w:jc w:val="center"/>
        <w:textAlignment w:val="auto"/>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480" w:firstLine="709"/>
        <w:jc w:val="center"/>
        <w:textAlignment w:val="auto"/>
        <w:rPr>
          <w:rFonts w:hint="eastAsia" w:ascii="仿宋_GB2312" w:hAnsi="仿宋" w:eastAsia="仿宋_GB2312" w:cs="仿宋"/>
          <w:bCs/>
          <w:color w:val="000000"/>
          <w:sz w:val="32"/>
          <w:szCs w:val="32"/>
          <w:lang w:eastAsia="zh-CN"/>
        </w:rPr>
      </w:pPr>
      <w:r>
        <w:rPr>
          <w:rFonts w:hint="eastAsia" w:ascii="仿宋_GB2312" w:hAnsi="仿宋" w:eastAsia="仿宋_GB2312" w:cs="仿宋"/>
          <w:bCs/>
          <w:color w:val="000000"/>
          <w:sz w:val="32"/>
          <w:szCs w:val="32"/>
          <w:lang w:val="en-US" w:eastAsia="zh-CN"/>
        </w:rPr>
        <w:t xml:space="preserve">              131</w:t>
      </w:r>
      <w:r>
        <w:rPr>
          <w:rFonts w:hint="eastAsia" w:ascii="仿宋_GB2312" w:hAnsi="仿宋" w:eastAsia="仿宋_GB2312" w:cs="仿宋"/>
          <w:bCs/>
          <w:color w:val="000000"/>
          <w:sz w:val="32"/>
          <w:szCs w:val="32"/>
        </w:rPr>
        <w:t>团医院</w:t>
      </w:r>
      <w:r>
        <w:rPr>
          <w:rFonts w:hint="eastAsia" w:ascii="仿宋_GB2312" w:hAnsi="仿宋" w:eastAsia="仿宋_GB2312" w:cs="仿宋"/>
          <w:bCs/>
          <w:color w:val="000000"/>
          <w:sz w:val="32"/>
          <w:szCs w:val="32"/>
          <w:lang w:eastAsia="zh-CN"/>
        </w:rPr>
        <w:t>疾控中心</w:t>
      </w:r>
    </w:p>
    <w:p>
      <w:pPr>
        <w:keepNext w:val="0"/>
        <w:keepLines w:val="0"/>
        <w:pageBreakBefore w:val="0"/>
        <w:widowControl w:val="0"/>
        <w:kinsoku/>
        <w:wordWrap/>
        <w:overflowPunct/>
        <w:topLinePunct w:val="0"/>
        <w:autoSpaceDE/>
        <w:autoSpaceDN/>
        <w:bidi w:val="0"/>
        <w:adjustRightInd/>
        <w:snapToGrid/>
        <w:spacing w:line="560" w:lineRule="exact"/>
        <w:ind w:firstLine="709"/>
        <w:jc w:val="center"/>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 xml:space="preserve">          </w:t>
      </w:r>
      <w:bookmarkStart w:id="1" w:name="_GoBack"/>
      <w:bookmarkEnd w:id="1"/>
      <w:r>
        <w:rPr>
          <w:rFonts w:hint="eastAsia" w:ascii="仿宋_GB2312" w:hAnsi="仿宋" w:eastAsia="仿宋_GB2312" w:cs="仿宋"/>
          <w:bCs/>
          <w:color w:val="000000"/>
          <w:sz w:val="32"/>
          <w:szCs w:val="32"/>
          <w:lang w:val="en-US" w:eastAsia="zh-CN"/>
        </w:rPr>
        <w:t xml:space="preserve"> </w:t>
      </w:r>
      <w:r>
        <w:rPr>
          <w:rFonts w:ascii="仿宋_GB2312" w:hAnsi="仿宋" w:eastAsia="仿宋_GB2312" w:cs="仿宋"/>
          <w:bCs/>
          <w:color w:val="000000"/>
          <w:sz w:val="32"/>
          <w:szCs w:val="32"/>
        </w:rPr>
        <w:t>2018</w:t>
      </w:r>
      <w:r>
        <w:rPr>
          <w:rFonts w:hint="eastAsia" w:ascii="仿宋_GB2312" w:hAnsi="仿宋" w:eastAsia="仿宋_GB2312" w:cs="仿宋"/>
          <w:bCs/>
          <w:color w:val="000000"/>
          <w:sz w:val="32"/>
          <w:szCs w:val="32"/>
        </w:rPr>
        <w:t>年</w:t>
      </w:r>
      <w:r>
        <w:rPr>
          <w:rFonts w:hint="eastAsia" w:ascii="仿宋_GB2312" w:hAnsi="仿宋" w:eastAsia="仿宋_GB2312" w:cs="仿宋"/>
          <w:bCs/>
          <w:color w:val="000000"/>
          <w:sz w:val="32"/>
          <w:szCs w:val="32"/>
          <w:lang w:val="en-US" w:eastAsia="zh-CN"/>
        </w:rPr>
        <w:t>8</w:t>
      </w:r>
      <w:r>
        <w:rPr>
          <w:rFonts w:hint="eastAsia" w:ascii="仿宋_GB2312" w:hAnsi="仿宋" w:eastAsia="仿宋_GB2312" w:cs="仿宋"/>
          <w:bCs/>
          <w:color w:val="000000"/>
          <w:sz w:val="32"/>
          <w:szCs w:val="32"/>
        </w:rPr>
        <w:t>月</w:t>
      </w:r>
      <w:r>
        <w:rPr>
          <w:rFonts w:hint="eastAsia" w:ascii="仿宋_GB2312" w:hAnsi="仿宋" w:eastAsia="仿宋_GB2312" w:cs="仿宋"/>
          <w:bCs/>
          <w:color w:val="000000"/>
          <w:sz w:val="32"/>
          <w:szCs w:val="32"/>
          <w:lang w:val="en-US" w:eastAsia="zh-CN"/>
        </w:rPr>
        <w:t>12</w:t>
      </w:r>
      <w:r>
        <w:rPr>
          <w:rFonts w:hint="eastAsia" w:ascii="仿宋_GB2312" w:hAnsi="仿宋" w:eastAsia="仿宋_GB2312" w:cs="仿宋"/>
          <w:bCs/>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7C3"/>
    <w:rsid w:val="000018B8"/>
    <w:rsid w:val="0001406B"/>
    <w:rsid w:val="00034609"/>
    <w:rsid w:val="000457F0"/>
    <w:rsid w:val="00061AB8"/>
    <w:rsid w:val="00064240"/>
    <w:rsid w:val="00075113"/>
    <w:rsid w:val="000A1A07"/>
    <w:rsid w:val="000B7B27"/>
    <w:rsid w:val="0010715F"/>
    <w:rsid w:val="001078D8"/>
    <w:rsid w:val="00107DB1"/>
    <w:rsid w:val="00124E18"/>
    <w:rsid w:val="00127DCC"/>
    <w:rsid w:val="0013193E"/>
    <w:rsid w:val="001518F3"/>
    <w:rsid w:val="00162698"/>
    <w:rsid w:val="00184C4E"/>
    <w:rsid w:val="001B55A4"/>
    <w:rsid w:val="001F53B7"/>
    <w:rsid w:val="00242539"/>
    <w:rsid w:val="00253C18"/>
    <w:rsid w:val="00272875"/>
    <w:rsid w:val="0027762B"/>
    <w:rsid w:val="0027766D"/>
    <w:rsid w:val="002A4118"/>
    <w:rsid w:val="002A5CDC"/>
    <w:rsid w:val="002C1BBF"/>
    <w:rsid w:val="002E1D04"/>
    <w:rsid w:val="002E6CE4"/>
    <w:rsid w:val="0033410F"/>
    <w:rsid w:val="00343352"/>
    <w:rsid w:val="00357999"/>
    <w:rsid w:val="00362CF5"/>
    <w:rsid w:val="00377DA0"/>
    <w:rsid w:val="003877C3"/>
    <w:rsid w:val="003953CB"/>
    <w:rsid w:val="00395A5B"/>
    <w:rsid w:val="003C2A19"/>
    <w:rsid w:val="003D7891"/>
    <w:rsid w:val="004137B2"/>
    <w:rsid w:val="00446C34"/>
    <w:rsid w:val="004562F0"/>
    <w:rsid w:val="004848FD"/>
    <w:rsid w:val="004B6E26"/>
    <w:rsid w:val="004B75BE"/>
    <w:rsid w:val="004C47EC"/>
    <w:rsid w:val="004D56CA"/>
    <w:rsid w:val="004E0697"/>
    <w:rsid w:val="00522486"/>
    <w:rsid w:val="0056298C"/>
    <w:rsid w:val="00576055"/>
    <w:rsid w:val="0059581D"/>
    <w:rsid w:val="005B0DE8"/>
    <w:rsid w:val="005B679A"/>
    <w:rsid w:val="005F4494"/>
    <w:rsid w:val="005F78EC"/>
    <w:rsid w:val="006210EA"/>
    <w:rsid w:val="006231DE"/>
    <w:rsid w:val="00625F38"/>
    <w:rsid w:val="00633707"/>
    <w:rsid w:val="00633D1F"/>
    <w:rsid w:val="006423D8"/>
    <w:rsid w:val="00675633"/>
    <w:rsid w:val="006A0C9C"/>
    <w:rsid w:val="006B17A2"/>
    <w:rsid w:val="006C5DA9"/>
    <w:rsid w:val="006D09B4"/>
    <w:rsid w:val="00722E03"/>
    <w:rsid w:val="00730597"/>
    <w:rsid w:val="00734EFD"/>
    <w:rsid w:val="00744295"/>
    <w:rsid w:val="00754411"/>
    <w:rsid w:val="00771869"/>
    <w:rsid w:val="007C0596"/>
    <w:rsid w:val="007C6B78"/>
    <w:rsid w:val="007F1D54"/>
    <w:rsid w:val="007F5696"/>
    <w:rsid w:val="0080543C"/>
    <w:rsid w:val="00806C90"/>
    <w:rsid w:val="00844AD5"/>
    <w:rsid w:val="008713A1"/>
    <w:rsid w:val="008723E5"/>
    <w:rsid w:val="008B4CF8"/>
    <w:rsid w:val="008B677D"/>
    <w:rsid w:val="008E5B2B"/>
    <w:rsid w:val="009304BF"/>
    <w:rsid w:val="00934EDE"/>
    <w:rsid w:val="009E77A1"/>
    <w:rsid w:val="00A27B0F"/>
    <w:rsid w:val="00A407F9"/>
    <w:rsid w:val="00A47EF7"/>
    <w:rsid w:val="00A60FB4"/>
    <w:rsid w:val="00AF78B8"/>
    <w:rsid w:val="00B246F3"/>
    <w:rsid w:val="00B3404C"/>
    <w:rsid w:val="00B72614"/>
    <w:rsid w:val="00B733A1"/>
    <w:rsid w:val="00B74476"/>
    <w:rsid w:val="00BB0B4D"/>
    <w:rsid w:val="00BB150B"/>
    <w:rsid w:val="00BD4906"/>
    <w:rsid w:val="00BD6CD3"/>
    <w:rsid w:val="00C222EC"/>
    <w:rsid w:val="00C35A59"/>
    <w:rsid w:val="00CC4C16"/>
    <w:rsid w:val="00CD30E1"/>
    <w:rsid w:val="00CE1839"/>
    <w:rsid w:val="00CE6782"/>
    <w:rsid w:val="00CF5089"/>
    <w:rsid w:val="00CF5342"/>
    <w:rsid w:val="00CF7977"/>
    <w:rsid w:val="00D21A15"/>
    <w:rsid w:val="00D35B86"/>
    <w:rsid w:val="00D468F7"/>
    <w:rsid w:val="00D6432C"/>
    <w:rsid w:val="00D72EE8"/>
    <w:rsid w:val="00DA647B"/>
    <w:rsid w:val="00DC27A2"/>
    <w:rsid w:val="00DC4888"/>
    <w:rsid w:val="00DC5875"/>
    <w:rsid w:val="00DF443D"/>
    <w:rsid w:val="00E1090A"/>
    <w:rsid w:val="00E45218"/>
    <w:rsid w:val="00E569E3"/>
    <w:rsid w:val="00E87F64"/>
    <w:rsid w:val="00E94636"/>
    <w:rsid w:val="00EB5010"/>
    <w:rsid w:val="00EE0CEF"/>
    <w:rsid w:val="00F21AE7"/>
    <w:rsid w:val="00F40C4F"/>
    <w:rsid w:val="00F447A4"/>
    <w:rsid w:val="00F666DB"/>
    <w:rsid w:val="00F764C4"/>
    <w:rsid w:val="00F9260B"/>
    <w:rsid w:val="00FD5CD8"/>
    <w:rsid w:val="0EE0188E"/>
    <w:rsid w:val="1674305E"/>
    <w:rsid w:val="18F470F0"/>
    <w:rsid w:val="33372671"/>
    <w:rsid w:val="37467CBB"/>
    <w:rsid w:val="3E805A0A"/>
    <w:rsid w:val="45A531BB"/>
    <w:rsid w:val="4A2A6958"/>
    <w:rsid w:val="4FC52C61"/>
    <w:rsid w:val="590F4F81"/>
    <w:rsid w:val="61140B9F"/>
    <w:rsid w:val="65F91DC4"/>
    <w:rsid w:val="6A760E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99"/>
    <w:rPr>
      <w:rFonts w:cs="Times New Roman"/>
      <w:kern w:val="0"/>
      <w:sz w:val="18"/>
      <w:szCs w:val="18"/>
      <w:lang w:val="zh-CN"/>
    </w:rPr>
  </w:style>
  <w:style w:type="paragraph" w:styleId="3">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lang w:val="zh-CN"/>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lang w:val="zh-CN"/>
    </w:rPr>
  </w:style>
  <w:style w:type="character" w:styleId="7">
    <w:name w:val="FollowedHyperlink"/>
    <w:basedOn w:val="6"/>
    <w:semiHidden/>
    <w:qFormat/>
    <w:uiPriority w:val="99"/>
    <w:rPr>
      <w:rFonts w:cs="Times New Roman"/>
      <w:color w:val="800080"/>
      <w:u w:val="single"/>
    </w:rPr>
  </w:style>
  <w:style w:type="character" w:styleId="8">
    <w:name w:val="Hyperlink"/>
    <w:basedOn w:val="6"/>
    <w:semiHidden/>
    <w:qFormat/>
    <w:uiPriority w:val="99"/>
    <w:rPr>
      <w:rFonts w:cs="Times New Roman"/>
      <w:color w:val="0000FF"/>
      <w:u w:val="single"/>
    </w:rPr>
  </w:style>
  <w:style w:type="character" w:customStyle="1" w:styleId="9">
    <w:name w:val="Balloon Text Char"/>
    <w:basedOn w:val="6"/>
    <w:link w:val="2"/>
    <w:qFormat/>
    <w:locked/>
    <w:uiPriority w:val="99"/>
    <w:rPr>
      <w:rFonts w:ascii="Calibri" w:hAnsi="Calibri" w:eastAsia="宋体" w:cs="Times New Roman"/>
      <w:sz w:val="18"/>
      <w:lang w:val="zh-CN" w:eastAsia="zh-CN"/>
    </w:rPr>
  </w:style>
  <w:style w:type="character" w:customStyle="1" w:styleId="10">
    <w:name w:val="Footer Char"/>
    <w:basedOn w:val="6"/>
    <w:link w:val="3"/>
    <w:qFormat/>
    <w:locked/>
    <w:uiPriority w:val="99"/>
    <w:rPr>
      <w:rFonts w:ascii="Times New Roman" w:hAnsi="Times New Roman" w:eastAsia="宋体" w:cs="Times New Roman"/>
      <w:kern w:val="0"/>
      <w:sz w:val="18"/>
      <w:lang w:val="zh-CN" w:eastAsia="zh-CN"/>
    </w:rPr>
  </w:style>
  <w:style w:type="character" w:customStyle="1" w:styleId="11">
    <w:name w:val="Header Char"/>
    <w:basedOn w:val="6"/>
    <w:link w:val="4"/>
    <w:qFormat/>
    <w:locked/>
    <w:uiPriority w:val="99"/>
    <w:rPr>
      <w:rFonts w:ascii="Times New Roman" w:hAnsi="Times New Roman" w:eastAsia="宋体" w:cs="Times New Roman"/>
      <w:kern w:val="0"/>
      <w:sz w:val="18"/>
      <w:lang w:val="zh-CN" w:eastAsia="zh-CN"/>
    </w:rPr>
  </w:style>
  <w:style w:type="character" w:customStyle="1" w:styleId="12">
    <w:name w:val="页脚 Char"/>
    <w:basedOn w:val="6"/>
    <w:semiHidden/>
    <w:qFormat/>
    <w:uiPriority w:val="99"/>
    <w:rPr>
      <w:rFonts w:ascii="Calibri" w:hAnsi="Calibri" w:eastAsia="宋体" w:cs="Calibri"/>
      <w:sz w:val="18"/>
      <w:szCs w:val="18"/>
    </w:rPr>
  </w:style>
  <w:style w:type="character" w:customStyle="1" w:styleId="13">
    <w:name w:val="页眉 Char"/>
    <w:basedOn w:val="6"/>
    <w:semiHidden/>
    <w:qFormat/>
    <w:uiPriority w:val="99"/>
    <w:rPr>
      <w:rFonts w:ascii="Calibri" w:hAnsi="Calibri" w:eastAsia="宋体" w:cs="Calibri"/>
      <w:sz w:val="18"/>
      <w:szCs w:val="18"/>
    </w:rPr>
  </w:style>
  <w:style w:type="character" w:customStyle="1" w:styleId="14">
    <w:name w:val="apple-converted-space"/>
    <w:basedOn w:val="6"/>
    <w:qFormat/>
    <w:uiPriority w:val="99"/>
    <w:rPr>
      <w:rFonts w:cs="Times New Roman"/>
    </w:rPr>
  </w:style>
  <w:style w:type="character" w:customStyle="1" w:styleId="15">
    <w:name w:val="批注框文本 Char"/>
    <w:basedOn w:val="6"/>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153</Words>
  <Characters>876</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2019-01-20T23:57:00Z</dcterms:created>
  <dc:creator>闻吉</dc:creator>
  <cp:lastModifiedBy>Administrator</cp:lastModifiedBy>
  <dcterms:modified xsi:type="dcterms:W3CDTF">2019-10-11T02:05:10Z</dcterms:modified>
  <dc:title>2018年度部门决算报表填报说明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