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312" w:beforeLines="100" w:after="312" w:afterLines="100" w:line="360" w:lineRule="auto"/>
        <w:rPr>
          <w:rFonts w:ascii="仿宋_GB2312" w:hAnsi="仿宋_GB2312" w:eastAsia="仿宋_GB2312" w:cs="仿宋_GB2312"/>
        </w:rPr>
      </w:pPr>
      <w:bookmarkStart w:id="0" w:name="_Toc29797663"/>
      <w:r>
        <w:rPr>
          <w:rFonts w:hint="eastAsia" w:ascii="方正小标宋简体" w:hAnsi="方正小标宋简体" w:eastAsia="方正小标宋简体" w:cs="方正小标宋简体"/>
          <w:b w:val="0"/>
          <w:bCs/>
          <w:szCs w:val="21"/>
        </w:rPr>
        <w:t>新型智能电声防空警报器</w:t>
      </w:r>
      <w:r>
        <w:rPr>
          <w:rFonts w:hint="eastAsia" w:ascii="方正小标宋简体" w:hAnsi="方正小标宋简体" w:eastAsia="方正小标宋简体" w:cs="方正小标宋简体"/>
          <w:b w:val="0"/>
          <w:bCs/>
          <w:szCs w:val="21"/>
          <w:lang w:eastAsia="zh-CN"/>
        </w:rPr>
        <w:t>采购</w:t>
      </w:r>
      <w:r>
        <w:rPr>
          <w:rFonts w:hint="eastAsia" w:ascii="方正小标宋简体" w:hAnsi="方正小标宋简体" w:eastAsia="方正小标宋简体" w:cs="方正小标宋简体"/>
          <w:b w:val="0"/>
          <w:bCs/>
        </w:rPr>
        <w:t>需求</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一、采购标的：</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本项目采购新型智能电声防空警报器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套以及为实现项目功能要求所必须的附属设备、辅材等。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二、基本参数及功能要求：</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1.警报发放功能：具有预先警报、空袭警报、解除警报、灾情警报、解灾警报功能，各种警报均可遥控发放和手动操作发放。</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★2.应采用国家人防规定的专用保密频段无线通信进行业务链接。</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整机采用模块化设计，结构简单，体积重量尽量轻便，方便安装维护，工作可靠，采用液晶屏幕汉字显示警报状态。统控系统能够实现对单部、多部和全部的警报器进行单独控制和统一控制，无中继统控距离不少于30公里。各警报器也可单独进行警报信号播放，并根据需要调整音量大小。</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cyan"/>
        </w:rPr>
        <w:t>★4控制系统和终端设备支持国家人防标准的北斗卫星无线通信进行业务链接。</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5.多级音量控制，信号播放音质纯正，确保单个警报播放音响覆盖范围不小于500m。</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6.警报器接到遥控指令时，所有手动操作全部让位于遥控指令，音量自动调节至最大，统控中心可遥控扬声器内、外置切换。</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7.采用4路独立开关电源和4路功放输出，确保警报器信号正常发放鸣响。</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自检功能：可对电源、音源、功放、扬声器状态等进行自动检测，结果通过警报控制器发回到中央控制器。可根据需要，遥控或手动操作进行扬声器内、外状态。配内置扬声器，能适时监控警报器及控制设备的状态和监测警报播放。</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9.输出功率≥2000W。室外扬声器采用16只优质大功率音头，外壳采用热镀锌和喷塑工艺加强防锈处理，支架采用优质角钢并热镀锌工艺。</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10.采用交直流两种供电方式，具有远程送断电功能（播放警报时自动供电，警报播放完毕自动断电）。交流电源:220V，直流电源60V。交流断电时自动切换到直流供电，并在交流供电时，对蓄电池进行浮充。</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具有防误鸣功能和故障自动报警功能。警报器终端不定期的对终端各个部件进行检测，如出现设备故障或异常，终端将故障信息主动上报至控制系统中，系统会将信息以故障告警的方式在系统中进行反馈展示，实现设备的自动巡检和精准维护。</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12.工作环境：室外全天候，无惧风吹日晒雨淋；适应温度-40℃--+60℃；湿度：95%以上。</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以下功能具备可视为警报先进性体现，在方案评定是予以加分。</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语音播报功能：实现整网电声警报器语音同步播报，发放快捷，内容自由编辑，音质清晰。</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警报管理功能在国内同类产品中具有先进性：警报终端与控制系统采用实时通信方式，控制系统可以随时掌握各终端是否在线，结合终端的状态实时上报功能，实现区域内警报终端的实时在线状态展示。警报终端通过警报专网实时将终端状态上报至控制系统中并展示，终端状态包括：是否在线、设备门禁、通电开关、外放设备状态、警报控制器部件状态等。</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.平面地图呈现：在地图上展示警报器设备位置、设备的覆盖范围、设备状态等信息，能实现地图多级缩放，可快速了解本区划内的警报设备情况。</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.警报通信及控制设备24小时通电：警报终端控制器24小时通电，扩音设备自动断电，实现警报通信网络的24小时通畅。</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17.警报通信先进性，具备警报通信鉴权和动态加密功能。</w:t>
      </w:r>
    </w:p>
    <w:p>
      <w:pPr>
        <w:keepNext w:val="0"/>
        <w:keepLines w:val="0"/>
        <w:pageBreakBefore w:val="0"/>
        <w:widowControl w:val="0"/>
        <w:kinsoku/>
        <w:wordWrap/>
        <w:overflowPunct/>
        <w:topLinePunct w:val="0"/>
        <w:autoSpaceDE/>
        <w:autoSpaceDN/>
        <w:bidi w:val="0"/>
        <w:adjustRightInd/>
        <w:snapToGrid/>
        <w:spacing w:line="560" w:lineRule="exact"/>
        <w:ind w:firstLine="525" w:firstLineChars="250"/>
        <w:textAlignment w:val="auto"/>
        <w:rPr>
          <w:rFonts w:hint="eastAsia" w:ascii="黑体" w:hAnsi="黑体" w:eastAsia="黑体" w:cs="黑体"/>
          <w:b w:val="0"/>
          <w:bCs/>
          <w:szCs w:val="21"/>
        </w:rPr>
      </w:pPr>
      <w:r>
        <w:rPr>
          <w:rFonts w:hint="eastAsia" w:ascii="黑体" w:hAnsi="黑体" w:eastAsia="黑体" w:cs="黑体"/>
          <w:b w:val="0"/>
          <w:bCs/>
          <w:szCs w:val="21"/>
        </w:rPr>
        <w:t>标记“</w:t>
      </w:r>
      <w:r>
        <w:rPr>
          <w:rFonts w:hint="eastAsia" w:ascii="黑体" w:hAnsi="黑体" w:eastAsia="黑体" w:cs="黑体"/>
          <w:b w:val="0"/>
          <w:bCs/>
          <w:kern w:val="0"/>
          <w:szCs w:val="21"/>
        </w:rPr>
        <w:t>★</w:t>
      </w:r>
      <w:r>
        <w:rPr>
          <w:rFonts w:hint="eastAsia" w:ascii="黑体" w:hAnsi="黑体" w:eastAsia="黑体" w:cs="黑体"/>
          <w:b w:val="0"/>
          <w:bCs/>
          <w:szCs w:val="21"/>
        </w:rPr>
        <w:t>”符号项为实质性要求，不满足，则</w:t>
      </w:r>
      <w:r>
        <w:rPr>
          <w:rFonts w:hint="eastAsia" w:ascii="黑体" w:hAnsi="黑体" w:eastAsia="黑体" w:cs="黑体"/>
          <w:b w:val="0"/>
          <w:bCs/>
          <w:szCs w:val="21"/>
          <w:lang w:eastAsia="zh-CN"/>
        </w:rPr>
        <w:t>不在采购范围</w:t>
      </w:r>
      <w:r>
        <w:rPr>
          <w:rFonts w:hint="eastAsia" w:ascii="黑体" w:hAnsi="黑体" w:eastAsia="黑体" w:cs="黑体"/>
          <w:b w:val="0"/>
          <w:bCs/>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525" w:firstLineChars="250"/>
        <w:textAlignment w:val="auto"/>
        <w:rPr>
          <w:rFonts w:hint="eastAsia" w:ascii="黑体" w:hAnsi="黑体" w:eastAsia="黑体" w:cs="黑体"/>
          <w:b w:val="0"/>
          <w:bCs/>
          <w:szCs w:val="21"/>
        </w:rPr>
      </w:pPr>
      <w:r>
        <w:rPr>
          <w:rFonts w:hint="eastAsia" w:ascii="黑体" w:hAnsi="黑体" w:eastAsia="黑体" w:cs="黑体"/>
          <w:b w:val="0"/>
          <w:bCs/>
          <w:szCs w:val="21"/>
        </w:rPr>
        <w:t>本技术规格和技术规范提出的各项功能要求和技术指标并未对一切细节做出全部详细规定，也未充分引述有关标准和规范的条文，供应商所有与本项目有关的技术标准均应不低于报价时已颁布的国家和行业标准，或相应的国际标准的有关条文。使用最新的专利和保密专利需特别说明。</w:t>
      </w:r>
    </w:p>
    <w:p>
      <w:pPr>
        <w:widowControl/>
        <w:jc w:val="left"/>
        <w:rPr>
          <w:rFonts w:ascii="仿宋_GB2312" w:hAnsi="仿宋_GB2312" w:eastAsia="仿宋_GB2312" w:cs="仿宋_GB2312"/>
          <w:b/>
          <w:kern w:val="44"/>
          <w:sz w:val="44"/>
        </w:rPr>
      </w:pPr>
    </w:p>
    <w:p>
      <w:pPr>
        <w:widowControl/>
        <w:jc w:val="left"/>
        <w:rPr>
          <w:rFonts w:ascii="仿宋_GB2312" w:hAnsi="仿宋_GB2312" w:eastAsia="仿宋_GB2312" w:cs="仿宋_GB2312"/>
          <w:b/>
          <w:sz w:val="32"/>
          <w:szCs w:val="32"/>
        </w:rPr>
      </w:pPr>
      <w:r>
        <w:rPr>
          <w:rFonts w:ascii="仿宋_GB2312" w:hAnsi="仿宋_GB2312" w:eastAsia="仿宋_GB2312" w:cs="仿宋_GB2312"/>
          <w:b/>
          <w:sz w:val="32"/>
          <w:szCs w:val="32"/>
        </w:rPr>
        <w:br w:type="page"/>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采购</w:t>
      </w:r>
      <w:r>
        <w:rPr>
          <w:rFonts w:hint="eastAsia" w:ascii="仿宋_GB2312" w:hAnsi="仿宋_GB2312" w:eastAsia="仿宋_GB2312" w:cs="仿宋_GB2312"/>
          <w:b/>
          <w:sz w:val="32"/>
          <w:szCs w:val="32"/>
        </w:rPr>
        <w:t>评分细则</w:t>
      </w:r>
    </w:p>
    <w:p>
      <w:pPr>
        <w:jc w:val="center"/>
        <w:rPr>
          <w:rFonts w:ascii="仿宋_GB2312" w:hAnsi="仿宋_GB2312" w:eastAsia="仿宋_GB2312" w:cs="仿宋_GB2312"/>
          <w:b/>
          <w:sz w:val="28"/>
          <w:szCs w:val="28"/>
        </w:rPr>
      </w:pPr>
      <w:bookmarkStart w:id="1" w:name="_Toc28142_WPSOffice_Level2"/>
      <w:r>
        <w:rPr>
          <w:rFonts w:hint="eastAsia" w:ascii="仿宋_GB2312" w:hAnsi="仿宋_GB2312" w:eastAsia="仿宋_GB2312" w:cs="仿宋_GB2312"/>
          <w:b/>
          <w:sz w:val="28"/>
          <w:szCs w:val="28"/>
        </w:rPr>
        <w:t>（综合评分法适用）</w:t>
      </w:r>
      <w:bookmarkEnd w:id="1"/>
    </w:p>
    <w:p>
      <w:pPr>
        <w:numPr>
          <w:ilvl w:val="0"/>
          <w:numId w:val="1"/>
        </w:numPr>
        <w:jc w:val="left"/>
        <w:rPr>
          <w:rFonts w:ascii="仿宋_GB2312" w:hAnsi="仿宋_GB2312" w:eastAsia="仿宋_GB2312" w:cs="仿宋_GB2312"/>
          <w:b/>
          <w:szCs w:val="21"/>
        </w:rPr>
      </w:pPr>
      <w:r>
        <w:rPr>
          <w:rFonts w:hint="eastAsia" w:ascii="仿宋_GB2312" w:hAnsi="仿宋_GB2312" w:eastAsia="仿宋_GB2312" w:cs="仿宋_GB2312"/>
          <w:b/>
          <w:szCs w:val="21"/>
        </w:rPr>
        <w:t>基本评分标准</w:t>
      </w:r>
    </w:p>
    <w:tbl>
      <w:tblPr>
        <w:tblStyle w:val="7"/>
        <w:tblW w:w="909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72"/>
        <w:gridCol w:w="668"/>
        <w:gridCol w:w="554"/>
        <w:gridCol w:w="706"/>
        <w:gridCol w:w="549"/>
        <w:gridCol w:w="51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9096" w:type="dxa"/>
            <w:gridSpan w:val="7"/>
            <w:vAlign w:val="center"/>
          </w:tcPr>
          <w:p>
            <w:pPr>
              <w:adjustRightInd w:val="0"/>
              <w:snapToGrid w:val="0"/>
              <w:spacing w:before="156" w:beforeLines="50" w:line="360" w:lineRule="auto"/>
              <w:ind w:firstLine="560"/>
              <w:jc w:val="center"/>
              <w:rPr>
                <w:rFonts w:ascii="宋体" w:hAnsi="宋体" w:cs="宋体"/>
                <w:sz w:val="28"/>
                <w:szCs w:val="28"/>
              </w:rPr>
            </w:pPr>
            <w:r>
              <w:rPr>
                <w:rFonts w:hint="eastAsia" w:ascii="宋体" w:hAnsi="宋体" w:cs="宋体"/>
                <w:b/>
                <w:bCs/>
                <w:sz w:val="28"/>
                <w:szCs w:val="28"/>
                <w:lang w:eastAsia="zh-CN"/>
              </w:rPr>
              <w:t>采购</w:t>
            </w:r>
            <w:r>
              <w:rPr>
                <w:rFonts w:hint="eastAsia" w:ascii="宋体" w:hAnsi="宋体" w:cs="宋体"/>
                <w:b/>
                <w:bCs/>
                <w:sz w:val="28"/>
                <w:szCs w:val="28"/>
              </w:rPr>
              <w:t>方法及标准(综合评分法适用)</w:t>
            </w:r>
            <w:r>
              <w:rPr>
                <w:rFonts w:hint="eastAsia" w:ascii="宋体" w:hAnsi="宋体" w:cs="宋体"/>
                <w:b/>
                <w:sz w:val="28"/>
                <w:szCs w:val="28"/>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2160" w:type="dxa"/>
            <w:gridSpan w:val="3"/>
            <w:vAlign w:val="center"/>
          </w:tcPr>
          <w:p>
            <w:pPr>
              <w:adjustRightInd w:val="0"/>
              <w:snapToGrid w:val="0"/>
              <w:spacing w:before="156" w:beforeLines="50" w:line="360" w:lineRule="auto"/>
              <w:jc w:val="center"/>
              <w:rPr>
                <w:rFonts w:ascii="宋体" w:hAnsi="宋体" w:cs="宋体"/>
                <w:szCs w:val="21"/>
              </w:rPr>
            </w:pPr>
            <w:r>
              <w:rPr>
                <w:rFonts w:hint="eastAsia" w:ascii="宋体" w:hAnsi="宋体" w:cs="宋体"/>
                <w:szCs w:val="21"/>
              </w:rPr>
              <w:t>第二章第1.2.2</w:t>
            </w:r>
            <w:r>
              <w:rPr>
                <w:rFonts w:hint="eastAsia" w:ascii="宋体" w:hAnsi="宋体" w:cs="宋体"/>
                <w:kern w:val="0"/>
                <w:szCs w:val="21"/>
                <w:lang w:val="zh-CN"/>
              </w:rPr>
              <w:t>款</w:t>
            </w:r>
          </w:p>
        </w:tc>
        <w:tc>
          <w:tcPr>
            <w:tcW w:w="1809" w:type="dxa"/>
            <w:gridSpan w:val="3"/>
            <w:vAlign w:val="center"/>
          </w:tcPr>
          <w:p>
            <w:pPr>
              <w:adjustRightInd w:val="0"/>
              <w:snapToGrid w:val="0"/>
              <w:spacing w:before="156" w:beforeLines="50" w:line="360" w:lineRule="auto"/>
              <w:jc w:val="center"/>
              <w:rPr>
                <w:rFonts w:ascii="宋体" w:hAnsi="宋体" w:cs="宋体"/>
                <w:szCs w:val="21"/>
              </w:rPr>
            </w:pPr>
            <w:r>
              <w:rPr>
                <w:rFonts w:hint="eastAsia" w:ascii="宋体" w:hAnsi="宋体" w:cs="宋体"/>
                <w:szCs w:val="21"/>
              </w:rPr>
              <w:t>评标因素和标准</w:t>
            </w:r>
          </w:p>
        </w:tc>
        <w:tc>
          <w:tcPr>
            <w:tcW w:w="5127" w:type="dxa"/>
            <w:vAlign w:val="center"/>
          </w:tcPr>
          <w:p>
            <w:pPr>
              <w:adjustRightInd w:val="0"/>
              <w:snapToGrid w:val="0"/>
              <w:spacing w:before="156" w:beforeLines="50" w:line="360" w:lineRule="auto"/>
              <w:rPr>
                <w:rFonts w:ascii="宋体" w:hAnsi="宋体" w:cs="宋体"/>
                <w:szCs w:val="21"/>
              </w:rPr>
            </w:pPr>
            <w:r>
              <w:rPr>
                <w:rFonts w:hint="eastAsia" w:ascii="宋体" w:hAnsi="宋体" w:cs="宋体"/>
                <w:szCs w:val="21"/>
              </w:rPr>
              <w:t>(提示：因评标因素“技术”项涉及政府采购政策优惠，为便于计算，应与其他评标因素分列)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 w:hRule="atLeast"/>
          <w:jc w:val="center"/>
        </w:trPr>
        <w:tc>
          <w:tcPr>
            <w:tcW w:w="720" w:type="dxa"/>
            <w:vMerge w:val="restart"/>
            <w:tcBorders>
              <w:right w:val="single" w:color="auto" w:sz="4" w:space="0"/>
            </w:tcBorders>
            <w:vAlign w:val="center"/>
          </w:tcPr>
          <w:p>
            <w:pPr>
              <w:adjustRightInd w:val="0"/>
              <w:snapToGrid w:val="0"/>
              <w:spacing w:before="156" w:beforeLines="50" w:line="360" w:lineRule="auto"/>
              <w:rPr>
                <w:rFonts w:ascii="宋体" w:hAnsi="宋体" w:cs="宋体"/>
                <w:szCs w:val="21"/>
              </w:rPr>
            </w:pPr>
            <w:r>
              <w:rPr>
                <w:rFonts w:hint="eastAsia" w:ascii="宋体" w:hAnsi="宋体" w:cs="宋体"/>
                <w:szCs w:val="21"/>
              </w:rPr>
              <w:t>第二章第1.2.3</w:t>
            </w:r>
            <w:r>
              <w:rPr>
                <w:rFonts w:hint="eastAsia" w:ascii="宋体" w:hAnsi="宋体" w:cs="宋体"/>
                <w:kern w:val="0"/>
                <w:szCs w:val="21"/>
                <w:lang w:val="zh-CN"/>
              </w:rPr>
              <w:t>款</w:t>
            </w:r>
          </w:p>
          <w:p>
            <w:pPr>
              <w:adjustRightInd w:val="0"/>
              <w:snapToGrid w:val="0"/>
              <w:spacing w:before="156" w:beforeLines="50" w:line="360" w:lineRule="auto"/>
              <w:ind w:firstLine="480"/>
              <w:jc w:val="center"/>
              <w:rPr>
                <w:rFonts w:ascii="宋体" w:hAnsi="宋体" w:cs="宋体"/>
                <w:szCs w:val="21"/>
              </w:rPr>
            </w:pPr>
          </w:p>
        </w:tc>
        <w:tc>
          <w:tcPr>
            <w:tcW w:w="1994" w:type="dxa"/>
            <w:gridSpan w:val="3"/>
            <w:tcBorders>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ascii="宋体" w:hAnsi="宋体" w:cs="宋体"/>
                <w:b/>
                <w:szCs w:val="21"/>
              </w:rPr>
            </w:pPr>
            <w:r>
              <w:rPr>
                <w:rFonts w:hint="eastAsia" w:ascii="宋体" w:hAnsi="宋体" w:cs="宋体"/>
                <w:b/>
                <w:szCs w:val="21"/>
              </w:rPr>
              <w:t>评审因素</w:t>
            </w:r>
          </w:p>
        </w:tc>
        <w:tc>
          <w:tcPr>
            <w:tcW w:w="706" w:type="dxa"/>
            <w:tcBorders>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ascii="宋体" w:hAnsi="宋体" w:cs="宋体"/>
                <w:b/>
                <w:szCs w:val="21"/>
              </w:rPr>
            </w:pPr>
            <w:r>
              <w:rPr>
                <w:rFonts w:hint="eastAsia" w:ascii="宋体" w:hAnsi="宋体" w:cs="宋体"/>
                <w:b/>
                <w:szCs w:val="21"/>
              </w:rPr>
              <w:t>权值</w:t>
            </w:r>
          </w:p>
        </w:tc>
        <w:tc>
          <w:tcPr>
            <w:tcW w:w="5676" w:type="dxa"/>
            <w:gridSpan w:val="2"/>
            <w:tcBorders>
              <w:left w:val="single" w:color="auto" w:sz="4" w:space="0"/>
              <w:bottom w:val="single" w:color="auto" w:sz="4" w:space="0"/>
            </w:tcBorders>
            <w:vAlign w:val="center"/>
          </w:tcPr>
          <w:p>
            <w:pPr>
              <w:adjustRightInd w:val="0"/>
              <w:snapToGrid w:val="0"/>
              <w:spacing w:before="156" w:beforeLines="50" w:line="360" w:lineRule="auto"/>
              <w:ind w:firstLine="480"/>
              <w:jc w:val="center"/>
              <w:rPr>
                <w:rFonts w:ascii="宋体" w:hAnsi="宋体" w:cs="宋体"/>
                <w:b/>
                <w:szCs w:val="21"/>
              </w:rPr>
            </w:pPr>
            <w:r>
              <w:rPr>
                <w:rFonts w:hint="eastAsia" w:ascii="宋体" w:hAnsi="宋体" w:cs="宋体"/>
                <w:b/>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5" w:hRule="atLeast"/>
          <w:jc w:val="center"/>
        </w:trPr>
        <w:tc>
          <w:tcPr>
            <w:tcW w:w="720" w:type="dxa"/>
            <w:vMerge w:val="continue"/>
            <w:tcBorders>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19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报价合理性（权值为30%）</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30</w:t>
            </w:r>
          </w:p>
        </w:tc>
        <w:tc>
          <w:tcPr>
            <w:tcW w:w="5676" w:type="dxa"/>
            <w:gridSpan w:val="2"/>
            <w:tcBorders>
              <w:top w:val="single" w:color="auto" w:sz="4" w:space="0"/>
              <w:left w:val="single" w:color="auto" w:sz="4" w:space="0"/>
              <w:bottom w:val="single" w:color="auto" w:sz="4" w:space="0"/>
            </w:tcBorders>
            <w:vAlign w:val="center"/>
          </w:tcPr>
          <w:p>
            <w:pPr>
              <w:ind w:firstLine="480"/>
              <w:rPr>
                <w:rFonts w:ascii="宋体" w:hAnsi="宋体" w:cs="宋体"/>
                <w:szCs w:val="21"/>
              </w:rPr>
            </w:pPr>
            <w:r>
              <w:rPr>
                <w:rFonts w:hint="eastAsia" w:ascii="宋体" w:hAnsi="宋体" w:cs="宋体"/>
                <w:kern w:val="0"/>
                <w:szCs w:val="21"/>
              </w:rPr>
              <w:t>以经评委会一致认定满足招标文件要求且的所有投标价格的算数平均值为评标基准价，投标人的价格得分统一按公式计算：报价得分＝评标基准价÷投标报价×投标报价权重</w:t>
            </w:r>
            <w:r>
              <w:rPr>
                <w:rFonts w:hint="eastAsia" w:ascii="宋体" w:hAnsi="宋体" w:cs="宋体"/>
                <w:szCs w:val="21"/>
              </w:rPr>
              <w:t>”</w:t>
            </w:r>
          </w:p>
          <w:p>
            <w:pPr>
              <w:ind w:firstLine="480"/>
              <w:rPr>
                <w:rFonts w:ascii="宋体" w:hAnsi="宋体" w:cs="宋体"/>
                <w:szCs w:val="21"/>
              </w:rPr>
            </w:pPr>
            <w:r>
              <w:rPr>
                <w:rFonts w:hint="eastAsia"/>
                <w:szCs w:val="21"/>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720" w:type="dxa"/>
            <w:vMerge w:val="continue"/>
            <w:tcBorders>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技术（权值为50%）</w:t>
            </w:r>
          </w:p>
        </w:tc>
        <w:tc>
          <w:tcPr>
            <w:tcW w:w="1222" w:type="dxa"/>
            <w:gridSpan w:val="2"/>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产品配置功能契合度</w:t>
            </w:r>
          </w:p>
          <w:p>
            <w:pPr>
              <w:jc w:val="center"/>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5分）</w:t>
            </w:r>
          </w:p>
        </w:tc>
        <w:tc>
          <w:tcPr>
            <w:tcW w:w="706" w:type="dxa"/>
            <w:tcBorders>
              <w:top w:val="single" w:color="auto" w:sz="4" w:space="0"/>
              <w:left w:val="single" w:color="auto" w:sz="4" w:space="0"/>
              <w:right w:val="single" w:color="auto" w:sz="4" w:space="0"/>
            </w:tcBorders>
            <w:vAlign w:val="center"/>
          </w:tcPr>
          <w:p>
            <w:pPr>
              <w:adjustRightInd w:val="0"/>
              <w:snapToGrid w:val="0"/>
              <w:spacing w:before="156" w:beforeLines="50" w:line="360" w:lineRule="auto"/>
              <w:jc w:val="center"/>
              <w:rPr>
                <w:rFonts w:ascii="宋体" w:hAnsi="宋体" w:cs="宋体"/>
                <w:szCs w:val="21"/>
              </w:rPr>
            </w:pPr>
            <w:r>
              <w:rPr>
                <w:rFonts w:ascii="宋体" w:hAnsi="宋体" w:cs="宋体"/>
                <w:szCs w:val="21"/>
              </w:rPr>
              <w:t>2</w:t>
            </w:r>
            <w:r>
              <w:rPr>
                <w:rFonts w:hint="eastAsia" w:ascii="宋体" w:hAnsi="宋体" w:cs="宋体"/>
                <w:szCs w:val="21"/>
              </w:rPr>
              <w:t>5</w:t>
            </w:r>
          </w:p>
        </w:tc>
        <w:tc>
          <w:tcPr>
            <w:tcW w:w="5676" w:type="dxa"/>
            <w:gridSpan w:val="2"/>
            <w:tcBorders>
              <w:top w:val="single" w:color="auto" w:sz="4" w:space="0"/>
              <w:left w:val="single" w:color="auto" w:sz="4" w:space="0"/>
              <w:bottom w:val="single" w:color="auto" w:sz="4" w:space="0"/>
            </w:tcBorders>
            <w:vAlign w:val="center"/>
          </w:tcPr>
          <w:p>
            <w:pPr>
              <w:ind w:firstLine="480"/>
              <w:rPr>
                <w:szCs w:val="21"/>
              </w:rPr>
            </w:pPr>
            <w:r>
              <w:rPr>
                <w:rFonts w:hint="eastAsia"/>
                <w:szCs w:val="21"/>
              </w:rPr>
              <w:t>评标委员会根据投标人对本项目实施过程中采取的技术方法、关键技术等进行横向综合评定：</w:t>
            </w:r>
          </w:p>
          <w:p>
            <w:pPr>
              <w:ind w:firstLine="480"/>
              <w:rPr>
                <w:szCs w:val="21"/>
              </w:rPr>
            </w:pPr>
            <w:r>
              <w:rPr>
                <w:rFonts w:hint="eastAsia"/>
                <w:szCs w:val="21"/>
              </w:rPr>
              <w:t>主要包括</w:t>
            </w:r>
            <w:r>
              <w:rPr>
                <w:szCs w:val="21"/>
              </w:rPr>
              <w:t>：</w:t>
            </w:r>
          </w:p>
          <w:p>
            <w:pPr>
              <w:ind w:firstLine="480"/>
              <w:rPr>
                <w:szCs w:val="21"/>
              </w:rPr>
            </w:pPr>
            <w:r>
              <w:rPr>
                <w:rFonts w:hint="eastAsia"/>
                <w:szCs w:val="21"/>
              </w:rPr>
              <w:t>1、警报设备实时在线</w:t>
            </w:r>
          </w:p>
          <w:p>
            <w:pPr>
              <w:ind w:firstLine="480"/>
              <w:rPr>
                <w:szCs w:val="21"/>
              </w:rPr>
            </w:pPr>
            <w:r>
              <w:rPr>
                <w:rFonts w:hint="eastAsia"/>
                <w:szCs w:val="21"/>
              </w:rPr>
              <w:t>2、故障实时上报</w:t>
            </w:r>
          </w:p>
          <w:p>
            <w:pPr>
              <w:ind w:firstLine="480"/>
              <w:rPr>
                <w:szCs w:val="21"/>
              </w:rPr>
            </w:pPr>
            <w:r>
              <w:rPr>
                <w:rFonts w:hint="eastAsia"/>
                <w:szCs w:val="21"/>
              </w:rPr>
              <w:t>3、智能语音警报</w:t>
            </w:r>
          </w:p>
          <w:p>
            <w:pPr>
              <w:ind w:firstLine="480"/>
              <w:rPr>
                <w:szCs w:val="21"/>
              </w:rPr>
            </w:pPr>
            <w:r>
              <w:rPr>
                <w:rFonts w:hint="eastAsia"/>
                <w:szCs w:val="21"/>
              </w:rPr>
              <w:t>4、远程通断电</w:t>
            </w:r>
          </w:p>
          <w:p>
            <w:pPr>
              <w:ind w:firstLine="480"/>
              <w:rPr>
                <w:szCs w:val="21"/>
              </w:rPr>
            </w:pPr>
            <w:r>
              <w:rPr>
                <w:rFonts w:hint="eastAsia"/>
                <w:szCs w:val="21"/>
              </w:rPr>
              <w:t>5、运行状态实时上报</w:t>
            </w:r>
          </w:p>
          <w:p>
            <w:pPr>
              <w:ind w:firstLine="480"/>
              <w:rPr>
                <w:szCs w:val="21"/>
              </w:rPr>
            </w:pPr>
            <w:r>
              <w:rPr>
                <w:rFonts w:hint="eastAsia"/>
                <w:szCs w:val="21"/>
              </w:rPr>
              <w:t>6、灵活实现统控、区控、组控、单控</w:t>
            </w:r>
          </w:p>
          <w:p>
            <w:pPr>
              <w:ind w:firstLine="480"/>
              <w:rPr>
                <w:szCs w:val="21"/>
              </w:rPr>
            </w:pPr>
            <w:r>
              <w:rPr>
                <w:rFonts w:hint="eastAsia"/>
                <w:szCs w:val="21"/>
              </w:rPr>
              <w:t>7、包括0-19级的卫星及平面地图呈现警报信息</w:t>
            </w:r>
          </w:p>
          <w:p>
            <w:pPr>
              <w:ind w:firstLine="480"/>
              <w:rPr>
                <w:szCs w:val="21"/>
              </w:rPr>
            </w:pPr>
            <w:r>
              <w:rPr>
                <w:rFonts w:hint="eastAsia"/>
                <w:szCs w:val="21"/>
              </w:rPr>
              <w:t>8、警报通信及控制设备24小时通电</w:t>
            </w:r>
          </w:p>
          <w:p>
            <w:pPr>
              <w:ind w:firstLine="480"/>
              <w:rPr>
                <w:szCs w:val="21"/>
              </w:rPr>
            </w:pPr>
            <w:r>
              <w:rPr>
                <w:rFonts w:hint="eastAsia"/>
                <w:szCs w:val="21"/>
              </w:rPr>
              <w:t>9、动态密钥加密</w:t>
            </w:r>
          </w:p>
          <w:p>
            <w:pPr>
              <w:ind w:firstLine="480"/>
              <w:rPr>
                <w:szCs w:val="21"/>
              </w:rPr>
            </w:pPr>
            <w:r>
              <w:rPr>
                <w:rFonts w:hint="eastAsia"/>
                <w:szCs w:val="21"/>
              </w:rPr>
              <w:t>10、防指令截获重发</w:t>
            </w:r>
          </w:p>
          <w:p>
            <w:pPr>
              <w:ind w:firstLine="480"/>
              <w:rPr>
                <w:szCs w:val="21"/>
              </w:rPr>
            </w:pPr>
            <w:r>
              <w:rPr>
                <w:rFonts w:hint="eastAsia"/>
                <w:szCs w:val="21"/>
              </w:rPr>
              <w:t>1</w:t>
            </w:r>
            <w:r>
              <w:rPr>
                <w:szCs w:val="21"/>
              </w:rPr>
              <w:t>1</w:t>
            </w:r>
            <w:r>
              <w:rPr>
                <w:rFonts w:hint="eastAsia"/>
                <w:szCs w:val="21"/>
              </w:rPr>
              <w:t>、具备二次供电系统接口</w:t>
            </w:r>
          </w:p>
          <w:p>
            <w:pPr>
              <w:ind w:firstLine="480"/>
              <w:rPr>
                <w:szCs w:val="21"/>
              </w:rPr>
            </w:pPr>
            <w:r>
              <w:rPr>
                <w:rFonts w:hint="eastAsia"/>
                <w:szCs w:val="21"/>
              </w:rPr>
              <w:t>1</w:t>
            </w:r>
            <w:r>
              <w:rPr>
                <w:szCs w:val="21"/>
              </w:rPr>
              <w:t>2</w:t>
            </w:r>
            <w:r>
              <w:rPr>
                <w:rFonts w:hint="eastAsia"/>
                <w:szCs w:val="21"/>
              </w:rPr>
              <w:t>、具备多级统控能力</w:t>
            </w:r>
          </w:p>
          <w:p>
            <w:pPr>
              <w:rPr>
                <w:rFonts w:ascii="宋体" w:hAnsi="宋体" w:cs="宋体"/>
                <w:szCs w:val="21"/>
              </w:rPr>
            </w:pPr>
            <w:r>
              <w:rPr>
                <w:rFonts w:hint="eastAsia"/>
                <w:szCs w:val="21"/>
              </w:rPr>
              <w:t xml:space="preserve">全部满足得 </w:t>
            </w:r>
            <w:r>
              <w:rPr>
                <w:szCs w:val="21"/>
              </w:rPr>
              <w:t>2</w:t>
            </w:r>
            <w:r>
              <w:rPr>
                <w:rFonts w:hint="eastAsia"/>
                <w:szCs w:val="21"/>
              </w:rPr>
              <w:t>5分；满足一半以上得10分，满足一半以下不得分。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20" w:type="dxa"/>
            <w:vMerge w:val="continue"/>
            <w:tcBorders>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continue"/>
            <w:tcBorders>
              <w:left w:val="single" w:color="auto" w:sz="4" w:space="0"/>
              <w:right w:val="single" w:color="auto" w:sz="4" w:space="0"/>
            </w:tcBorders>
            <w:vAlign w:val="center"/>
          </w:tcPr>
          <w:p>
            <w:pPr>
              <w:ind w:firstLine="480"/>
              <w:rPr>
                <w:rFonts w:ascii="宋体" w:hAnsi="宋体" w:cs="宋体"/>
                <w:kern w:val="0"/>
                <w:szCs w:val="21"/>
              </w:rPr>
            </w:pPr>
          </w:p>
        </w:tc>
        <w:tc>
          <w:tcPr>
            <w:tcW w:w="1222" w:type="dxa"/>
            <w:gridSpan w:val="2"/>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设备选型及系统先进性      （20分）</w:t>
            </w:r>
          </w:p>
          <w:p>
            <w:pPr>
              <w:ind w:firstLine="480"/>
              <w:jc w:val="center"/>
              <w:rPr>
                <w:rFonts w:ascii="宋体" w:hAnsi="宋体" w:cs="宋体"/>
                <w:kern w:val="0"/>
                <w:szCs w:val="21"/>
              </w:rPr>
            </w:pPr>
          </w:p>
        </w:tc>
        <w:tc>
          <w:tcPr>
            <w:tcW w:w="70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20</w:t>
            </w:r>
          </w:p>
        </w:tc>
        <w:tc>
          <w:tcPr>
            <w:tcW w:w="5676" w:type="dxa"/>
            <w:gridSpan w:val="2"/>
            <w:tcBorders>
              <w:top w:val="single" w:color="auto" w:sz="4" w:space="0"/>
              <w:left w:val="single" w:color="auto" w:sz="4" w:space="0"/>
              <w:bottom w:val="single" w:color="auto" w:sz="4" w:space="0"/>
            </w:tcBorders>
            <w:vAlign w:val="center"/>
          </w:tcPr>
          <w:p>
            <w:pPr>
              <w:numPr>
                <w:ilvl w:val="0"/>
                <w:numId w:val="2"/>
              </w:numPr>
              <w:rPr>
                <w:szCs w:val="21"/>
              </w:rPr>
            </w:pPr>
            <w:r>
              <w:rPr>
                <w:rFonts w:hint="eastAsia"/>
                <w:szCs w:val="21"/>
              </w:rPr>
              <w:t>产品近3年通过国家人防主管部门的鉴定得5分；</w:t>
            </w:r>
          </w:p>
          <w:p>
            <w:pPr>
              <w:numPr>
                <w:ilvl w:val="0"/>
                <w:numId w:val="2"/>
              </w:numPr>
              <w:rPr>
                <w:szCs w:val="21"/>
              </w:rPr>
            </w:pPr>
            <w:r>
              <w:rPr>
                <w:rFonts w:hint="eastAsia"/>
                <w:szCs w:val="21"/>
              </w:rPr>
              <w:t>产品具有警报相关国家专利证书，1项得1分，最高计5分；</w:t>
            </w:r>
          </w:p>
          <w:p>
            <w:pPr>
              <w:numPr>
                <w:ilvl w:val="0"/>
                <w:numId w:val="2"/>
              </w:numPr>
              <w:rPr>
                <w:szCs w:val="21"/>
              </w:rPr>
            </w:pPr>
            <w:r>
              <w:rPr>
                <w:rFonts w:hint="eastAsia"/>
                <w:szCs w:val="21"/>
              </w:rPr>
              <w:t>产品软件获得国家软件著作权证书，1项得1分，最高计5分；</w:t>
            </w:r>
          </w:p>
          <w:p>
            <w:pPr>
              <w:numPr>
                <w:ilvl w:val="0"/>
                <w:numId w:val="2"/>
              </w:numPr>
              <w:rPr>
                <w:rFonts w:ascii="宋体" w:hAnsi="宋体" w:cs="宋体"/>
                <w:szCs w:val="21"/>
              </w:rPr>
            </w:pPr>
            <w:r>
              <w:rPr>
                <w:rFonts w:hint="eastAsia"/>
                <w:szCs w:val="21"/>
              </w:rPr>
              <w:t>产品中数传电台通过国家无线电发射设备型号核准的，计5分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720" w:type="dxa"/>
            <w:vMerge w:val="continue"/>
            <w:tcBorders>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continue"/>
            <w:tcBorders>
              <w:left w:val="single" w:color="auto" w:sz="4" w:space="0"/>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1222" w:type="dxa"/>
            <w:gridSpan w:val="2"/>
            <w:tcBorders>
              <w:left w:val="single" w:color="auto" w:sz="4" w:space="0"/>
              <w:right w:val="single" w:color="auto" w:sz="4" w:space="0"/>
            </w:tcBorders>
            <w:vAlign w:val="center"/>
          </w:tcPr>
          <w:p>
            <w:pPr>
              <w:jc w:val="center"/>
              <w:rPr>
                <w:szCs w:val="21"/>
              </w:rPr>
            </w:pPr>
            <w:r>
              <w:rPr>
                <w:rFonts w:hint="eastAsia"/>
                <w:szCs w:val="21"/>
              </w:rPr>
              <w:t>业绩</w:t>
            </w:r>
          </w:p>
          <w:p>
            <w:pPr>
              <w:jc w:val="center"/>
              <w:rPr>
                <w:rFonts w:ascii="宋体" w:hAnsi="宋体" w:cs="宋体"/>
                <w:kern w:val="0"/>
                <w:szCs w:val="21"/>
              </w:rPr>
            </w:pPr>
            <w:r>
              <w:rPr>
                <w:rFonts w:hint="eastAsia"/>
                <w:szCs w:val="21"/>
              </w:rPr>
              <w:t>（5分）</w:t>
            </w:r>
          </w:p>
        </w:tc>
        <w:tc>
          <w:tcPr>
            <w:tcW w:w="706" w:type="dxa"/>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5</w:t>
            </w:r>
          </w:p>
        </w:tc>
        <w:tc>
          <w:tcPr>
            <w:tcW w:w="5676" w:type="dxa"/>
            <w:gridSpan w:val="2"/>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s="宋体"/>
                <w:szCs w:val="21"/>
              </w:rPr>
            </w:pPr>
            <w:r>
              <w:rPr>
                <w:rFonts w:hint="eastAsia" w:ascii="宋体" w:hAnsi="宋体"/>
                <w:szCs w:val="21"/>
              </w:rPr>
              <w:t>投标人所采用的设备2016年以来（起始时间以合同签订时间为准）具有人防警报系统业绩的，计</w:t>
            </w:r>
            <w:r>
              <w:rPr>
                <w:rFonts w:ascii="宋体" w:hAnsi="宋体"/>
                <w:szCs w:val="21"/>
              </w:rPr>
              <w:t>5</w:t>
            </w:r>
            <w:r>
              <w:rPr>
                <w:rFonts w:hint="eastAsia" w:ascii="宋体" w:hAnsi="宋体"/>
                <w:szCs w:val="21"/>
              </w:rPr>
              <w:t>分。投标人须提供以投标人名义与用户签署的任务书或合同复印件或用户出具的证明文件，合同以签订日期为准，须显示项目名称、金额，否则不计分。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720" w:type="dxa"/>
            <w:vMerge w:val="continue"/>
            <w:tcBorders>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continue"/>
            <w:tcBorders>
              <w:left w:val="single" w:color="auto" w:sz="4" w:space="0"/>
              <w:right w:val="single" w:color="auto" w:sz="4" w:space="0"/>
            </w:tcBorders>
            <w:vAlign w:val="center"/>
          </w:tcPr>
          <w:p>
            <w:pPr>
              <w:adjustRightInd w:val="0"/>
              <w:snapToGrid w:val="0"/>
              <w:spacing w:before="156" w:beforeLines="50" w:line="360" w:lineRule="auto"/>
              <w:ind w:firstLine="480"/>
              <w:jc w:val="center"/>
              <w:rPr>
                <w:rFonts w:ascii="宋体" w:hAnsi="宋体" w:cs="宋体"/>
                <w:szCs w:val="21"/>
              </w:rPr>
            </w:pPr>
          </w:p>
        </w:tc>
        <w:tc>
          <w:tcPr>
            <w:tcW w:w="1222" w:type="dxa"/>
            <w:gridSpan w:val="2"/>
            <w:tcBorders>
              <w:left w:val="single" w:color="auto" w:sz="4" w:space="0"/>
              <w:right w:val="single" w:color="auto" w:sz="4" w:space="0"/>
            </w:tcBorders>
            <w:vAlign w:val="center"/>
          </w:tcPr>
          <w:p>
            <w:pPr>
              <w:jc w:val="center"/>
              <w:rPr>
                <w:szCs w:val="21"/>
              </w:rPr>
            </w:pPr>
            <w:r>
              <w:rPr>
                <w:rFonts w:hint="eastAsia"/>
                <w:szCs w:val="21"/>
              </w:rPr>
              <w:t>供货及安装（</w:t>
            </w:r>
            <w:r>
              <w:rPr>
                <w:szCs w:val="21"/>
              </w:rPr>
              <w:t>5</w:t>
            </w:r>
            <w:r>
              <w:rPr>
                <w:rFonts w:hint="eastAsia"/>
                <w:szCs w:val="21"/>
              </w:rPr>
              <w:t>分）</w:t>
            </w:r>
          </w:p>
        </w:tc>
        <w:tc>
          <w:tcPr>
            <w:tcW w:w="706" w:type="dxa"/>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ascii="宋体" w:hAnsi="宋体" w:cs="宋体"/>
                <w:kern w:val="0"/>
                <w:szCs w:val="21"/>
              </w:rPr>
              <w:t>5</w:t>
            </w:r>
          </w:p>
        </w:tc>
        <w:tc>
          <w:tcPr>
            <w:tcW w:w="5676" w:type="dxa"/>
            <w:gridSpan w:val="2"/>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szCs w:val="21"/>
              </w:rPr>
            </w:pPr>
            <w:r>
              <w:rPr>
                <w:rFonts w:hint="eastAsia" w:hAnsi="宋体" w:cs="宋体"/>
                <w:szCs w:val="21"/>
              </w:rPr>
              <w:t>投标人所投设备的生产、运输周期合理、保障措施可靠，供货期及安装期满足招标文件要求得</w:t>
            </w:r>
            <w:r>
              <w:rPr>
                <w:rFonts w:hAnsi="宋体" w:cs="宋体"/>
                <w:szCs w:val="21"/>
              </w:rPr>
              <w:t>3</w:t>
            </w:r>
            <w:r>
              <w:rPr>
                <w:rFonts w:hint="eastAsia" w:hAnsi="宋体" w:cs="宋体"/>
                <w:szCs w:val="21"/>
              </w:rPr>
              <w:t>分，每提前5天加1分， 最多得</w:t>
            </w:r>
            <w:r>
              <w:rPr>
                <w:rFonts w:hAnsi="宋体" w:cs="宋体"/>
                <w:szCs w:val="21"/>
              </w:rPr>
              <w:t>2</w:t>
            </w:r>
            <w:r>
              <w:rPr>
                <w:rFonts w:hint="eastAsia" w:hAnsi="宋体" w:cs="宋体"/>
                <w:szCs w:val="21"/>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720" w:type="dxa"/>
            <w:vMerge w:val="continue"/>
            <w:tcBorders>
              <w:right w:val="single" w:color="auto" w:sz="4" w:space="0"/>
            </w:tcBorders>
            <w:shd w:val="clear" w:color="auto" w:fill="auto"/>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continue"/>
            <w:tcBorders>
              <w:left w:val="single" w:color="auto" w:sz="4" w:space="0"/>
              <w:right w:val="single" w:color="auto" w:sz="4" w:space="0"/>
            </w:tcBorders>
            <w:shd w:val="clear" w:color="auto" w:fill="auto"/>
            <w:vAlign w:val="center"/>
          </w:tcPr>
          <w:p>
            <w:pPr>
              <w:adjustRightInd w:val="0"/>
              <w:snapToGrid w:val="0"/>
              <w:spacing w:before="156" w:beforeLines="50" w:line="360" w:lineRule="auto"/>
              <w:ind w:firstLine="480"/>
              <w:jc w:val="center"/>
              <w:rPr>
                <w:rFonts w:ascii="宋体" w:hAnsi="宋体" w:cs="宋体"/>
                <w:szCs w:val="21"/>
              </w:rPr>
            </w:pPr>
          </w:p>
        </w:tc>
        <w:tc>
          <w:tcPr>
            <w:tcW w:w="1222" w:type="dxa"/>
            <w:gridSpan w:val="2"/>
            <w:tcBorders>
              <w:left w:val="single" w:color="auto" w:sz="4" w:space="0"/>
              <w:right w:val="single" w:color="auto" w:sz="4" w:space="0"/>
            </w:tcBorders>
            <w:shd w:val="clear" w:color="auto" w:fill="auto"/>
            <w:vAlign w:val="center"/>
          </w:tcPr>
          <w:p>
            <w:pPr>
              <w:jc w:val="center"/>
              <w:rPr>
                <w:szCs w:val="21"/>
              </w:rPr>
            </w:pPr>
            <w:r>
              <w:rPr>
                <w:rFonts w:hint="eastAsia"/>
                <w:szCs w:val="21"/>
              </w:rPr>
              <w:t>售后服务</w:t>
            </w:r>
          </w:p>
          <w:p>
            <w:pPr>
              <w:jc w:val="center"/>
              <w:rPr>
                <w:rFonts w:ascii="宋体" w:hAnsi="宋体" w:cs="宋体"/>
                <w:kern w:val="0"/>
                <w:szCs w:val="21"/>
              </w:rPr>
            </w:pPr>
            <w:r>
              <w:rPr>
                <w:rFonts w:hint="eastAsia"/>
                <w:szCs w:val="21"/>
              </w:rPr>
              <w:t>（</w:t>
            </w:r>
            <w:r>
              <w:rPr>
                <w:szCs w:val="21"/>
              </w:rPr>
              <w:t>10</w:t>
            </w:r>
            <w:r>
              <w:rPr>
                <w:rFonts w:hint="eastAsia"/>
                <w:szCs w:val="21"/>
              </w:rPr>
              <w:t>分）</w:t>
            </w:r>
          </w:p>
        </w:tc>
        <w:tc>
          <w:tcPr>
            <w:tcW w:w="706" w:type="dxa"/>
            <w:tcBorders>
              <w:left w:val="single" w:color="auto" w:sz="4" w:space="0"/>
              <w:right w:val="single" w:color="auto" w:sz="4" w:space="0"/>
            </w:tcBorders>
            <w:shd w:val="clear" w:color="auto" w:fill="FFFFFF"/>
            <w:vAlign w:val="center"/>
          </w:tcPr>
          <w:p>
            <w:pPr>
              <w:jc w:val="center"/>
              <w:rPr>
                <w:rFonts w:ascii="宋体" w:hAnsi="宋体" w:cs="宋体"/>
                <w:kern w:val="0"/>
                <w:szCs w:val="21"/>
              </w:rPr>
            </w:pPr>
            <w:r>
              <w:rPr>
                <w:rFonts w:ascii="宋体" w:hAnsi="宋体" w:cs="宋体"/>
                <w:kern w:val="0"/>
                <w:szCs w:val="21"/>
              </w:rPr>
              <w:t>10</w:t>
            </w:r>
          </w:p>
        </w:tc>
        <w:tc>
          <w:tcPr>
            <w:tcW w:w="5676" w:type="dxa"/>
            <w:gridSpan w:val="2"/>
            <w:tcBorders>
              <w:top w:val="single" w:color="auto" w:sz="4" w:space="0"/>
              <w:left w:val="single" w:color="auto" w:sz="4" w:space="0"/>
              <w:bottom w:val="single" w:color="auto" w:sz="4" w:space="0"/>
            </w:tcBorders>
            <w:shd w:val="clear" w:color="auto" w:fill="FFFFFF"/>
            <w:vAlign w:val="center"/>
          </w:tcPr>
          <w:p>
            <w:pPr>
              <w:pStyle w:val="3"/>
              <w:spacing w:line="360" w:lineRule="auto"/>
              <w:jc w:val="left"/>
              <w:rPr>
                <w:rFonts w:ascii="Calibri" w:hAnsi="宋体" w:eastAsia="仿宋" w:cs="宋体"/>
                <w:sz w:val="21"/>
                <w:szCs w:val="21"/>
              </w:rPr>
            </w:pPr>
            <w:r>
              <w:rPr>
                <w:rFonts w:hint="eastAsia" w:ascii="Calibri" w:hAnsi="宋体" w:eastAsia="仿宋" w:cs="宋体"/>
                <w:sz w:val="21"/>
                <w:szCs w:val="21"/>
              </w:rPr>
              <w:t>根据投标人针对本项目售后服务方案（须注明质保期、服务响应时间、服务方式、服务团队、服务内容、服务计划的合理性等方面）的合理及完善程度分档计分：售后服务承诺、供货及安装措施优于其他投标人售后服务承诺的得</w:t>
            </w:r>
            <w:r>
              <w:rPr>
                <w:rFonts w:ascii="Calibri" w:hAnsi="宋体" w:eastAsia="仿宋" w:cs="宋体"/>
                <w:sz w:val="21"/>
                <w:szCs w:val="21"/>
              </w:rPr>
              <w:t>10</w:t>
            </w:r>
            <w:r>
              <w:rPr>
                <w:rFonts w:hint="eastAsia" w:ascii="Calibri" w:hAnsi="宋体" w:eastAsia="仿宋" w:cs="宋体"/>
                <w:sz w:val="21"/>
                <w:szCs w:val="21"/>
              </w:rPr>
              <w:t>分:</w:t>
            </w:r>
          </w:p>
          <w:p>
            <w:pPr>
              <w:rPr>
                <w:rFonts w:ascii="宋体" w:hAnsi="宋体"/>
                <w:szCs w:val="21"/>
              </w:rPr>
            </w:pPr>
            <w:r>
              <w:rPr>
                <w:rFonts w:hint="eastAsia" w:hAnsi="宋体" w:cs="宋体"/>
                <w:szCs w:val="21"/>
              </w:rPr>
              <w:t>,售后服务承诺、供货及安装措施满足招标人要求的得</w:t>
            </w:r>
            <w:r>
              <w:rPr>
                <w:rFonts w:hAnsi="宋体" w:cs="宋体"/>
                <w:szCs w:val="21"/>
              </w:rPr>
              <w:t>7</w:t>
            </w:r>
            <w:r>
              <w:rPr>
                <w:rFonts w:hint="eastAsia" w:hAnsi="宋体" w:cs="宋体"/>
                <w:szCs w:val="21"/>
              </w:rPr>
              <w:t>分:售后服务承诺、供货及安装措施不满足招标人要求的得0分。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720" w:type="dxa"/>
            <w:tcBorders>
              <w:right w:val="single" w:color="auto" w:sz="4" w:space="0"/>
            </w:tcBorders>
            <w:shd w:val="clear" w:color="auto" w:fill="auto"/>
            <w:vAlign w:val="center"/>
          </w:tcPr>
          <w:p>
            <w:pPr>
              <w:adjustRightInd w:val="0"/>
              <w:snapToGrid w:val="0"/>
              <w:spacing w:before="156" w:beforeLines="50" w:line="360" w:lineRule="auto"/>
              <w:ind w:firstLine="480"/>
              <w:jc w:val="center"/>
              <w:rPr>
                <w:rFonts w:ascii="宋体" w:hAnsi="宋体" w:cs="宋体"/>
                <w:szCs w:val="21"/>
              </w:rPr>
            </w:pPr>
          </w:p>
        </w:tc>
        <w:tc>
          <w:tcPr>
            <w:tcW w:w="772" w:type="dxa"/>
            <w:vMerge w:val="continue"/>
            <w:tcBorders>
              <w:left w:val="single" w:color="auto" w:sz="4" w:space="0"/>
              <w:right w:val="single" w:color="auto" w:sz="4" w:space="0"/>
            </w:tcBorders>
            <w:shd w:val="clear" w:color="auto" w:fill="auto"/>
            <w:vAlign w:val="center"/>
          </w:tcPr>
          <w:p>
            <w:pPr>
              <w:adjustRightInd w:val="0"/>
              <w:snapToGrid w:val="0"/>
              <w:spacing w:before="156" w:beforeLines="50" w:line="360" w:lineRule="auto"/>
              <w:ind w:firstLine="480"/>
              <w:jc w:val="center"/>
              <w:rPr>
                <w:rFonts w:ascii="宋体" w:hAnsi="宋体" w:cs="宋体"/>
                <w:szCs w:val="21"/>
              </w:rPr>
            </w:pPr>
          </w:p>
        </w:tc>
        <w:tc>
          <w:tcPr>
            <w:tcW w:w="1222" w:type="dxa"/>
            <w:gridSpan w:val="2"/>
            <w:tcBorders>
              <w:left w:val="single" w:color="auto" w:sz="4" w:space="0"/>
              <w:right w:val="single" w:color="auto" w:sz="4" w:space="0"/>
            </w:tcBorders>
            <w:shd w:val="clear" w:color="auto" w:fill="auto"/>
            <w:vAlign w:val="center"/>
          </w:tcPr>
          <w:p>
            <w:pPr>
              <w:jc w:val="center"/>
              <w:rPr>
                <w:szCs w:val="21"/>
              </w:rPr>
            </w:pPr>
            <w:r>
              <w:rPr>
                <w:rFonts w:hint="eastAsia"/>
                <w:szCs w:val="21"/>
              </w:rPr>
              <w:t>投标书编制（</w:t>
            </w:r>
            <w:r>
              <w:rPr>
                <w:szCs w:val="21"/>
              </w:rPr>
              <w:t>5</w:t>
            </w:r>
            <w:r>
              <w:rPr>
                <w:rFonts w:hint="eastAsia"/>
                <w:szCs w:val="21"/>
              </w:rPr>
              <w:t>分）</w:t>
            </w:r>
          </w:p>
        </w:tc>
        <w:tc>
          <w:tcPr>
            <w:tcW w:w="706" w:type="dxa"/>
            <w:tcBorders>
              <w:left w:val="single" w:color="auto" w:sz="4" w:space="0"/>
              <w:right w:val="single" w:color="auto" w:sz="4" w:space="0"/>
            </w:tcBorders>
            <w:shd w:val="clear" w:color="auto" w:fill="FFFFFF"/>
            <w:vAlign w:val="center"/>
          </w:tcPr>
          <w:p>
            <w:pPr>
              <w:jc w:val="center"/>
              <w:rPr>
                <w:rFonts w:ascii="宋体" w:hAnsi="宋体" w:cs="宋体"/>
                <w:kern w:val="0"/>
                <w:szCs w:val="21"/>
              </w:rPr>
            </w:pPr>
            <w:r>
              <w:rPr>
                <w:rFonts w:ascii="宋体" w:hAnsi="宋体" w:cs="宋体"/>
                <w:kern w:val="0"/>
                <w:szCs w:val="21"/>
              </w:rPr>
              <w:t>5</w:t>
            </w:r>
          </w:p>
        </w:tc>
        <w:tc>
          <w:tcPr>
            <w:tcW w:w="5676" w:type="dxa"/>
            <w:gridSpan w:val="2"/>
            <w:tcBorders>
              <w:top w:val="single" w:color="auto" w:sz="4" w:space="0"/>
              <w:left w:val="single" w:color="auto" w:sz="4" w:space="0"/>
              <w:bottom w:val="single" w:color="auto" w:sz="4" w:space="0"/>
            </w:tcBorders>
            <w:shd w:val="clear" w:color="auto" w:fill="FFFFFF"/>
            <w:vAlign w:val="center"/>
          </w:tcPr>
          <w:p>
            <w:pPr>
              <w:rPr>
                <w:rFonts w:hAnsi="宋体" w:cs="宋体"/>
                <w:szCs w:val="21"/>
              </w:rPr>
            </w:pPr>
            <w:r>
              <w:rPr>
                <w:rFonts w:hint="eastAsia" w:ascii="宋体" w:hAnsi="宋体" w:cs="宋体"/>
                <w:kern w:val="0"/>
                <w:szCs w:val="21"/>
              </w:rPr>
              <w:t>投标书按招标文件规定的格式、顺序编制，有目录、编页码，装订成册，书面整洁无涂改，没有缺漏项，价格数量等计算准确的，计</w:t>
            </w:r>
            <w:r>
              <w:rPr>
                <w:rFonts w:ascii="宋体" w:hAnsi="宋体" w:cs="宋体"/>
                <w:kern w:val="0"/>
                <w:szCs w:val="21"/>
              </w:rPr>
              <w:t>5</w:t>
            </w:r>
            <w:r>
              <w:rPr>
                <w:rFonts w:hint="eastAsia" w:ascii="宋体" w:hAnsi="宋体" w:cs="宋体"/>
                <w:kern w:val="0"/>
                <w:szCs w:val="21"/>
              </w:rPr>
              <w:t>分；不符合要求的，每处扣0.5分，扣完为止。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3420" w:type="dxa"/>
            <w:gridSpan w:val="5"/>
            <w:tcBorders>
              <w:right w:val="single" w:color="auto" w:sz="4" w:space="0"/>
            </w:tcBorders>
            <w:vAlign w:val="center"/>
          </w:tcPr>
          <w:p>
            <w:pPr>
              <w:ind w:firstLine="480"/>
              <w:jc w:val="center"/>
              <w:rPr>
                <w:rFonts w:ascii="宋体" w:hAnsi="宋体" w:cs="宋体"/>
                <w:kern w:val="0"/>
                <w:szCs w:val="21"/>
              </w:rPr>
            </w:pPr>
            <w:r>
              <w:rPr>
                <w:rFonts w:hint="eastAsia" w:ascii="宋体" w:hAnsi="宋体" w:cs="宋体"/>
                <w:szCs w:val="21"/>
              </w:rPr>
              <w:t>合计</w:t>
            </w:r>
          </w:p>
        </w:tc>
        <w:tc>
          <w:tcPr>
            <w:tcW w:w="5676" w:type="dxa"/>
            <w:gridSpan w:val="2"/>
            <w:tcBorders>
              <w:top w:val="single" w:color="auto" w:sz="4" w:space="0"/>
              <w:left w:val="single" w:color="auto" w:sz="4" w:space="0"/>
              <w:bottom w:val="single" w:color="auto" w:sz="4" w:space="0"/>
            </w:tcBorders>
            <w:vAlign w:val="center"/>
          </w:tcPr>
          <w:p>
            <w:pPr>
              <w:ind w:firstLine="480"/>
              <w:rPr>
                <w:szCs w:val="21"/>
              </w:rPr>
            </w:pPr>
            <w:r>
              <w:rPr>
                <w:rFonts w:hint="eastAsia"/>
                <w:szCs w:val="21"/>
              </w:rPr>
              <w:t>100</w:t>
            </w:r>
          </w:p>
        </w:tc>
      </w:tr>
    </w:tbl>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tbl>
      <w:tblPr>
        <w:tblStyle w:val="7"/>
        <w:tblpPr w:leftFromText="180" w:rightFromText="180" w:vertAnchor="text" w:horzAnchor="margin" w:tblpX="-284" w:tblpY="15"/>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加分</w:t>
            </w:r>
          </w:p>
          <w:p>
            <w:pPr>
              <w:jc w:val="center"/>
              <w:rPr>
                <w:rFonts w:ascii="仿宋_GB2312" w:hAnsi="仿宋_GB2312" w:eastAsia="仿宋_GB2312" w:cs="仿宋_GB2312"/>
                <w:szCs w:val="21"/>
              </w:rPr>
            </w:pPr>
            <w:r>
              <w:rPr>
                <w:rFonts w:hint="eastAsia" w:ascii="仿宋_GB2312" w:hAnsi="仿宋_GB2312" w:eastAsia="仿宋_GB2312" w:cs="仿宋_GB2312"/>
                <w:szCs w:val="21"/>
              </w:rPr>
              <w:t>因素</w:t>
            </w:r>
          </w:p>
        </w:tc>
        <w:tc>
          <w:tcPr>
            <w:tcW w:w="80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加分说明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rPr>
            </w:pPr>
          </w:p>
          <w:p>
            <w:pP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投标人保密资质</w:t>
            </w:r>
          </w:p>
          <w:p>
            <w:pPr>
              <w:jc w:val="center"/>
              <w:rPr>
                <w:rFonts w:ascii="仿宋_GB2312" w:hAnsi="仿宋_GB2312" w:eastAsia="仿宋_GB2312" w:cs="仿宋_GB2312"/>
                <w:color w:val="auto"/>
                <w:szCs w:val="21"/>
              </w:rPr>
            </w:pPr>
          </w:p>
        </w:tc>
        <w:tc>
          <w:tcPr>
            <w:tcW w:w="802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投标人所采用设备厂家具备涉密信息系统集成甲级及以上资质和军工武器装备科研生产单位一级及以上保密资质，具备1项得2分，最多计</w:t>
            </w:r>
            <w:r>
              <w:rPr>
                <w:rFonts w:ascii="仿宋_GB2312" w:hAnsi="仿宋_GB2312" w:eastAsia="仿宋_GB2312" w:cs="仿宋_GB2312"/>
                <w:color w:val="auto"/>
                <w:szCs w:val="21"/>
              </w:rPr>
              <w:t>4</w:t>
            </w:r>
            <w:r>
              <w:rPr>
                <w:rFonts w:hint="eastAsia" w:ascii="仿宋_GB2312" w:hAnsi="仿宋_GB2312" w:eastAsia="仿宋_GB2312" w:cs="仿宋_GB2312"/>
                <w:color w:val="auto"/>
                <w:szCs w:val="21"/>
              </w:rPr>
              <w:t>分（提供证书复印件加盖公章）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环保</w:t>
            </w:r>
          </w:p>
          <w:p>
            <w:pPr>
              <w:jc w:val="center"/>
              <w:rPr>
                <w:rFonts w:ascii="仿宋_GB2312" w:hAnsi="仿宋_GB2312" w:eastAsia="仿宋_GB2312" w:cs="仿宋_GB2312"/>
                <w:szCs w:val="21"/>
              </w:rPr>
            </w:pPr>
            <w:r>
              <w:rPr>
                <w:rFonts w:hint="eastAsia" w:ascii="仿宋_GB2312" w:hAnsi="仿宋_GB2312" w:eastAsia="仿宋_GB2312" w:cs="仿宋_GB2312"/>
                <w:szCs w:val="21"/>
              </w:rPr>
              <w:t>产品</w:t>
            </w:r>
          </w:p>
        </w:tc>
        <w:tc>
          <w:tcPr>
            <w:tcW w:w="802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对于清单中的投标产品价格给予价格部分总分值</w:t>
            </w:r>
            <w:r>
              <w:rPr>
                <w:rFonts w:hint="eastAsia" w:ascii="仿宋_GB2312" w:hAnsi="仿宋_GB2312" w:eastAsia="仿宋_GB2312" w:cs="仿宋_GB2312"/>
                <w:szCs w:val="21"/>
                <w:u w:val="single"/>
              </w:rPr>
              <w:t xml:space="preserve"> 3 </w:t>
            </w:r>
            <w:r>
              <w:rPr>
                <w:rFonts w:hint="eastAsia" w:ascii="仿宋_GB2312" w:hAnsi="仿宋_GB2312" w:eastAsia="仿宋_GB2312" w:cs="仿宋_GB2312"/>
                <w:szCs w:val="21"/>
              </w:rPr>
              <w:t>%的加分，计算公式如下：</w:t>
            </w:r>
          </w:p>
          <w:p>
            <w:pPr>
              <w:rPr>
                <w:rFonts w:ascii="仿宋_GB2312" w:hAnsi="仿宋_GB2312" w:eastAsia="仿宋_GB2312" w:cs="仿宋_GB2312"/>
                <w:szCs w:val="21"/>
              </w:rPr>
            </w:pPr>
            <w:r>
              <w:rPr>
                <w:rFonts w:hint="eastAsia" w:ascii="仿宋_GB2312" w:hAnsi="仿宋_GB2312" w:eastAsia="仿宋_GB2312" w:cs="仿宋_GB2312"/>
                <w:szCs w:val="21"/>
              </w:rPr>
              <w:t>环保产品加分＝（环保产品投标报价之和/投标总价）×价格部分总分值</w:t>
            </w:r>
            <w:r>
              <w:rPr>
                <w:rFonts w:hint="eastAsia" w:ascii="仿宋_GB2312" w:hAnsi="仿宋_GB2312" w:eastAsia="仿宋_GB2312" w:cs="仿宋_GB2312"/>
                <w:szCs w:val="21"/>
                <w:u w:val="single"/>
              </w:rPr>
              <w:t xml:space="preserve"> 30 </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3 </w:t>
            </w:r>
            <w:r>
              <w:rPr>
                <w:rFonts w:hint="eastAsia" w:ascii="仿宋_GB2312" w:hAnsi="仿宋_GB2312" w:eastAsia="仿宋_GB2312" w:cs="仿宋_GB2312"/>
                <w:szCs w:val="21"/>
              </w:rPr>
              <w:t>%。</w:t>
            </w:r>
          </w:p>
        </w:tc>
      </w:tr>
    </w:tbl>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p>
    <w:p>
      <w:pPr>
        <w:jc w:val="left"/>
        <w:rPr>
          <w:rFonts w:ascii="仿宋_GB2312" w:hAnsi="仿宋_GB2312" w:eastAsia="仿宋_GB2312" w:cs="仿宋_GB2312"/>
          <w:b/>
          <w:szCs w:val="21"/>
        </w:rPr>
      </w:pPr>
      <w:bookmarkStart w:id="4" w:name="_GoBack"/>
      <w:bookmarkEnd w:id="4"/>
    </w:p>
    <w:p>
      <w:pPr>
        <w:widowControl/>
        <w:shd w:val="clear" w:color="auto" w:fill="FFFFFF"/>
        <w:spacing w:line="240" w:lineRule="exact"/>
        <w:jc w:val="left"/>
        <w:rPr>
          <w:rFonts w:ascii="仿宋_GB2312" w:hAnsi="仿宋_GB2312" w:eastAsia="仿宋_GB2312" w:cs="仿宋_GB2312"/>
          <w:kern w:val="0"/>
          <w:szCs w:val="21"/>
        </w:rPr>
      </w:pPr>
    </w:p>
    <w:p>
      <w:pPr>
        <w:widowControl/>
        <w:numPr>
          <w:ilvl w:val="0"/>
          <w:numId w:val="3"/>
        </w:numPr>
        <w:jc w:val="left"/>
        <w:rPr>
          <w:rFonts w:ascii="仿宋_GB2312" w:hAnsi="仿宋_GB2312" w:eastAsia="仿宋_GB2312" w:cs="仿宋_GB2312"/>
          <w:b/>
          <w:bCs/>
          <w:sz w:val="32"/>
          <w:szCs w:val="32"/>
        </w:rPr>
      </w:pPr>
      <w:r>
        <w:rPr>
          <w:rFonts w:hint="eastAsia" w:ascii="仿宋_GB2312" w:hAnsi="仿宋_GB2312" w:eastAsia="仿宋_GB2312" w:cs="仿宋_GB2312"/>
          <w:b/>
          <w:szCs w:val="21"/>
        </w:rPr>
        <w:t>加分项评分标准</w:t>
      </w:r>
      <w:bookmarkStart w:id="2" w:name="_Toc8488_WPSOffice_Level2"/>
      <w:bookmarkStart w:id="3" w:name="_Toc4431_WPSOffice_Level2"/>
    </w:p>
    <w:p>
      <w:pPr>
        <w:adjustRightInd w:val="0"/>
        <w:snapToGrid w:val="0"/>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商务条款偏离表</w:t>
      </w:r>
      <w:bookmarkEnd w:id="2"/>
      <w:bookmarkEnd w:id="3"/>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737"/>
        <w:gridCol w:w="1496"/>
        <w:gridCol w:w="993"/>
        <w:gridCol w:w="545"/>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44" w:type="dxa"/>
            <w:shd w:val="clear" w:color="auto" w:fill="auto"/>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37" w:type="dxa"/>
            <w:shd w:val="clear" w:color="auto" w:fill="auto"/>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1496" w:type="dxa"/>
            <w:shd w:val="clear" w:color="auto" w:fill="auto"/>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993" w:type="dxa"/>
            <w:shd w:val="clear" w:color="auto" w:fill="auto"/>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545" w:type="dxa"/>
            <w:shd w:val="clear" w:color="auto" w:fill="auto"/>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c>
          <w:tcPr>
            <w:tcW w:w="1254" w:type="dxa"/>
            <w:vAlign w:val="center"/>
          </w:tcPr>
          <w:p>
            <w:pPr>
              <w:adjustRightInd w:val="0"/>
              <w:snapToGrid w:val="0"/>
              <w:ind w:left="-59" w:leftChars="-28"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737"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交货时间：合同签定之日起60个日历日内安装调试完毕。</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737"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交货地点：采购人指定；</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737"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付款方式及条件：验收合格后，按照财政支付程序付款。</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737"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验收标准：符合国家及行业标准，达到采购文件要求。</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737"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质量保证期：自项目验收合格之日起免费保修</w:t>
            </w:r>
            <w:r>
              <w:rPr>
                <w:rFonts w:ascii="仿宋_GB2312" w:hAnsi="仿宋_GB2312" w:eastAsia="仿宋_GB2312" w:cs="仿宋_GB2312"/>
                <w:szCs w:val="21"/>
              </w:rPr>
              <w:t>1</w:t>
            </w:r>
            <w:r>
              <w:rPr>
                <w:rFonts w:hint="eastAsia" w:ascii="仿宋_GB2312" w:hAnsi="仿宋_GB2312" w:eastAsia="仿宋_GB2312" w:cs="仿宋_GB2312"/>
                <w:szCs w:val="21"/>
              </w:rPr>
              <w:t>年，质保期过后长期维护保养及设备元器件更换，只收取成本费。</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737" w:type="dxa"/>
            <w:shd w:val="clear" w:color="auto" w:fill="auto"/>
            <w:vAlign w:val="center"/>
          </w:tcPr>
          <w:p>
            <w:pPr>
              <w:spacing w:line="360" w:lineRule="auto"/>
              <w:rPr>
                <w:rFonts w:ascii="仿宋_GB2312" w:hAnsi="仿宋_GB2312" w:eastAsia="仿宋_GB2312" w:cs="仿宋_GB2312"/>
                <w:b/>
                <w:sz w:val="18"/>
                <w:szCs w:val="18"/>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供货方负责解决警报系统的占频问题及占频费用，并保证系统在警报器使用的前</w:t>
            </w:r>
            <w:r>
              <w:rPr>
                <w:rFonts w:ascii="仿宋_GB2312" w:hAnsi="仿宋_GB2312" w:eastAsia="仿宋_GB2312" w:cs="仿宋_GB2312"/>
                <w:szCs w:val="21"/>
              </w:rPr>
              <w:t>1</w:t>
            </w:r>
            <w:r>
              <w:rPr>
                <w:rFonts w:hint="eastAsia" w:ascii="仿宋_GB2312" w:hAnsi="仿宋_GB2312" w:eastAsia="仿宋_GB2312" w:cs="仿宋_GB2312"/>
                <w:szCs w:val="21"/>
              </w:rPr>
              <w:t>年的免费运行。</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737"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供货方负责免费在各警报安置点（按采购人指定）安装警报系统并调试开通，保证警报系统能够正常运转。负责在安装过程中产生的交通、运输、安装人员的食宿、交通等费用。</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3737"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安装调试中如果有质量问题，必须保证免费调换，保证质量符合要求。</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3737"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提供设备使用、操作、日常维护、维修等相关资料，对操作使用人员进行技术培训，免收培训费。</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737"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在质保期内免费提供设备所需的备件，质保期后备足所需的备件,并依照本投标文件中提供两年的易损件,在合同签订未来2年内易损件价格不变。设备使用寿命内，保证零配件及易损件的供应。</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737" w:type="dxa"/>
            <w:shd w:val="clear" w:color="auto" w:fill="auto"/>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售后服务承诺：</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每次警报播放前1个月免费派遣专人进行技术指导及维修。遇有紧急情况可电话求助，技术人员</w:t>
            </w:r>
            <w:r>
              <w:rPr>
                <w:rFonts w:ascii="仿宋_GB2312" w:hAnsi="仿宋_GB2312" w:eastAsia="仿宋_GB2312" w:cs="仿宋_GB2312"/>
                <w:szCs w:val="21"/>
              </w:rPr>
              <w:t>72</w:t>
            </w:r>
            <w:r>
              <w:rPr>
                <w:rFonts w:hint="eastAsia" w:ascii="仿宋_GB2312" w:hAnsi="仿宋_GB2312" w:eastAsia="仿宋_GB2312" w:cs="仿宋_GB2312"/>
                <w:szCs w:val="21"/>
              </w:rPr>
              <w:t>小时内必须到现场免费解决相关问题。</w:t>
            </w:r>
          </w:p>
        </w:tc>
        <w:tc>
          <w:tcPr>
            <w:tcW w:w="1496"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r>
              <w:rPr>
                <w:rFonts w:hint="eastAsia" w:ascii="仿宋_GB2312" w:hAnsi="仿宋" w:eastAsia="仿宋_GB2312" w:cs="宋体"/>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44"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3737" w:type="dxa"/>
            <w:shd w:val="clear" w:color="auto" w:fill="auto"/>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1496" w:type="dxa"/>
            <w:shd w:val="clear" w:color="auto" w:fill="auto"/>
            <w:vAlign w:val="center"/>
          </w:tcPr>
          <w:p>
            <w:pPr>
              <w:adjustRightInd w:val="0"/>
              <w:snapToGrid w:val="0"/>
              <w:ind w:left="-53" w:leftChars="-25" w:right="-17" w:rightChars="-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993"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545" w:type="dxa"/>
            <w:shd w:val="clear" w:color="auto" w:fill="auto"/>
            <w:vAlign w:val="center"/>
          </w:tcPr>
          <w:p>
            <w:pPr>
              <w:adjustRightInd w:val="0"/>
              <w:snapToGrid w:val="0"/>
              <w:ind w:right="105" w:rightChars="50"/>
              <w:jc w:val="center"/>
              <w:rPr>
                <w:rFonts w:ascii="仿宋_GB2312" w:hAnsi="仿宋_GB2312" w:eastAsia="仿宋_GB2312" w:cs="仿宋_GB2312"/>
                <w:szCs w:val="21"/>
              </w:rPr>
            </w:pPr>
          </w:p>
        </w:tc>
        <w:tc>
          <w:tcPr>
            <w:tcW w:w="1254" w:type="dxa"/>
          </w:tcPr>
          <w:p>
            <w:pPr>
              <w:adjustRightInd w:val="0"/>
              <w:snapToGrid w:val="0"/>
              <w:ind w:right="105" w:rightChars="50"/>
              <w:jc w:val="center"/>
              <w:rPr>
                <w:rFonts w:ascii="仿宋_GB2312" w:hAnsi="仿宋_GB2312" w:eastAsia="仿宋_GB2312" w:cs="仿宋_GB2312"/>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93C19"/>
    <w:multiLevelType w:val="singleLevel"/>
    <w:tmpl w:val="F0A93C19"/>
    <w:lvl w:ilvl="0" w:tentative="0">
      <w:start w:val="1"/>
      <w:numFmt w:val="decimal"/>
      <w:lvlText w:val="%1."/>
      <w:lvlJc w:val="left"/>
      <w:pPr>
        <w:tabs>
          <w:tab w:val="left" w:pos="312"/>
        </w:tabs>
      </w:pPr>
    </w:lvl>
  </w:abstractNum>
  <w:abstractNum w:abstractNumId="1">
    <w:nsid w:val="468ACDF8"/>
    <w:multiLevelType w:val="singleLevel"/>
    <w:tmpl w:val="468ACDF8"/>
    <w:lvl w:ilvl="0" w:tentative="0">
      <w:start w:val="2"/>
      <w:numFmt w:val="chineseCounting"/>
      <w:suff w:val="nothing"/>
      <w:lvlText w:val="（%1）"/>
      <w:lvlJc w:val="left"/>
      <w:rPr>
        <w:rFonts w:hint="eastAsia"/>
      </w:rPr>
    </w:lvl>
  </w:abstractNum>
  <w:abstractNum w:abstractNumId="2">
    <w:nsid w:val="5870D5A1"/>
    <w:multiLevelType w:val="singleLevel"/>
    <w:tmpl w:val="5870D5A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6C"/>
    <w:rsid w:val="00157D2C"/>
    <w:rsid w:val="00172DC7"/>
    <w:rsid w:val="0017492B"/>
    <w:rsid w:val="001C6151"/>
    <w:rsid w:val="002833DE"/>
    <w:rsid w:val="0033675A"/>
    <w:rsid w:val="00403751"/>
    <w:rsid w:val="004349CB"/>
    <w:rsid w:val="00446F99"/>
    <w:rsid w:val="00454F6C"/>
    <w:rsid w:val="00460CC3"/>
    <w:rsid w:val="004A54F8"/>
    <w:rsid w:val="004C7E3B"/>
    <w:rsid w:val="00691AF1"/>
    <w:rsid w:val="006A15BE"/>
    <w:rsid w:val="00825422"/>
    <w:rsid w:val="00974D9E"/>
    <w:rsid w:val="00AD354D"/>
    <w:rsid w:val="00B23C04"/>
    <w:rsid w:val="00BD1B4E"/>
    <w:rsid w:val="00BE1223"/>
    <w:rsid w:val="00CB270F"/>
    <w:rsid w:val="00D55BF9"/>
    <w:rsid w:val="00D77129"/>
    <w:rsid w:val="00D93A41"/>
    <w:rsid w:val="00DA30BA"/>
    <w:rsid w:val="00DD30FA"/>
    <w:rsid w:val="00E04D65"/>
    <w:rsid w:val="00EB3EA0"/>
    <w:rsid w:val="00EF59A1"/>
    <w:rsid w:val="00F21BD1"/>
    <w:rsid w:val="00F8003D"/>
    <w:rsid w:val="0B5E23A7"/>
    <w:rsid w:val="0DCD2595"/>
    <w:rsid w:val="14A0720B"/>
    <w:rsid w:val="27146CBC"/>
    <w:rsid w:val="5A8B45B4"/>
    <w:rsid w:val="627D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1"/>
      <w:szCs w:val="24"/>
      <w:lang w:val="en-US" w:eastAsia="zh-CN" w:bidi="ar-SA"/>
    </w:rPr>
  </w:style>
  <w:style w:type="paragraph" w:styleId="2">
    <w:name w:val="heading 1"/>
    <w:basedOn w:val="1"/>
    <w:next w:val="1"/>
    <w:link w:val="11"/>
    <w:qFormat/>
    <w:uiPriority w:val="0"/>
    <w:pPr>
      <w:keepNext/>
      <w:keepLines/>
      <w:spacing w:before="120" w:after="120"/>
      <w:jc w:val="center"/>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sz w:val="2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列出段落1"/>
    <w:basedOn w:val="1"/>
    <w:link w:val="10"/>
    <w:uiPriority w:val="0"/>
    <w:pPr>
      <w:ind w:firstLine="420" w:firstLineChars="200"/>
    </w:pPr>
    <w:rPr>
      <w:rFonts w:eastAsia="宋体"/>
    </w:rPr>
  </w:style>
  <w:style w:type="character" w:customStyle="1" w:styleId="10">
    <w:name w:val="列出段落 Char"/>
    <w:link w:val="9"/>
    <w:qFormat/>
    <w:uiPriority w:val="0"/>
    <w:rPr>
      <w:rFonts w:ascii="Calibri" w:hAnsi="Calibri" w:eastAsia="宋体" w:cs="Times New Roman"/>
      <w:szCs w:val="24"/>
    </w:rPr>
  </w:style>
  <w:style w:type="character" w:customStyle="1" w:styleId="11">
    <w:name w:val="标题 1 字符"/>
    <w:basedOn w:val="8"/>
    <w:link w:val="2"/>
    <w:qFormat/>
    <w:uiPriority w:val="0"/>
    <w:rPr>
      <w:rFonts w:ascii="Calibri" w:hAnsi="Calibri" w:eastAsia="仿宋" w:cs="Times New Roman"/>
      <w:b/>
      <w:kern w:val="44"/>
      <w:sz w:val="44"/>
      <w:szCs w:val="24"/>
    </w:rPr>
  </w:style>
  <w:style w:type="character" w:customStyle="1" w:styleId="12">
    <w:name w:val="页眉 字符"/>
    <w:basedOn w:val="8"/>
    <w:link w:val="5"/>
    <w:qFormat/>
    <w:uiPriority w:val="99"/>
    <w:rPr>
      <w:rFonts w:ascii="Calibri" w:hAnsi="Calibri" w:eastAsia="仿宋" w:cs="Times New Roman"/>
      <w:sz w:val="18"/>
      <w:szCs w:val="18"/>
    </w:rPr>
  </w:style>
  <w:style w:type="character" w:customStyle="1" w:styleId="13">
    <w:name w:val="页脚 字符"/>
    <w:basedOn w:val="8"/>
    <w:link w:val="4"/>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559</Words>
  <Characters>3188</Characters>
  <Lines>26</Lines>
  <Paragraphs>7</Paragraphs>
  <TotalTime>73</TotalTime>
  <ScaleCrop>false</ScaleCrop>
  <LinksUpToDate>false</LinksUpToDate>
  <CharactersWithSpaces>3740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2020-04-29T00:48:00Z</dcterms:created>
  <dc:creator>Administrator</dc:creator>
  <cp:lastModifiedBy>Administrator</cp:lastModifiedBy>
  <cp:lastPrinted>2021-06-02T02:54:00Z</cp:lastPrinted>
  <dcterms:modified xsi:type="dcterms:W3CDTF">2021-06-08T08:55:51Z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06E0A7AFB7EF4FB7AB8649A1639A9950</vt:lpwstr>
  </property>
</Properties>
</file>