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0"/>
          <w:szCs w:val="30"/>
        </w:rPr>
      </w:pPr>
      <w:r>
        <w:rPr>
          <w:rFonts w:hAnsi="黑体" w:eastAsia="黑体"/>
          <w:color w:val="000000"/>
          <w:sz w:val="30"/>
          <w:szCs w:val="30"/>
          <w:shd w:val="clear" w:color="auto" w:fill="FFFFFF"/>
        </w:rPr>
        <w:t>拟批准环境影响评价文件的建设项目</w:t>
      </w:r>
    </w:p>
    <w:tbl>
      <w:tblPr>
        <w:tblStyle w:val="13"/>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1016"/>
        <w:gridCol w:w="1276"/>
        <w:gridCol w:w="992"/>
        <w:gridCol w:w="851"/>
        <w:gridCol w:w="2976"/>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461" w:type="dxa"/>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序号</w:t>
            </w:r>
          </w:p>
        </w:tc>
        <w:tc>
          <w:tcPr>
            <w:tcW w:w="1016" w:type="dxa"/>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项目名称</w:t>
            </w:r>
          </w:p>
        </w:tc>
        <w:tc>
          <w:tcPr>
            <w:tcW w:w="1276" w:type="dxa"/>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建设地点</w:t>
            </w:r>
          </w:p>
        </w:tc>
        <w:tc>
          <w:tcPr>
            <w:tcW w:w="992" w:type="dxa"/>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建设单位</w:t>
            </w:r>
          </w:p>
        </w:tc>
        <w:tc>
          <w:tcPr>
            <w:tcW w:w="851" w:type="dxa"/>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环境影响评价机构</w:t>
            </w:r>
          </w:p>
        </w:tc>
        <w:tc>
          <w:tcPr>
            <w:tcW w:w="2976" w:type="dxa"/>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项目概况</w:t>
            </w:r>
          </w:p>
        </w:tc>
        <w:tc>
          <w:tcPr>
            <w:tcW w:w="6606" w:type="dxa"/>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Style w:val="15"/>
                <w:rFonts w:ascii="Times New Roman" w:hAnsi="Times New Roman" w:cs="Times New Roman"/>
                <w:b w:val="0"/>
                <w:color w:val="000000" w:themeColor="text1"/>
                <w14:textFill>
                  <w14:solidFill>
                    <w14:schemeClr w14:val="tx1"/>
                  </w14:solidFill>
                </w14:textFill>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61" w:type="dxa"/>
            <w:shd w:val="clear" w:color="auto" w:fill="auto"/>
            <w:tcMar>
              <w:top w:w="0" w:type="dxa"/>
              <w:left w:w="108" w:type="dxa"/>
              <w:bottom w:w="0" w:type="dxa"/>
              <w:right w:w="108" w:type="dxa"/>
            </w:tcMar>
            <w:vAlign w:val="center"/>
          </w:tcPr>
          <w:p>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hint="eastAsia" w:ascii="Times New Roman" w:hAnsi="Times New Roman" w:eastAsia="宋体" w:cs="Times New Roman"/>
                <w:snapToGrid w:val="0"/>
                <w:color w:val="000000" w:themeColor="text1"/>
                <w:kern w:val="0"/>
                <w:szCs w:val="21"/>
                <w14:textFill>
                  <w14:solidFill>
                    <w14:schemeClr w14:val="tx1"/>
                  </w14:solidFill>
                </w14:textFill>
              </w:rPr>
              <w:t>1</w:t>
            </w:r>
          </w:p>
        </w:tc>
        <w:tc>
          <w:tcPr>
            <w:tcW w:w="1016" w:type="dxa"/>
            <w:shd w:val="clear" w:color="auto" w:fill="auto"/>
            <w:tcMar>
              <w:top w:w="0" w:type="dxa"/>
              <w:left w:w="108" w:type="dxa"/>
              <w:bottom w:w="0" w:type="dxa"/>
              <w:right w:w="108" w:type="dxa"/>
            </w:tcMar>
            <w:vAlign w:val="center"/>
          </w:tcPr>
          <w:p>
            <w:pPr>
              <w:rPr>
                <w:rFonts w:ascii="Times New Roman" w:hAnsi="Times New Roman" w:eastAsia="宋体" w:cs="Times New Roman"/>
                <w:snapToGrid w:val="0"/>
                <w:color w:val="000000" w:themeColor="text1"/>
                <w:kern w:val="0"/>
                <w:szCs w:val="21"/>
                <w14:textFill>
                  <w14:solidFill>
                    <w14:schemeClr w14:val="tx1"/>
                  </w14:solidFill>
                </w14:textFill>
              </w:rPr>
            </w:pPr>
            <w:bookmarkStart w:id="2" w:name="_GoBack"/>
            <w:r>
              <w:rPr>
                <w:rFonts w:hint="eastAsia" w:ascii="Times New Roman" w:hAnsi="Times New Roman" w:eastAsia="宋体" w:cs="Times New Roman"/>
                <w:color w:val="000000" w:themeColor="text1"/>
                <w:szCs w:val="21"/>
                <w14:textFill>
                  <w14:solidFill>
                    <w14:schemeClr w14:val="tx1"/>
                  </w14:solidFill>
                </w14:textFill>
              </w:rPr>
              <w:t>第七师五五工业园区2020年中水库二期建设项目</w:t>
            </w:r>
            <w:bookmarkEnd w:id="2"/>
          </w:p>
        </w:tc>
        <w:tc>
          <w:tcPr>
            <w:tcW w:w="1276" w:type="dxa"/>
            <w:shd w:val="clear" w:color="auto" w:fill="auto"/>
            <w:tcMar>
              <w:top w:w="0" w:type="dxa"/>
              <w:left w:w="108" w:type="dxa"/>
              <w:bottom w:w="0" w:type="dxa"/>
              <w:right w:w="108" w:type="dxa"/>
            </w:tcMar>
            <w:vAlign w:val="center"/>
          </w:tcPr>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新疆生产建设兵团第七师五五工业园区</w:t>
            </w:r>
          </w:p>
        </w:tc>
        <w:tc>
          <w:tcPr>
            <w:tcW w:w="992" w:type="dxa"/>
            <w:shd w:val="clear" w:color="auto" w:fill="auto"/>
            <w:tcMar>
              <w:top w:w="0" w:type="dxa"/>
              <w:left w:w="108" w:type="dxa"/>
              <w:bottom w:w="0" w:type="dxa"/>
              <w:right w:w="108" w:type="dxa"/>
            </w:tcMar>
            <w:vAlign w:val="center"/>
          </w:tcPr>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第七师胡杨河经济技术开发区管理委员会建设（环保）局</w:t>
            </w:r>
          </w:p>
        </w:tc>
        <w:tc>
          <w:tcPr>
            <w:tcW w:w="851" w:type="dxa"/>
            <w:shd w:val="clear" w:color="auto" w:fill="auto"/>
            <w:tcMar>
              <w:top w:w="0" w:type="dxa"/>
              <w:left w:w="108" w:type="dxa"/>
              <w:bottom w:w="0" w:type="dxa"/>
              <w:right w:w="108" w:type="dxa"/>
            </w:tcMar>
            <w:vAlign w:val="center"/>
          </w:tcPr>
          <w:p>
            <w:pPr>
              <w:rPr>
                <w:rFonts w:ascii="Times New Roman" w:hAnsi="Times New Roman" w:eastAsia="宋体" w:cs="Times New Roman"/>
                <w:snapToGrid w:val="0"/>
                <w:color w:val="FF0000"/>
                <w:kern w:val="0"/>
                <w:szCs w:val="21"/>
              </w:rPr>
            </w:pPr>
            <w:r>
              <w:rPr>
                <w:rFonts w:hint="eastAsia" w:ascii="Times New Roman" w:hAnsi="Times New Roman" w:eastAsia="宋体" w:cs="Times New Roman"/>
                <w:color w:val="000000" w:themeColor="text1"/>
                <w:szCs w:val="21"/>
                <w14:textFill>
                  <w14:solidFill>
                    <w14:schemeClr w14:val="tx1"/>
                  </w14:solidFill>
                </w14:textFill>
              </w:rPr>
              <w:t>新疆祥达亿源环保科技有限公司</w:t>
            </w:r>
          </w:p>
        </w:tc>
        <w:tc>
          <w:tcPr>
            <w:tcW w:w="2976" w:type="dxa"/>
            <w:shd w:val="clear" w:color="auto" w:fill="auto"/>
            <w:tcMar>
              <w:top w:w="0" w:type="dxa"/>
              <w:left w:w="108" w:type="dxa"/>
              <w:bottom w:w="0" w:type="dxa"/>
              <w:right w:w="108" w:type="dxa"/>
            </w:tcMar>
            <w:vAlign w:val="center"/>
          </w:tcPr>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本项目为扩建项目，</w:t>
            </w:r>
            <w:r>
              <w:rPr>
                <w:rFonts w:ascii="Times New Roman" w:hAnsi="Times New Roman" w:eastAsia="宋体" w:cs="Times New Roman"/>
                <w:color w:val="000000" w:themeColor="text1"/>
                <w:szCs w:val="21"/>
                <w14:textFill>
                  <w14:solidFill>
                    <w14:schemeClr w14:val="tx1"/>
                  </w14:solidFill>
                </w14:textFill>
              </w:rPr>
              <w:t>工程主要建设内容：挡水工程：中水库1座；引水工程：中水进库管线及进库建筑物；其他工程：观测及监测设施、上坝道路、输电线路、坝顶照明设施、环坝道路及库区安全围栏等附属构筑物组成。</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中水库二期库容163万m</w:t>
            </w:r>
            <w:r>
              <w:rPr>
                <w:rFonts w:hint="eastAsia"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，平面上呈长方形布置，坝线全长2697m。中水进库管线接园区中水回用管线WWXLK3+287处，向北延伸，末端从大坝0+000处投入水库，全长80m。</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项目年生产天数为365天</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二期工程运行管理由一期人员管理，一期定员6人。建设项目总投资8133.54万元，</w:t>
            </w:r>
            <w:r>
              <w:rPr>
                <w:rFonts w:hint="eastAsia" w:ascii="Times New Roman" w:hAnsi="Times New Roman" w:eastAsia="宋体" w:cs="Times New Roman"/>
                <w:color w:val="000000" w:themeColor="text1"/>
                <w:szCs w:val="21"/>
                <w14:textFill>
                  <w14:solidFill>
                    <w14:schemeClr w14:val="tx1"/>
                  </w14:solidFill>
                </w14:textFill>
              </w:rPr>
              <w:t>环保投资为3185.39。</w:t>
            </w:r>
          </w:p>
        </w:tc>
        <w:tc>
          <w:tcPr>
            <w:tcW w:w="6606" w:type="dxa"/>
            <w:shd w:val="clear" w:color="auto" w:fill="auto"/>
            <w:tcMar>
              <w:top w:w="0" w:type="dxa"/>
              <w:left w:w="108" w:type="dxa"/>
              <w:bottom w:w="0" w:type="dxa"/>
              <w:right w:w="108" w:type="dxa"/>
            </w:tcMar>
            <w:vAlign w:val="center"/>
          </w:tcPr>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一、施工期</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（1）施工期生态</w:t>
            </w:r>
            <w:r>
              <w:rPr>
                <w:rFonts w:ascii="Times New Roman" w:hAnsi="Times New Roman" w:eastAsia="宋体" w:cs="Times New Roman"/>
                <w:color w:val="000000" w:themeColor="text1"/>
                <w:szCs w:val="21"/>
                <w14:textFill>
                  <w14:solidFill>
                    <w14:schemeClr w14:val="tx1"/>
                  </w14:solidFill>
                </w14:textFill>
              </w:rPr>
              <w:t>环境影响分析</w:t>
            </w:r>
            <w:r>
              <w:rPr>
                <w:rFonts w:hint="eastAsia" w:ascii="Times New Roman" w:hAnsi="Times New Roman" w:eastAsia="宋体" w:cs="Times New Roman"/>
                <w:color w:val="000000" w:themeColor="text1"/>
                <w:szCs w:val="21"/>
                <w14:textFill>
                  <w14:solidFill>
                    <w14:schemeClr w14:val="tx1"/>
                  </w14:solidFill>
                </w14:textFill>
              </w:rPr>
              <w:t>及采取的措施</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影响：</w:t>
            </w:r>
            <w:r>
              <w:rPr>
                <w:rFonts w:hint="eastAsia" w:ascii="Times New Roman" w:hAnsi="Times New Roman" w:eastAsia="宋体" w:cs="Times New Roman"/>
                <w:color w:val="000000" w:themeColor="text1"/>
                <w:szCs w:val="21"/>
                <w14:textFill>
                  <w14:solidFill>
                    <w14:schemeClr w14:val="tx1"/>
                  </w14:solidFill>
                </w14:textFill>
              </w:rPr>
              <w:t>施工期主要环境影响为</w:t>
            </w:r>
            <w:r>
              <w:rPr>
                <w:rFonts w:ascii="Times New Roman" w:hAnsi="Times New Roman" w:eastAsia="宋体" w:cs="Times New Roman"/>
                <w:color w:val="000000" w:themeColor="text1"/>
                <w:szCs w:val="21"/>
                <w14:textFill>
                  <w14:solidFill>
                    <w14:schemeClr w14:val="tx1"/>
                  </w14:solidFill>
                </w14:textFill>
              </w:rPr>
              <w:t>施工</w:t>
            </w:r>
            <w:r>
              <w:rPr>
                <w:rFonts w:hint="eastAsia" w:ascii="Times New Roman" w:hAnsi="Times New Roman" w:eastAsia="宋体" w:cs="Times New Roman"/>
                <w:color w:val="000000" w:themeColor="text1"/>
                <w:szCs w:val="21"/>
                <w14:textFill>
                  <w14:solidFill>
                    <w14:schemeClr w14:val="tx1"/>
                  </w14:solidFill>
                </w14:textFill>
              </w:rPr>
              <w:t>期的占地、库区开挖对范围内的植被、土壤、动物等生态环境产生影响。</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措施：</w:t>
            </w:r>
            <w:r>
              <w:rPr>
                <w:rFonts w:ascii="Times New Roman" w:hAnsi="Times New Roman" w:eastAsia="宋体" w:cs="Times New Roman"/>
                <w:color w:val="000000" w:themeColor="text1"/>
                <w:szCs w:val="21"/>
                <w14:textFill>
                  <w14:solidFill>
                    <w14:schemeClr w14:val="tx1"/>
                  </w14:solidFill>
                </w14:textFill>
              </w:rPr>
              <w:t>施工期临时占地要尽量缩小施工范围，对原料堆放、机械设备及运输车辆的行走路线做好规划工作，充分利用规划场地，尽量减少临时占地数量，减少项目建设对附近地区土壤和植被的破坏范围。施工生产区、材料堆场</w:t>
            </w:r>
            <w:r>
              <w:rPr>
                <w:rFonts w:hint="eastAsia" w:ascii="Times New Roman" w:hAnsi="Times New Roman" w:eastAsia="宋体" w:cs="Times New Roman"/>
                <w:color w:val="000000" w:themeColor="text1"/>
                <w:szCs w:val="21"/>
                <w14:textFill>
                  <w14:solidFill>
                    <w14:schemeClr w14:val="tx1"/>
                  </w14:solidFill>
                </w14:textFill>
              </w:rPr>
              <w:t>、弃渣场、土料场</w:t>
            </w:r>
            <w:r>
              <w:rPr>
                <w:rFonts w:ascii="Times New Roman" w:hAnsi="Times New Roman" w:eastAsia="宋体" w:cs="Times New Roman"/>
                <w:color w:val="000000" w:themeColor="text1"/>
                <w:szCs w:val="21"/>
                <w14:textFill>
                  <w14:solidFill>
                    <w14:schemeClr w14:val="tx1"/>
                  </w14:solidFill>
                </w14:textFill>
              </w:rPr>
              <w:t>等临时占地类型为荒地</w:t>
            </w:r>
            <w:r>
              <w:rPr>
                <w:rFonts w:hint="eastAsia" w:ascii="Times New Roman" w:hAnsi="Times New Roman" w:eastAsia="宋体" w:cs="Times New Roman"/>
                <w:color w:val="000000" w:themeColor="text1"/>
                <w:szCs w:val="21"/>
                <w14:textFill>
                  <w14:solidFill>
                    <w14:schemeClr w14:val="tx1"/>
                  </w14:solidFill>
                </w14:textFill>
              </w:rPr>
              <w:t>。场地临时占地施工期进行洒水、碾压。施工期结束后进行场地平整，并进行绿化恢复植被。</w:t>
            </w:r>
            <w:r>
              <w:rPr>
                <w:rFonts w:ascii="Times New Roman" w:hAnsi="Times New Roman" w:eastAsia="宋体" w:cs="Times New Roman"/>
                <w:color w:val="000000" w:themeColor="text1"/>
                <w:szCs w:val="21"/>
                <w14:textFill>
                  <w14:solidFill>
                    <w14:schemeClr w14:val="tx1"/>
                  </w14:solidFill>
                </w14:textFill>
              </w:rPr>
              <w:t>合理安排施工次序、时间，建立规范化操作程序和制度；减少人为干扰，强化对施工人员的生态保护宣传和教育，增强施工人员的环保意识。</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（2）大气环境影响分析及采取措施</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影响：施工期的的大气环境影响主要是施工扬尘、拌和站粉尘、食堂油烟；</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措施</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施工场地建筑废料应覆盖、密闭、洒水</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施工现场应设置围栏，临时施工区应进行地面铺装，减少地面的裸露面积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加强运输管理。禁止在大风天气进行作业施工，施工时及时洒水，缩短扬尘污染时间和污染范围，防止扬尘扩散</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加强对施工车辆的检修和维护。</w:t>
            </w:r>
            <w:r>
              <w:rPr>
                <w:rFonts w:hint="eastAsia" w:ascii="Times New Roman" w:hAnsi="Times New Roman" w:eastAsia="宋体" w:cs="Times New Roman"/>
                <w:color w:val="000000" w:themeColor="text1"/>
                <w:szCs w:val="21"/>
                <w14:textFill>
                  <w14:solidFill>
                    <w14:schemeClr w14:val="tx1"/>
                  </w14:solidFill>
                </w14:textFill>
              </w:rPr>
              <w:t>本项目在搅拌机上部设置一台袋式除尘器，用于收集搅拌机下料过程产生的颗粒物。除尘器回收的颗粒物返回搅拌机内，净化后的废气经15m排气筒排放。评价要求建设单位在施工期对施工营地厨房配套安装油烟去除效率不低于</w:t>
            </w:r>
            <w:r>
              <w:rPr>
                <w:rFonts w:ascii="Times New Roman" w:hAnsi="Times New Roman" w:eastAsia="宋体" w:cs="Times New Roman"/>
                <w:color w:val="000000" w:themeColor="text1"/>
                <w:szCs w:val="21"/>
                <w14:textFill>
                  <w14:solidFill>
                    <w14:schemeClr w14:val="tx1"/>
                  </w14:solidFill>
                </w14:textFill>
              </w:rPr>
              <w:t>85</w:t>
            </w:r>
            <w:r>
              <w:rPr>
                <w:rFonts w:hint="eastAsia" w:ascii="Times New Roman" w:hAnsi="Times New Roman" w:eastAsia="宋体" w:cs="Times New Roman"/>
                <w:color w:val="000000" w:themeColor="text1"/>
                <w:szCs w:val="21"/>
                <w14:textFill>
                  <w14:solidFill>
                    <w14:schemeClr w14:val="tx1"/>
                  </w14:solidFill>
                </w14:textFill>
              </w:rPr>
              <w:t>%的油烟净化设施。弃渣场扬尘防治措施工程建设期采用了临时性挡护等措施，基本将工程产生的松散堆土拦住，定期进行洒水，弃渣结束后将弃渣场平整压实后进行植被恢复。</w:t>
            </w:r>
          </w:p>
          <w:p>
            <w:pPr>
              <w:rPr>
                <w:rFonts w:ascii="Times New Roman" w:hAnsi="Times New Roman" w:eastAsia="宋体" w:cs="Times New Roman"/>
                <w:color w:val="000000" w:themeColor="text1"/>
                <w:szCs w:val="21"/>
                <w14:textFill>
                  <w14:solidFill>
                    <w14:schemeClr w14:val="tx1"/>
                  </w14:solidFill>
                </w14:textFill>
              </w:rPr>
            </w:pPr>
            <w:bookmarkStart w:id="0" w:name="_Toc3553"/>
            <w:r>
              <w:rPr>
                <w:rFonts w:hint="eastAsia" w:ascii="Times New Roman" w:hAnsi="Times New Roman" w:eastAsia="宋体" w:cs="Times New Roman"/>
                <w:color w:val="000000" w:themeColor="text1"/>
                <w:szCs w:val="21"/>
                <w14:textFill>
                  <w14:solidFill>
                    <w14:schemeClr w14:val="tx1"/>
                  </w14:solidFill>
                </w14:textFill>
              </w:rPr>
              <w:t>（3）水环境影响分析</w:t>
            </w:r>
            <w:bookmarkEnd w:id="0"/>
          </w:p>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影响：工程施工中排放的废水主要为三类，一是混凝土养护废水、二是冲洗机械和车辆产生的泥浆水；三是现场施工人员排放的少量生活污水。</w:t>
            </w:r>
          </w:p>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措施：施工期生产废水主要包括混凝土养护废水和机械和车辆的冲洗泥浆水等，施工现场设沉淀池，施工废水经沉淀后回用于施工生产。工程施工期生活污水排放量为50m</w:t>
            </w:r>
            <w:r>
              <w:rPr>
                <w:rFonts w:hint="eastAsia"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/d，集中收集后拉运至园区污水厂处理。</w:t>
            </w:r>
          </w:p>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（4）声环境影响分析及采取的措施</w:t>
            </w:r>
          </w:p>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影响：本项目施工期噪声类型主要是地面工程施工机械运行时产生的设备噪声与场地内及周围道路上运输车辆产生的交通噪声。这些噪声主要是由各种不同性能的动力机械在运转时产生的，具有阶段性、临时性和不固定性。</w:t>
            </w:r>
          </w:p>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措施：</w:t>
            </w:r>
            <w:r>
              <w:rPr>
                <w:rFonts w:ascii="Times New Roman" w:hAnsi="Times New Roman" w:eastAsia="宋体" w:cs="Times New Roman"/>
                <w:color w:val="000000" w:themeColor="text1"/>
                <w:szCs w:val="21"/>
                <w14:textFill>
                  <w14:solidFill>
                    <w14:schemeClr w14:val="tx1"/>
                  </w14:solidFill>
                </w14:textFill>
              </w:rPr>
              <w:t>采用低噪声机械，建立隔声屏障、隔声罩、进行减震处理等；对设备进行维修保养。合理安排高噪声施工机械的使用时间，减少夜间施工。基础开挖应在白天进行，避免夜间作业，以减轻噪声对周围环境的影响。汽车运输控制超载、限速和禁止鸣放高音喇叭，重型运输车辆应安装消声器。</w:t>
            </w:r>
          </w:p>
          <w:p>
            <w:pPr>
              <w:spacing w:line="240" w:lineRule="atLeast"/>
              <w:rPr>
                <w:rFonts w:ascii="Times New Roman" w:hAnsi="Times New Roman" w:eastAsia="宋体" w:cs="Times New Roman"/>
                <w:color w:val="000000" w:themeColor="text1"/>
                <w:szCs w:val="21"/>
                <w14:textFill>
                  <w14:solidFill>
                    <w14:schemeClr w14:val="tx1"/>
                  </w14:solidFill>
                </w14:textFill>
              </w:rPr>
            </w:pPr>
            <w:bookmarkStart w:id="1" w:name="_Toc748"/>
            <w:r>
              <w:rPr>
                <w:rFonts w:hint="eastAsia" w:ascii="Times New Roman" w:hAnsi="Times New Roman" w:eastAsia="宋体" w:cs="Times New Roman"/>
                <w:color w:val="000000" w:themeColor="text1"/>
                <w:szCs w:val="21"/>
                <w14:textFill>
                  <w14:solidFill>
                    <w14:schemeClr w14:val="tx1"/>
                  </w14:solidFill>
                </w14:textFill>
              </w:rPr>
              <w:t>（5）固体废弃物影响分析</w:t>
            </w:r>
            <w:bookmarkEnd w:id="1"/>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影响：</w:t>
            </w:r>
            <w:r>
              <w:rPr>
                <w:rFonts w:ascii="Times New Roman" w:hAnsi="Times New Roman" w:eastAsia="宋体" w:cs="Times New Roman"/>
                <w:color w:val="000000" w:themeColor="text1"/>
                <w:szCs w:val="21"/>
                <w14:textFill>
                  <w14:solidFill>
                    <w14:schemeClr w14:val="tx1"/>
                  </w14:solidFill>
                </w14:textFill>
              </w:rPr>
              <w:t>固体废弃物主要为工程弃渣及施工人员生活垃圾。</w:t>
            </w:r>
            <w:r>
              <w:rPr>
                <w:rFonts w:hint="eastAsia" w:ascii="Times New Roman" w:hAnsi="Times New Roman" w:eastAsia="宋体" w:cs="Times New Roman"/>
                <w:color w:val="000000" w:themeColor="text1"/>
                <w:szCs w:val="21"/>
                <w14:textFill>
                  <w14:solidFill>
                    <w14:schemeClr w14:val="tx1"/>
                  </w14:solidFill>
                </w14:textFill>
              </w:rPr>
              <w:t>施工弃土主要来源于坝基、库盘清废；库区土方开挖弃土。</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措施：施工单位应当设置密目网，防止和减少施工中物料、建筑垃圾和渣土等外逸；渣土尽量在场内周转，就地用于绿化、道路生态景观建设等，多余弃渣运往弃渣场，待施工结束后对弃渣场地进行平整、压实、绿化；生活垃圾交环卫部门收集。在工程竣工后，施工单位应拆除各种临时施工设施，并负责将工地的剩余建筑垃圾、工程渣土处理干净，做到“工完、料尽、场地清”，建设单位应负责督促施工单位的固体废弃物处置清理工作。</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二、运营期</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工程为中水回用工程，本建设项目施工完成后，在运营期间所涉及的主要设施包括：中水库、进水管道、出水管道及管理站房。本项目运营过程废水主要为储存污水处理站处理废水一级A标准废水，二期工程运行管理由一期人员管理，一期定员6人。本工程无新增管理人员。因此，本项目在运营期间不会产生废气、固废、废水等污染。运营期主要影响为内中水库发生溃坝时，中水库中尾水下泄，影响周围地下水、土壤环境等。</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（1）地下水、土壤防治措施</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库区采用复合土工膜防渗，土工膜上设1.1m厚覆土做为保护层。库盘底部，南向北按0.5‰的纵坡填土，0+000放水建筑物处库盘覆土设计高程为318.30。采取上述地下水防渗、漏措施后，结合项目所在地地质资料，可保证渗透系数不大于10-7cm/s，可以有效地防治地下水、土壤污染。</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（2）风险防范措施</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为了确保中水库运行期间的安全，延长中水库的寿命，充分发挥效益，避免环境风险事故的发生。本次评价根据环境风险原因的分析结果，提出以下防范和应急措施：</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1）制定严格的管理制度，加强运营期的管理。为防止发生水库大坝破坏和溃决，应依次做好勘测、设计、施工、验收、运行、鉴定、加固工作。</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2）加强工程施工质量管理和工程施工监理，组织工程质量监督、检查、评估和验收，做到施工工艺规范、施工用材合理和施工作业严格，并做好遗留尾工处理，保证工程质量。</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针对可能发生的进水污染事故，建立合适的事故处理程序、机制和措施。一旦发生事故，则采取相应的措施，将事故对环境的影响控制在最小或较小范围内。同时关闭中水库近视口阀门，将事故废水排入调节池内进行收集，在事故及非正常工况结束后，对废水进行深度处理，达标后再排入中水库。</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4）建设单位应编制完备的风险应急预案并加以演练，减少环境风险发生后的影响。</w:t>
            </w:r>
          </w:p>
          <w:p>
            <w:pPr>
              <w:spacing w:line="240" w:lineRule="atLeas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5）环境监测是为了控制项目实施后的污染源及环境质量状况，对水库进水水质、池中水质进行定期监测。</w:t>
            </w:r>
          </w:p>
          <w:p>
            <w:pPr>
              <w:rPr>
                <w:rFonts w:ascii="Times New Roman" w:hAnsi="Times New Roman" w:eastAsia="宋体" w:cs="Times New Roman"/>
                <w:color w:val="000000" w:themeColor="text1"/>
                <w:szCs w:val="21"/>
                <w14:textFill>
                  <w14:solidFill>
                    <w14:schemeClr w14:val="tx1"/>
                  </w14:solidFill>
                </w14:textFill>
              </w:rPr>
            </w:pPr>
          </w:p>
        </w:tc>
      </w:tr>
    </w:tbl>
    <w:p/>
    <w:sectPr>
      <w:pgSz w:w="16838" w:h="11906" w:orient="landscape"/>
      <w:pgMar w:top="1077" w:right="1531" w:bottom="107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AC"/>
    <w:rsid w:val="00020461"/>
    <w:rsid w:val="00025375"/>
    <w:rsid w:val="00052596"/>
    <w:rsid w:val="000A19CD"/>
    <w:rsid w:val="000C0CDE"/>
    <w:rsid w:val="000F1E7B"/>
    <w:rsid w:val="00101D0B"/>
    <w:rsid w:val="0011393C"/>
    <w:rsid w:val="00153A83"/>
    <w:rsid w:val="00181926"/>
    <w:rsid w:val="001F1885"/>
    <w:rsid w:val="001F48B5"/>
    <w:rsid w:val="001F6FD0"/>
    <w:rsid w:val="001F7B2B"/>
    <w:rsid w:val="0020220E"/>
    <w:rsid w:val="00210DA1"/>
    <w:rsid w:val="00227342"/>
    <w:rsid w:val="002331E4"/>
    <w:rsid w:val="00260DE4"/>
    <w:rsid w:val="002863CD"/>
    <w:rsid w:val="002A63B7"/>
    <w:rsid w:val="002A7554"/>
    <w:rsid w:val="002C3E40"/>
    <w:rsid w:val="002E65C8"/>
    <w:rsid w:val="002F001C"/>
    <w:rsid w:val="002F2887"/>
    <w:rsid w:val="002F4D6B"/>
    <w:rsid w:val="0031382C"/>
    <w:rsid w:val="00362347"/>
    <w:rsid w:val="003653F2"/>
    <w:rsid w:val="003C6221"/>
    <w:rsid w:val="003E53C0"/>
    <w:rsid w:val="0042639B"/>
    <w:rsid w:val="004475DC"/>
    <w:rsid w:val="00471AD2"/>
    <w:rsid w:val="00481035"/>
    <w:rsid w:val="00485971"/>
    <w:rsid w:val="00486BE0"/>
    <w:rsid w:val="004A6037"/>
    <w:rsid w:val="004C57DE"/>
    <w:rsid w:val="004C79CE"/>
    <w:rsid w:val="004D0D00"/>
    <w:rsid w:val="004F1E81"/>
    <w:rsid w:val="004F5584"/>
    <w:rsid w:val="00521F8B"/>
    <w:rsid w:val="00522677"/>
    <w:rsid w:val="00522929"/>
    <w:rsid w:val="005340ED"/>
    <w:rsid w:val="00545702"/>
    <w:rsid w:val="00550D02"/>
    <w:rsid w:val="00556247"/>
    <w:rsid w:val="00561407"/>
    <w:rsid w:val="00567A80"/>
    <w:rsid w:val="00574738"/>
    <w:rsid w:val="00576EA3"/>
    <w:rsid w:val="00586800"/>
    <w:rsid w:val="005964F5"/>
    <w:rsid w:val="00597A0F"/>
    <w:rsid w:val="005A31C9"/>
    <w:rsid w:val="005E7103"/>
    <w:rsid w:val="00604F70"/>
    <w:rsid w:val="00611C09"/>
    <w:rsid w:val="00631FD6"/>
    <w:rsid w:val="006334DC"/>
    <w:rsid w:val="00635521"/>
    <w:rsid w:val="00660D65"/>
    <w:rsid w:val="00673B75"/>
    <w:rsid w:val="006D0B3D"/>
    <w:rsid w:val="006F1578"/>
    <w:rsid w:val="00701A22"/>
    <w:rsid w:val="00732FB3"/>
    <w:rsid w:val="00742191"/>
    <w:rsid w:val="00747912"/>
    <w:rsid w:val="0076522B"/>
    <w:rsid w:val="00784AAF"/>
    <w:rsid w:val="007A4C37"/>
    <w:rsid w:val="007D5329"/>
    <w:rsid w:val="007F744E"/>
    <w:rsid w:val="00805002"/>
    <w:rsid w:val="008125C0"/>
    <w:rsid w:val="00827BD5"/>
    <w:rsid w:val="0083790E"/>
    <w:rsid w:val="00842D5D"/>
    <w:rsid w:val="00860EF8"/>
    <w:rsid w:val="008773F1"/>
    <w:rsid w:val="00885179"/>
    <w:rsid w:val="008A1D3B"/>
    <w:rsid w:val="008C659C"/>
    <w:rsid w:val="008D5752"/>
    <w:rsid w:val="008E230B"/>
    <w:rsid w:val="008E3E98"/>
    <w:rsid w:val="008E54DC"/>
    <w:rsid w:val="00912443"/>
    <w:rsid w:val="00913AD8"/>
    <w:rsid w:val="00920F3B"/>
    <w:rsid w:val="00935CAC"/>
    <w:rsid w:val="009504B1"/>
    <w:rsid w:val="0098285B"/>
    <w:rsid w:val="009875E9"/>
    <w:rsid w:val="009B66D7"/>
    <w:rsid w:val="009B690E"/>
    <w:rsid w:val="009C60E4"/>
    <w:rsid w:val="009D4CF1"/>
    <w:rsid w:val="009F1665"/>
    <w:rsid w:val="009F642C"/>
    <w:rsid w:val="009F6B54"/>
    <w:rsid w:val="009F7394"/>
    <w:rsid w:val="00A064FD"/>
    <w:rsid w:val="00A10297"/>
    <w:rsid w:val="00A20921"/>
    <w:rsid w:val="00A30388"/>
    <w:rsid w:val="00A31DB6"/>
    <w:rsid w:val="00A350F1"/>
    <w:rsid w:val="00A47FB2"/>
    <w:rsid w:val="00A52359"/>
    <w:rsid w:val="00A55AD0"/>
    <w:rsid w:val="00A76BE9"/>
    <w:rsid w:val="00A93C42"/>
    <w:rsid w:val="00AA1046"/>
    <w:rsid w:val="00AA3467"/>
    <w:rsid w:val="00AF111F"/>
    <w:rsid w:val="00AF2E64"/>
    <w:rsid w:val="00AF3039"/>
    <w:rsid w:val="00B13153"/>
    <w:rsid w:val="00B21513"/>
    <w:rsid w:val="00B30948"/>
    <w:rsid w:val="00B4296C"/>
    <w:rsid w:val="00B73CB3"/>
    <w:rsid w:val="00B91DDB"/>
    <w:rsid w:val="00BA0A77"/>
    <w:rsid w:val="00BA4ECD"/>
    <w:rsid w:val="00BB060B"/>
    <w:rsid w:val="00BC087E"/>
    <w:rsid w:val="00BC2950"/>
    <w:rsid w:val="00BD41EF"/>
    <w:rsid w:val="00BF4CE0"/>
    <w:rsid w:val="00C153B3"/>
    <w:rsid w:val="00C17BD3"/>
    <w:rsid w:val="00C25176"/>
    <w:rsid w:val="00C3102E"/>
    <w:rsid w:val="00C34847"/>
    <w:rsid w:val="00C36CA2"/>
    <w:rsid w:val="00C51FEA"/>
    <w:rsid w:val="00C71618"/>
    <w:rsid w:val="00C77671"/>
    <w:rsid w:val="00C847D7"/>
    <w:rsid w:val="00C92647"/>
    <w:rsid w:val="00C939EB"/>
    <w:rsid w:val="00CC18E4"/>
    <w:rsid w:val="00CD0E56"/>
    <w:rsid w:val="00CD5342"/>
    <w:rsid w:val="00CF4AC6"/>
    <w:rsid w:val="00CF7609"/>
    <w:rsid w:val="00D03056"/>
    <w:rsid w:val="00D13F7D"/>
    <w:rsid w:val="00D25B76"/>
    <w:rsid w:val="00D35CA1"/>
    <w:rsid w:val="00D42473"/>
    <w:rsid w:val="00D44987"/>
    <w:rsid w:val="00D6339D"/>
    <w:rsid w:val="00D6766A"/>
    <w:rsid w:val="00D77320"/>
    <w:rsid w:val="00D8621B"/>
    <w:rsid w:val="00D86FBD"/>
    <w:rsid w:val="00DE113E"/>
    <w:rsid w:val="00E042CA"/>
    <w:rsid w:val="00E11750"/>
    <w:rsid w:val="00E1198C"/>
    <w:rsid w:val="00E447A1"/>
    <w:rsid w:val="00E44DCC"/>
    <w:rsid w:val="00E74622"/>
    <w:rsid w:val="00EA74ED"/>
    <w:rsid w:val="00EB0B2C"/>
    <w:rsid w:val="00EB3B95"/>
    <w:rsid w:val="00EC3DBF"/>
    <w:rsid w:val="00EE7266"/>
    <w:rsid w:val="00EF516C"/>
    <w:rsid w:val="00EF6AED"/>
    <w:rsid w:val="00EF78E2"/>
    <w:rsid w:val="00EF79B0"/>
    <w:rsid w:val="00F14C45"/>
    <w:rsid w:val="00F433AB"/>
    <w:rsid w:val="00F46064"/>
    <w:rsid w:val="00F63103"/>
    <w:rsid w:val="00F67C3E"/>
    <w:rsid w:val="00FA0BBF"/>
    <w:rsid w:val="00FA0DDE"/>
    <w:rsid w:val="00FA5276"/>
    <w:rsid w:val="00FB76CD"/>
    <w:rsid w:val="00FD7637"/>
    <w:rsid w:val="00FE470A"/>
    <w:rsid w:val="00FF156A"/>
    <w:rsid w:val="097466CB"/>
    <w:rsid w:val="0BFD4C6E"/>
    <w:rsid w:val="0D6F3C45"/>
    <w:rsid w:val="0DD86562"/>
    <w:rsid w:val="0E46497A"/>
    <w:rsid w:val="10771927"/>
    <w:rsid w:val="1104589B"/>
    <w:rsid w:val="1238379B"/>
    <w:rsid w:val="15492B75"/>
    <w:rsid w:val="15F35A01"/>
    <w:rsid w:val="186277B5"/>
    <w:rsid w:val="190E0B8E"/>
    <w:rsid w:val="192C75B4"/>
    <w:rsid w:val="19A35C8B"/>
    <w:rsid w:val="1D0C1681"/>
    <w:rsid w:val="1D227953"/>
    <w:rsid w:val="1D292610"/>
    <w:rsid w:val="1D3C3527"/>
    <w:rsid w:val="1E851FF6"/>
    <w:rsid w:val="1FB922AB"/>
    <w:rsid w:val="243D3691"/>
    <w:rsid w:val="245D0E45"/>
    <w:rsid w:val="24720589"/>
    <w:rsid w:val="26934500"/>
    <w:rsid w:val="2C973E45"/>
    <w:rsid w:val="2E5869DD"/>
    <w:rsid w:val="2F3B54E0"/>
    <w:rsid w:val="2FB92B87"/>
    <w:rsid w:val="31442075"/>
    <w:rsid w:val="3184282F"/>
    <w:rsid w:val="341D59A0"/>
    <w:rsid w:val="35456921"/>
    <w:rsid w:val="35624678"/>
    <w:rsid w:val="35AF54D7"/>
    <w:rsid w:val="360848AA"/>
    <w:rsid w:val="399607EE"/>
    <w:rsid w:val="399C0C7B"/>
    <w:rsid w:val="3A350FCA"/>
    <w:rsid w:val="3AFD51D8"/>
    <w:rsid w:val="3C0049A9"/>
    <w:rsid w:val="3CD72703"/>
    <w:rsid w:val="3FDD01FD"/>
    <w:rsid w:val="410F4FCA"/>
    <w:rsid w:val="412A647D"/>
    <w:rsid w:val="43A47B8E"/>
    <w:rsid w:val="43D77CF1"/>
    <w:rsid w:val="44E50659"/>
    <w:rsid w:val="48A058A1"/>
    <w:rsid w:val="49286394"/>
    <w:rsid w:val="4ACA3836"/>
    <w:rsid w:val="4E91433E"/>
    <w:rsid w:val="51E914E9"/>
    <w:rsid w:val="520346A1"/>
    <w:rsid w:val="5571146C"/>
    <w:rsid w:val="55B630C1"/>
    <w:rsid w:val="592204CB"/>
    <w:rsid w:val="5A3B7142"/>
    <w:rsid w:val="5AAC12E8"/>
    <w:rsid w:val="5C927958"/>
    <w:rsid w:val="5D03043D"/>
    <w:rsid w:val="5D3B72AE"/>
    <w:rsid w:val="5E7E160A"/>
    <w:rsid w:val="5EA22ECF"/>
    <w:rsid w:val="5F32707D"/>
    <w:rsid w:val="60B255EC"/>
    <w:rsid w:val="61774E6D"/>
    <w:rsid w:val="61C70D8E"/>
    <w:rsid w:val="622E0CA5"/>
    <w:rsid w:val="62492C47"/>
    <w:rsid w:val="62F059B2"/>
    <w:rsid w:val="63722D0C"/>
    <w:rsid w:val="65C626E5"/>
    <w:rsid w:val="66EE0287"/>
    <w:rsid w:val="68C25CE1"/>
    <w:rsid w:val="6AE40CC2"/>
    <w:rsid w:val="6AED5FD6"/>
    <w:rsid w:val="6D3E7090"/>
    <w:rsid w:val="6D761411"/>
    <w:rsid w:val="6D926AF6"/>
    <w:rsid w:val="6F65137C"/>
    <w:rsid w:val="72F60470"/>
    <w:rsid w:val="748D2032"/>
    <w:rsid w:val="75BA6459"/>
    <w:rsid w:val="75CE49CA"/>
    <w:rsid w:val="77651180"/>
    <w:rsid w:val="778F1D35"/>
    <w:rsid w:val="79516D42"/>
    <w:rsid w:val="7A87291B"/>
    <w:rsid w:val="7B0B37E8"/>
    <w:rsid w:val="7BCA040E"/>
    <w:rsid w:val="7CCA0BF4"/>
    <w:rsid w:val="7E533EF5"/>
    <w:rsid w:val="7F193958"/>
    <w:rsid w:val="7F793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unhideWhenUsed/>
    <w:qFormat/>
    <w:uiPriority w:val="0"/>
    <w:pPr>
      <w:keepNext/>
      <w:keepLines/>
      <w:spacing w:line="360" w:lineRule="auto"/>
      <w:outlineLvl w:val="2"/>
    </w:pPr>
    <w:rPr>
      <w:rFonts w:ascii="Calibri" w:hAnsi="Calibri" w:eastAsia="宋体" w:cs="Times New Roman"/>
      <w:b/>
      <w:sz w:val="24"/>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link w:val="41"/>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Normal Indent"/>
    <w:basedOn w:val="1"/>
    <w:link w:val="26"/>
    <w:qFormat/>
    <w:uiPriority w:val="0"/>
    <w:pPr>
      <w:spacing w:line="500" w:lineRule="exact"/>
      <w:ind w:firstLine="420" w:firstLineChars="200"/>
    </w:pPr>
    <w:rPr>
      <w:rFonts w:ascii="楷体_GB2312" w:hAnsi="楷体_GB2312" w:eastAsia="楷体_GB2312" w:cs="Times New Roman"/>
      <w:sz w:val="24"/>
      <w:szCs w:val="24"/>
    </w:rPr>
  </w:style>
  <w:style w:type="paragraph" w:styleId="7">
    <w:name w:val="Body Text"/>
    <w:basedOn w:val="1"/>
    <w:unhideWhenUsed/>
    <w:qFormat/>
    <w:uiPriority w:val="99"/>
    <w:pPr>
      <w:spacing w:after="120"/>
    </w:pPr>
  </w:style>
  <w:style w:type="paragraph" w:styleId="8">
    <w:name w:val="Plain Text"/>
    <w:basedOn w:val="1"/>
    <w:link w:val="25"/>
    <w:qFormat/>
    <w:uiPriority w:val="0"/>
    <w:rPr>
      <w:rFonts w:ascii="宋体" w:hAnsi="Courier New" w:eastAsia="宋体"/>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1"/>
    <w:unhideWhenUsed/>
    <w:qFormat/>
    <w:uiPriority w:val="99"/>
    <w:pPr>
      <w:ind w:firstLine="420" w:firstLineChars="200"/>
    </w:pPr>
  </w:style>
  <w:style w:type="character" w:styleId="15">
    <w:name w:val="Strong"/>
    <w:qFormat/>
    <w:uiPriority w:val="0"/>
    <w:rPr>
      <w:b/>
      <w:bCs/>
    </w:rPr>
  </w:style>
  <w:style w:type="character" w:styleId="16">
    <w:name w:val="Hyperlink"/>
    <w:basedOn w:val="14"/>
    <w:unhideWhenUsed/>
    <w:qFormat/>
    <w:uiPriority w:val="99"/>
    <w:rPr>
      <w:color w:val="0000FF"/>
      <w:u w:val="single"/>
    </w:rPr>
  </w:style>
  <w:style w:type="paragraph" w:customStyle="1" w:styleId="17">
    <w:name w:val="Char"/>
    <w:basedOn w:val="1"/>
    <w:next w:val="1"/>
    <w:qFormat/>
    <w:uiPriority w:val="0"/>
    <w:pPr>
      <w:spacing w:line="360" w:lineRule="auto"/>
      <w:ind w:firstLine="200" w:firstLineChars="200"/>
    </w:pPr>
  </w:style>
  <w:style w:type="paragraph" w:customStyle="1" w:styleId="18">
    <w:name w:val="Default"/>
    <w:basedOn w:val="19"/>
    <w:qFormat/>
    <w:uiPriority w:val="0"/>
    <w:pPr>
      <w:tabs>
        <w:tab w:val="left" w:pos="2760"/>
      </w:tabs>
      <w:autoSpaceDE w:val="0"/>
      <w:autoSpaceDN w:val="0"/>
    </w:pPr>
    <w:rPr>
      <w:rFonts w:hint="eastAsia" w:ascii="仿宋_GB2312" w:hAnsi="仿宋_GB2312" w:eastAsia="仿宋_GB2312"/>
      <w:color w:val="000000"/>
      <w:sz w:val="24"/>
      <w:szCs w:val="22"/>
    </w:rPr>
  </w:style>
  <w:style w:type="paragraph" w:customStyle="1" w:styleId="19">
    <w:name w:val="纯文本1"/>
    <w:basedOn w:val="1"/>
    <w:qFormat/>
    <w:uiPriority w:val="0"/>
    <w:pPr>
      <w:tabs>
        <w:tab w:val="left" w:pos="2760"/>
      </w:tabs>
      <w:adjustRightInd w:val="0"/>
    </w:pPr>
    <w:rPr>
      <w:rFonts w:ascii="宋体" w:hAnsi="Courier New"/>
      <w:szCs w:val="20"/>
    </w:rPr>
  </w:style>
  <w:style w:type="paragraph" w:customStyle="1" w:styleId="20">
    <w:name w:val="本文正文"/>
    <w:basedOn w:val="1"/>
    <w:qFormat/>
    <w:uiPriority w:val="0"/>
    <w:pPr>
      <w:autoSpaceDE w:val="0"/>
      <w:autoSpaceDN w:val="0"/>
      <w:adjustRightInd w:val="0"/>
      <w:spacing w:line="300" w:lineRule="auto"/>
      <w:ind w:firstLine="560" w:firstLineChars="200"/>
      <w:textAlignment w:val="baseline"/>
    </w:pPr>
    <w:rPr>
      <w:rFonts w:ascii="Times New Roman" w:hAnsi="Times New Roman" w:eastAsia="宋体" w:cs="Times New Roman"/>
      <w:sz w:val="28"/>
      <w:szCs w:val="20"/>
    </w:rPr>
  </w:style>
  <w:style w:type="character" w:customStyle="1" w:styleId="21">
    <w:name w:val="页眉 Char"/>
    <w:basedOn w:val="14"/>
    <w:link w:val="10"/>
    <w:semiHidden/>
    <w:qFormat/>
    <w:uiPriority w:val="99"/>
    <w:rPr>
      <w:sz w:val="18"/>
      <w:szCs w:val="18"/>
    </w:rPr>
  </w:style>
  <w:style w:type="character" w:customStyle="1" w:styleId="22">
    <w:name w:val="页脚 Char"/>
    <w:basedOn w:val="14"/>
    <w:link w:val="9"/>
    <w:semiHidden/>
    <w:qFormat/>
    <w:uiPriority w:val="99"/>
    <w:rPr>
      <w:sz w:val="18"/>
      <w:szCs w:val="18"/>
    </w:rPr>
  </w:style>
  <w:style w:type="character" w:customStyle="1" w:styleId="23">
    <w:name w:val="apple-converted-space"/>
    <w:basedOn w:val="14"/>
    <w:qFormat/>
    <w:uiPriority w:val="0"/>
  </w:style>
  <w:style w:type="character" w:customStyle="1" w:styleId="24">
    <w:name w:val="纯文本 Char"/>
    <w:basedOn w:val="14"/>
    <w:qFormat/>
    <w:uiPriority w:val="0"/>
    <w:rPr>
      <w:rFonts w:ascii="宋体" w:hAnsi="Courier New" w:eastAsia="宋体"/>
    </w:rPr>
  </w:style>
  <w:style w:type="character" w:customStyle="1" w:styleId="25">
    <w:name w:val="纯文本 Char1"/>
    <w:basedOn w:val="14"/>
    <w:link w:val="8"/>
    <w:semiHidden/>
    <w:qFormat/>
    <w:uiPriority w:val="99"/>
    <w:rPr>
      <w:rFonts w:ascii="宋体" w:hAnsi="Courier New" w:eastAsia="宋体" w:cs="Courier New"/>
      <w:szCs w:val="21"/>
    </w:rPr>
  </w:style>
  <w:style w:type="character" w:customStyle="1" w:styleId="26">
    <w:name w:val="正文缩进 Char"/>
    <w:link w:val="6"/>
    <w:qFormat/>
    <w:uiPriority w:val="0"/>
    <w:rPr>
      <w:rFonts w:ascii="楷体_GB2312" w:hAnsi="楷体_GB2312" w:eastAsia="楷体_GB2312" w:cs="Times New Roman"/>
      <w:sz w:val="24"/>
      <w:szCs w:val="24"/>
    </w:rPr>
  </w:style>
  <w:style w:type="paragraph" w:customStyle="1" w:styleId="27">
    <w:name w:val="3级标题"/>
    <w:basedOn w:val="1"/>
    <w:qFormat/>
    <w:uiPriority w:val="0"/>
    <w:pPr>
      <w:spacing w:before="300" w:line="460" w:lineRule="exact"/>
      <w:outlineLvl w:val="2"/>
    </w:pPr>
    <w:rPr>
      <w:rFonts w:ascii="Times New Roman" w:hAnsi="Times New Roman" w:eastAsia="宋体" w:cs="Times New Roman"/>
      <w:b/>
      <w:sz w:val="24"/>
      <w:szCs w:val="20"/>
    </w:rPr>
  </w:style>
  <w:style w:type="paragraph" w:customStyle="1" w:styleId="28">
    <w:name w:val="Char Char16"/>
    <w:basedOn w:val="1"/>
    <w:qFormat/>
    <w:uiPriority w:val="0"/>
    <w:rPr>
      <w:rFonts w:ascii="Times New Roman" w:hAnsi="Times New Roman" w:eastAsia="宋体" w:cs="Times New Roman"/>
      <w:szCs w:val="20"/>
    </w:rPr>
  </w:style>
  <w:style w:type="paragraph" w:customStyle="1" w:styleId="29">
    <w:name w:val="Char Char161"/>
    <w:basedOn w:val="1"/>
    <w:qFormat/>
    <w:uiPriority w:val="0"/>
    <w:rPr>
      <w:rFonts w:ascii="Times New Roman" w:hAnsi="Times New Roman" w:eastAsia="宋体" w:cs="Times New Roman"/>
      <w:szCs w:val="20"/>
    </w:rPr>
  </w:style>
  <w:style w:type="paragraph" w:customStyle="1" w:styleId="30">
    <w:name w:val="Char Char162"/>
    <w:basedOn w:val="1"/>
    <w:qFormat/>
    <w:uiPriority w:val="0"/>
    <w:rPr>
      <w:rFonts w:ascii="Times New Roman" w:hAnsi="Times New Roman" w:eastAsia="宋体" w:cs="Times New Roman"/>
      <w:szCs w:val="20"/>
    </w:rPr>
  </w:style>
  <w:style w:type="paragraph" w:customStyle="1" w:styleId="31">
    <w:name w:val="Char Char163"/>
    <w:basedOn w:val="1"/>
    <w:qFormat/>
    <w:uiPriority w:val="0"/>
    <w:rPr>
      <w:rFonts w:ascii="Times New Roman" w:hAnsi="Times New Roman" w:eastAsia="宋体" w:cs="Times New Roman"/>
      <w:szCs w:val="20"/>
    </w:rPr>
  </w:style>
  <w:style w:type="paragraph" w:customStyle="1" w:styleId="32">
    <w:name w:val="Char Char164"/>
    <w:basedOn w:val="1"/>
    <w:qFormat/>
    <w:uiPriority w:val="0"/>
    <w:rPr>
      <w:rFonts w:ascii="Times New Roman" w:hAnsi="Times New Roman" w:eastAsia="宋体" w:cs="Times New Roman"/>
      <w:szCs w:val="20"/>
    </w:rPr>
  </w:style>
  <w:style w:type="paragraph" w:customStyle="1" w:styleId="33">
    <w:name w:val="Char Char165"/>
    <w:basedOn w:val="1"/>
    <w:qFormat/>
    <w:uiPriority w:val="0"/>
    <w:rPr>
      <w:rFonts w:ascii="Times New Roman" w:hAnsi="Times New Roman" w:eastAsia="宋体" w:cs="Times New Roman"/>
      <w:szCs w:val="20"/>
    </w:rPr>
  </w:style>
  <w:style w:type="paragraph" w:customStyle="1" w:styleId="34">
    <w:name w:val="Char Char166"/>
    <w:basedOn w:val="1"/>
    <w:qFormat/>
    <w:uiPriority w:val="0"/>
    <w:rPr>
      <w:rFonts w:ascii="Times New Roman" w:hAnsi="Times New Roman" w:eastAsia="宋体" w:cs="Times New Roman"/>
      <w:szCs w:val="20"/>
    </w:rPr>
  </w:style>
  <w:style w:type="paragraph" w:customStyle="1" w:styleId="35">
    <w:name w:val="列出段落1"/>
    <w:basedOn w:val="1"/>
    <w:qFormat/>
    <w:uiPriority w:val="34"/>
    <w:pPr>
      <w:ind w:firstLine="420" w:firstLineChars="200"/>
    </w:pPr>
  </w:style>
  <w:style w:type="character" w:customStyle="1" w:styleId="36">
    <w:name w:val="标题 1 Char"/>
    <w:basedOn w:val="14"/>
    <w:link w:val="3"/>
    <w:qFormat/>
    <w:uiPriority w:val="0"/>
    <w:rPr>
      <w:rFonts w:ascii="Times New Roman" w:hAnsi="Times New Roman"/>
      <w:b/>
      <w:bCs/>
      <w:kern w:val="44"/>
      <w:sz w:val="44"/>
      <w:szCs w:val="44"/>
    </w:rPr>
  </w:style>
  <w:style w:type="paragraph" w:customStyle="1" w:styleId="37">
    <w:name w:val="正文 CDD"/>
    <w:basedOn w:val="1"/>
    <w:qFormat/>
    <w:uiPriority w:val="0"/>
    <w:pPr>
      <w:spacing w:line="520" w:lineRule="exact"/>
      <w:ind w:firstLine="200" w:firstLineChars="200"/>
    </w:pPr>
    <w:rPr>
      <w:sz w:val="24"/>
      <w:szCs w:val="20"/>
    </w:rPr>
  </w:style>
  <w:style w:type="character" w:customStyle="1" w:styleId="38">
    <w:name w:val="正文文本 (2)_"/>
    <w:link w:val="39"/>
    <w:qFormat/>
    <w:uiPriority w:val="0"/>
    <w:rPr>
      <w:rFonts w:ascii="仿宋" w:eastAsia="仿宋"/>
      <w:kern w:val="0"/>
      <w:sz w:val="13"/>
      <w:szCs w:val="13"/>
    </w:rPr>
  </w:style>
  <w:style w:type="paragraph" w:customStyle="1" w:styleId="39">
    <w:name w:val="正文文本 (2)1"/>
    <w:basedOn w:val="1"/>
    <w:link w:val="38"/>
    <w:qFormat/>
    <w:uiPriority w:val="0"/>
    <w:pPr>
      <w:shd w:val="clear" w:color="auto" w:fill="FFFFFF"/>
      <w:spacing w:line="259" w:lineRule="exact"/>
      <w:ind w:firstLine="300"/>
      <w:jc w:val="distribute"/>
    </w:pPr>
    <w:rPr>
      <w:rFonts w:ascii="仿宋" w:eastAsia="仿宋"/>
      <w:kern w:val="0"/>
      <w:sz w:val="13"/>
      <w:szCs w:val="13"/>
    </w:rPr>
  </w:style>
  <w:style w:type="paragraph" w:customStyle="1" w:styleId="40">
    <w:name w:val="Body text|1"/>
    <w:basedOn w:val="1"/>
    <w:qFormat/>
    <w:uiPriority w:val="0"/>
    <w:pPr>
      <w:spacing w:line="403" w:lineRule="auto"/>
      <w:ind w:firstLine="400"/>
    </w:pPr>
    <w:rPr>
      <w:rFonts w:ascii="宋体" w:hAnsi="宋体" w:eastAsia="宋体" w:cs="宋体"/>
      <w:sz w:val="28"/>
      <w:szCs w:val="28"/>
      <w:lang w:val="zh-TW" w:eastAsia="zh-TW" w:bidi="zh-TW"/>
    </w:rPr>
  </w:style>
  <w:style w:type="character" w:customStyle="1" w:styleId="41">
    <w:name w:val="标题 5 Char"/>
    <w:basedOn w:val="14"/>
    <w:link w:val="5"/>
    <w:semiHidden/>
    <w:uiPriority w:val="9"/>
    <w:rPr>
      <w:rFonts w:asciiTheme="minorHAnsi" w:hAnsiTheme="minorHAnsi" w:eastAsiaTheme="minorEastAsia" w:cstheme="minorBidi"/>
      <w:b/>
      <w:bCs/>
      <w:kern w:val="2"/>
      <w:sz w:val="28"/>
      <w:szCs w:val="28"/>
    </w:rPr>
  </w:style>
  <w:style w:type="paragraph" w:styleId="4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2426</Words>
  <Characters>116</Characters>
  <Lines>1</Lines>
  <Paragraphs>5</Paragraphs>
  <TotalTime>51</TotalTime>
  <ScaleCrop>false</ScaleCrop>
  <LinksUpToDate>false</LinksUpToDate>
  <CharactersWithSpaces>2537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2017-08-07T04:34:00Z</dcterms:created>
  <dc:creator>lenovo</dc:creator>
  <cp:lastModifiedBy>Administrator</cp:lastModifiedBy>
  <cp:lastPrinted>2019-07-15T05:02:00Z</cp:lastPrinted>
  <dcterms:modified xsi:type="dcterms:W3CDTF">2021-05-25T05:17:31Z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75FC44386E3F44049D49A676D78B0E11</vt:lpwstr>
  </property>
</Properties>
</file>